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5CD6" w14:paraId="155A99D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13E1EF" w14:textId="77777777" w:rsidR="00751A4A" w:rsidRPr="007B5CD6" w:rsidRDefault="00AD2873" w:rsidP="0010095E">
            <w:pPr>
              <w:pStyle w:val="EPName"/>
            </w:pPr>
            <w:r w:rsidRPr="007B5CD6">
              <w:t>Evropský parlament</w:t>
            </w:r>
          </w:p>
          <w:p w14:paraId="2BCF5169" w14:textId="77777777" w:rsidR="00751A4A" w:rsidRPr="007B5CD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5CD6">
              <w:t>2024</w:t>
            </w:r>
            <w:r w:rsidR="00817416" w:rsidRPr="007B5CD6">
              <w:t>-202</w:t>
            </w:r>
            <w:r w:rsidRPr="007B5CD6">
              <w:t>9</w:t>
            </w:r>
          </w:p>
        </w:tc>
        <w:tc>
          <w:tcPr>
            <w:tcW w:w="2268" w:type="dxa"/>
            <w:shd w:val="clear" w:color="auto" w:fill="auto"/>
          </w:tcPr>
          <w:p w14:paraId="4B72FCD7" w14:textId="77777777" w:rsidR="00751A4A" w:rsidRPr="007B5CD6" w:rsidRDefault="00187494" w:rsidP="0010095E">
            <w:pPr>
              <w:pStyle w:val="EPLogo"/>
            </w:pPr>
            <w:r w:rsidRPr="007B5CD6">
              <w:rPr>
                <w:noProof/>
                <w:lang w:val="en-GB"/>
              </w:rPr>
              <w:drawing>
                <wp:inline distT="0" distB="0" distL="0" distR="0" wp14:anchorId="0A5961DC" wp14:editId="220BDA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CC05B3" w14:textId="77777777" w:rsidR="00D058B8" w:rsidRPr="007B5CD6" w:rsidRDefault="00D058B8" w:rsidP="004C5D52">
      <w:pPr>
        <w:pStyle w:val="LineTop"/>
      </w:pPr>
    </w:p>
    <w:p w14:paraId="610379E5" w14:textId="77777777" w:rsidR="00680577" w:rsidRPr="007B5CD6" w:rsidRDefault="00AD2873" w:rsidP="00680577">
      <w:pPr>
        <w:pStyle w:val="EPBodyTA1"/>
      </w:pPr>
      <w:r w:rsidRPr="007B5CD6">
        <w:t>PŘIJATÉ TEXTY</w:t>
      </w:r>
    </w:p>
    <w:p w14:paraId="5D68262C" w14:textId="77777777" w:rsidR="00D058B8" w:rsidRPr="007B5CD6" w:rsidRDefault="00D058B8" w:rsidP="00D058B8">
      <w:pPr>
        <w:pStyle w:val="LineBottom"/>
      </w:pPr>
    </w:p>
    <w:p w14:paraId="7F8D59F8" w14:textId="77777777" w:rsidR="00AD2873" w:rsidRPr="007B5CD6" w:rsidRDefault="00AD2873" w:rsidP="00AD2873">
      <w:pPr>
        <w:pStyle w:val="ATHeading1"/>
      </w:pPr>
      <w:bookmarkStart w:id="0" w:name="TANumber"/>
      <w:r w:rsidRPr="007B5CD6">
        <w:t>P10_TA(2025)0</w:t>
      </w:r>
      <w:bookmarkEnd w:id="0"/>
      <w:r w:rsidR="00F5783A">
        <w:t>140</w:t>
      </w:r>
    </w:p>
    <w:p w14:paraId="6CC18630" w14:textId="77777777" w:rsidR="00AD2873" w:rsidRPr="007B5CD6" w:rsidRDefault="00EE4C93" w:rsidP="00AD2873">
      <w:pPr>
        <w:pStyle w:val="ATHeading2"/>
      </w:pPr>
      <w:r w:rsidRPr="00EE4C93">
        <w:t>Úloha uskladňování zemního plynu pro zajištění jeho dodávek před zimním obdobím</w:t>
      </w:r>
    </w:p>
    <w:p w14:paraId="5745CC75" w14:textId="77777777" w:rsidR="00AD2873" w:rsidRPr="007B5CD6" w:rsidRDefault="00AD2873" w:rsidP="00AD2873">
      <w:pPr>
        <w:rPr>
          <w:i/>
          <w:vanish/>
        </w:rPr>
      </w:pPr>
      <w:r w:rsidRPr="007B5CD6">
        <w:rPr>
          <w:i/>
        </w:rPr>
        <w:fldChar w:fldCharType="begin"/>
      </w:r>
      <w:r w:rsidRPr="007B5CD6">
        <w:rPr>
          <w:i/>
        </w:rPr>
        <w:instrText xml:space="preserve"> TC"(</w:instrText>
      </w:r>
      <w:bookmarkStart w:id="1" w:name="DocNumber"/>
      <w:r w:rsidRPr="007B5CD6">
        <w:rPr>
          <w:i/>
        </w:rPr>
        <w:instrText>A10-0079/2025</w:instrText>
      </w:r>
      <w:bookmarkEnd w:id="1"/>
      <w:r w:rsidRPr="007B5CD6">
        <w:rPr>
          <w:i/>
        </w:rPr>
        <w:instrText xml:space="preserve"> - Zpravodaj: </w:instrText>
      </w:r>
      <w:proofErr w:type="spellStart"/>
      <w:r w:rsidRPr="007B5CD6">
        <w:rPr>
          <w:i/>
        </w:rPr>
        <w:instrText>Borys</w:instrText>
      </w:r>
      <w:proofErr w:type="spellEnd"/>
      <w:r w:rsidRPr="007B5CD6">
        <w:rPr>
          <w:i/>
        </w:rPr>
        <w:instrText xml:space="preserve"> Budka)"\l3 \n&gt; \* MERGEFORMAT </w:instrText>
      </w:r>
      <w:r w:rsidRPr="007B5CD6">
        <w:rPr>
          <w:i/>
        </w:rPr>
        <w:fldChar w:fldCharType="end"/>
      </w:r>
    </w:p>
    <w:p w14:paraId="2BC1896F" w14:textId="77777777" w:rsidR="00AD2873" w:rsidRPr="007B5CD6" w:rsidRDefault="00AD2873" w:rsidP="00AD2873">
      <w:pPr>
        <w:rPr>
          <w:vanish/>
        </w:rPr>
      </w:pPr>
      <w:bookmarkStart w:id="2" w:name="Commission"/>
      <w:r w:rsidRPr="007B5CD6">
        <w:rPr>
          <w:vanish/>
        </w:rPr>
        <w:t>Výbor pro průmysl, výzkum a energetiku</w:t>
      </w:r>
      <w:bookmarkEnd w:id="2"/>
    </w:p>
    <w:p w14:paraId="3AC23480" w14:textId="77777777" w:rsidR="00AD2873" w:rsidRPr="007B5CD6" w:rsidRDefault="00AD2873" w:rsidP="00AD2873">
      <w:pPr>
        <w:rPr>
          <w:vanish/>
        </w:rPr>
      </w:pPr>
      <w:bookmarkStart w:id="3" w:name="PE"/>
      <w:r w:rsidRPr="007B5CD6">
        <w:rPr>
          <w:vanish/>
        </w:rPr>
        <w:t>PE772.015</w:t>
      </w:r>
      <w:bookmarkEnd w:id="3"/>
    </w:p>
    <w:p w14:paraId="4764EFC9" w14:textId="77777777" w:rsidR="00AD2873" w:rsidRPr="007B5CD6" w:rsidRDefault="00AD2873" w:rsidP="00AD2873">
      <w:pPr>
        <w:pStyle w:val="ATHeading3"/>
      </w:pPr>
      <w:bookmarkStart w:id="4" w:name="Sujet"/>
      <w:r w:rsidRPr="007B5CD6">
        <w:t xml:space="preserve">Legislativní usnesení </w:t>
      </w:r>
      <w:r w:rsidR="00304941">
        <w:t>Evropského parlamentu ze dne 8</w:t>
      </w:r>
      <w:r w:rsidR="00EE4C93">
        <w:t xml:space="preserve">. </w:t>
      </w:r>
      <w:r w:rsidR="00422636">
        <w:t>července</w:t>
      </w:r>
      <w:r w:rsidRPr="007B5CD6">
        <w:t xml:space="preserve"> 2025 o návrhu nařízení Evropského parlamentu a Rady, kterým se mění nařízení (EU) 2017/1938, pokud jde o úlohu uskladňování zemního plynu pro zajištění jeho dodávek před zimním obdobím</w:t>
      </w:r>
      <w:bookmarkEnd w:id="4"/>
      <w:r w:rsidRPr="007B5CD6">
        <w:t xml:space="preserve"> </w:t>
      </w:r>
      <w:bookmarkStart w:id="5" w:name="References"/>
      <w:r w:rsidRPr="007B5CD6">
        <w:t>(</w:t>
      </w:r>
      <w:proofErr w:type="gramStart"/>
      <w:r w:rsidRPr="007B5CD6">
        <w:t>COM(</w:t>
      </w:r>
      <w:proofErr w:type="gramEnd"/>
      <w:r w:rsidRPr="007B5CD6">
        <w:t>2025)0099 – C10-0041/2025 – 2025/0051(COD))</w:t>
      </w:r>
      <w:bookmarkEnd w:id="5"/>
    </w:p>
    <w:p w14:paraId="064FD155" w14:textId="77777777" w:rsidR="00AD2873" w:rsidRPr="007B5CD6" w:rsidRDefault="00AD2873" w:rsidP="00AD2873"/>
    <w:p w14:paraId="3F1E5F27" w14:textId="77777777" w:rsidR="00F70A05" w:rsidRPr="007B5CD6" w:rsidRDefault="00F70A05" w:rsidP="00F70A05">
      <w:pPr>
        <w:pStyle w:val="NormalBold"/>
      </w:pPr>
      <w:bookmarkStart w:id="6" w:name="TextBodyBegin"/>
      <w:bookmarkEnd w:id="6"/>
      <w:r w:rsidRPr="007B5CD6">
        <w:t>(Řádný legislativní postup: první čtení)</w:t>
      </w:r>
    </w:p>
    <w:p w14:paraId="0B353AA1" w14:textId="77777777" w:rsidR="00F70A05" w:rsidRPr="00A90F28" w:rsidRDefault="00F70A05" w:rsidP="00F70A05">
      <w:pPr>
        <w:pStyle w:val="EPComma"/>
        <w:rPr>
          <w:i/>
          <w:iCs/>
        </w:rPr>
      </w:pPr>
      <w:r w:rsidRPr="00A90F28">
        <w:rPr>
          <w:i/>
          <w:iCs/>
        </w:rPr>
        <w:t>Evropský parlament,</w:t>
      </w:r>
    </w:p>
    <w:p w14:paraId="1416F5B4" w14:textId="77777777" w:rsidR="00F70A05" w:rsidRPr="007B5CD6" w:rsidRDefault="00F70A05" w:rsidP="00F70A05">
      <w:pPr>
        <w:pStyle w:val="NormalHanging12a"/>
      </w:pPr>
      <w:r w:rsidRPr="007B5CD6">
        <w:t>–</w:t>
      </w:r>
      <w:r w:rsidRPr="007B5CD6">
        <w:tab/>
        <w:t>s ohledem na návrh Komise předložený Evropskému parlamentu a Radě (</w:t>
      </w:r>
      <w:proofErr w:type="gramStart"/>
      <w:r w:rsidRPr="007B5CD6">
        <w:t>COM(</w:t>
      </w:r>
      <w:proofErr w:type="gramEnd"/>
      <w:r w:rsidRPr="007B5CD6">
        <w:t>2025)0099),</w:t>
      </w:r>
    </w:p>
    <w:p w14:paraId="4FDCAB3E" w14:textId="77777777" w:rsidR="00F70A05" w:rsidRPr="007B5CD6" w:rsidRDefault="00F70A05" w:rsidP="00F70A05">
      <w:pPr>
        <w:pStyle w:val="NormalHanging12a"/>
      </w:pPr>
      <w:r w:rsidRPr="007B5CD6">
        <w:t>–</w:t>
      </w:r>
      <w:r w:rsidRPr="007B5CD6">
        <w:tab/>
        <w:t>s ohledem na čl. 294 odst. 2 a čl. 194 odst. 2 Smlouvy o fungování Evropské unie, v souladu se kterými Komise předložila svůj návrh Parlamentu (C10</w:t>
      </w:r>
      <w:r w:rsidRPr="007B5CD6">
        <w:noBreakHyphen/>
      </w:r>
      <w:r w:rsidR="002B3480">
        <w:t>0041</w:t>
      </w:r>
      <w:r w:rsidRPr="007B5CD6">
        <w:t>/2025),</w:t>
      </w:r>
    </w:p>
    <w:p w14:paraId="5FA253D8" w14:textId="77777777" w:rsidR="00F70A05" w:rsidRPr="007B5CD6" w:rsidRDefault="00F70A05" w:rsidP="00F70A05">
      <w:pPr>
        <w:pStyle w:val="NormalHanging12a"/>
      </w:pPr>
      <w:r w:rsidRPr="007B5CD6">
        <w:t>–</w:t>
      </w:r>
      <w:r w:rsidRPr="007B5CD6">
        <w:tab/>
        <w:t>s ohledem na čl. 294 odst. 3 Smlouvy o fungování Evropské unie,</w:t>
      </w:r>
    </w:p>
    <w:p w14:paraId="71777C01" w14:textId="77777777" w:rsidR="00F70A05" w:rsidRPr="007B5CD6" w:rsidRDefault="00F70A05" w:rsidP="00F70A05">
      <w:pPr>
        <w:pStyle w:val="NormalHanging12a"/>
      </w:pPr>
      <w:r w:rsidRPr="007B5CD6">
        <w:t>–</w:t>
      </w:r>
      <w:r w:rsidRPr="007B5CD6">
        <w:tab/>
        <w:t>s ohledem na stanovisko Evropského hospodářského a sociálního výboru ze dne 26. března 2025</w:t>
      </w:r>
      <w:r w:rsidR="00422636">
        <w:rPr>
          <w:rStyle w:val="FootnoteReference"/>
        </w:rPr>
        <w:footnoteReference w:id="1"/>
      </w:r>
      <w:r w:rsidRPr="007B5CD6">
        <w:t>,</w:t>
      </w:r>
    </w:p>
    <w:p w14:paraId="0FDD19D8" w14:textId="77777777" w:rsidR="00F70A05" w:rsidRDefault="00F70A05" w:rsidP="00F70A05">
      <w:pPr>
        <w:pStyle w:val="NormalHanging12a"/>
      </w:pPr>
      <w:r w:rsidRPr="007B5CD6">
        <w:t>–</w:t>
      </w:r>
      <w:r w:rsidRPr="007B5CD6">
        <w:tab/>
      </w:r>
      <w:r w:rsidR="00422636">
        <w:t>po konzultaci s</w:t>
      </w:r>
      <w:r w:rsidRPr="007B5CD6">
        <w:t xml:space="preserve"> Výbor</w:t>
      </w:r>
      <w:r w:rsidR="00422636">
        <w:t>em</w:t>
      </w:r>
      <w:r w:rsidRPr="007B5CD6">
        <w:t xml:space="preserve"> regionů,</w:t>
      </w:r>
    </w:p>
    <w:p w14:paraId="3035211A" w14:textId="77777777" w:rsidR="00422636" w:rsidRPr="007B5CD6" w:rsidRDefault="00422636" w:rsidP="00F70A05">
      <w:pPr>
        <w:pStyle w:val="NormalHanging12a"/>
      </w:pPr>
      <w:r w:rsidRPr="00422636">
        <w:t>–</w:t>
      </w:r>
      <w:r w:rsidRPr="00422636">
        <w:tab/>
      </w:r>
      <w:r>
        <w:t>s</w:t>
      </w:r>
      <w:r w:rsidRPr="00422636">
        <w:t xml:space="preserve"> ohledem na předběžnou dohodu přijatou příslušným výborem podle čl. 75 odst. 4 jednacího řádu</w:t>
      </w:r>
      <w:r>
        <w:t xml:space="preserve"> a </w:t>
      </w:r>
      <w:r w:rsidRPr="00422636">
        <w:t>s ohledem na to, že se</w:t>
      </w:r>
      <w:r>
        <w:t xml:space="preserve"> zástupce Rady dopisem ze dne 27. června 2025</w:t>
      </w:r>
      <w:r w:rsidRPr="00422636">
        <w:t xml:space="preserve"> zavázal schválit postoj Parlamentu podle čl. 294 odst. 4 Smlouvy o fungování Evropské unie,</w:t>
      </w:r>
    </w:p>
    <w:p w14:paraId="0143ADAD" w14:textId="77777777" w:rsidR="00F70A05" w:rsidRPr="007B5CD6" w:rsidRDefault="00F70A05" w:rsidP="00F70A05">
      <w:pPr>
        <w:pStyle w:val="NormalHanging12a"/>
      </w:pPr>
      <w:r w:rsidRPr="007B5CD6">
        <w:t>–</w:t>
      </w:r>
      <w:r w:rsidRPr="007B5CD6">
        <w:tab/>
        <w:t>s ohledem na článek 60 jednacího řádu,</w:t>
      </w:r>
    </w:p>
    <w:p w14:paraId="1C6A876A" w14:textId="77777777" w:rsidR="00F70A05" w:rsidRPr="007B5CD6" w:rsidRDefault="00F70A05" w:rsidP="00F70A05">
      <w:pPr>
        <w:pStyle w:val="NormalHanging12a"/>
      </w:pPr>
      <w:r w:rsidRPr="007B5CD6">
        <w:t>–</w:t>
      </w:r>
      <w:r w:rsidRPr="007B5CD6">
        <w:tab/>
        <w:t>s ohledem na zprávu Výboru pro průmysl, výzkum a energetiku (A10</w:t>
      </w:r>
      <w:r w:rsidRPr="007B5CD6">
        <w:noBreakHyphen/>
        <w:t>0079/2025),</w:t>
      </w:r>
    </w:p>
    <w:p w14:paraId="3DD99E83" w14:textId="77777777" w:rsidR="00F70A05" w:rsidRPr="007B5CD6" w:rsidRDefault="00F70A05" w:rsidP="00F70A05">
      <w:pPr>
        <w:pStyle w:val="NormalHanging12a"/>
      </w:pPr>
      <w:r w:rsidRPr="007B5CD6">
        <w:lastRenderedPageBreak/>
        <w:t>1.</w:t>
      </w:r>
      <w:r w:rsidRPr="007B5CD6">
        <w:tab/>
        <w:t xml:space="preserve">přijímá </w:t>
      </w:r>
      <w:r w:rsidR="00A21670">
        <w:t xml:space="preserve">níže uvedený </w:t>
      </w:r>
      <w:r w:rsidRPr="007B5CD6">
        <w:t>postoj v prvním čtení;</w:t>
      </w:r>
    </w:p>
    <w:p w14:paraId="60A2E4FC" w14:textId="77777777" w:rsidR="00F70A05" w:rsidRPr="007B5CD6" w:rsidRDefault="00F70A05" w:rsidP="00F70A05">
      <w:pPr>
        <w:pStyle w:val="NormalHanging12a"/>
      </w:pPr>
      <w:r w:rsidRPr="007B5CD6">
        <w:t>2.</w:t>
      </w:r>
      <w:r w:rsidRPr="007B5CD6">
        <w:tab/>
        <w:t>vyzývá Komisi, aby věc znovu postoupila Parlamentu, jestliže svůj návrh nahradí jiným textem, podstatně jej změní nebo má v úmyslu jej podstatně změnit;</w:t>
      </w:r>
    </w:p>
    <w:p w14:paraId="64379486" w14:textId="77777777" w:rsidR="00F70A05" w:rsidRPr="007B5CD6" w:rsidRDefault="00F70A05" w:rsidP="00F70A05">
      <w:pPr>
        <w:pStyle w:val="NormalHanging12a"/>
      </w:pPr>
      <w:r w:rsidRPr="007B5CD6">
        <w:t>3.</w:t>
      </w:r>
      <w:r w:rsidRPr="007B5CD6">
        <w:tab/>
        <w:t>pověřuje svoji předsedkyni, aby předala postoj Parlamentu Radě</w:t>
      </w:r>
      <w:r w:rsidR="002B3480">
        <w:t xml:space="preserve"> a</w:t>
      </w:r>
      <w:r w:rsidRPr="007B5CD6">
        <w:t xml:space="preserve"> Komisi, jakož i vnitrostátním parlamentům.</w:t>
      </w:r>
    </w:p>
    <w:p w14:paraId="4349D7FC" w14:textId="77777777" w:rsidR="00EE4C93" w:rsidRDefault="00EE4C93" w:rsidP="00F70A05">
      <w:pPr>
        <w:widowControl/>
        <w:sectPr w:rsidR="00EE4C93" w:rsidSect="007B5CD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2EFA954" w14:textId="77777777" w:rsidR="00422636" w:rsidRDefault="00422636" w:rsidP="0042263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31D67">
        <w:rPr>
          <w:rFonts w:eastAsia="Calibri"/>
          <w:b/>
          <w:bCs/>
          <w:color w:val="000000"/>
          <w:szCs w:val="24"/>
        </w:rPr>
        <w:lastRenderedPageBreak/>
        <w:t>P10_TC1-COD(2025)0051</w:t>
      </w:r>
    </w:p>
    <w:p w14:paraId="3F3FB9A2" w14:textId="77777777" w:rsidR="00E85BAA" w:rsidRDefault="00422636" w:rsidP="002B6F04">
      <w:pPr>
        <w:autoSpaceDE w:val="0"/>
        <w:autoSpaceDN w:val="0"/>
        <w:adjustRightInd w:val="0"/>
        <w:spacing w:after="240"/>
        <w:rPr>
          <w:b/>
          <w:color w:val="000000" w:themeColor="text1"/>
        </w:rPr>
      </w:pPr>
      <w:r>
        <w:rPr>
          <w:rFonts w:eastAsia="Calibri"/>
          <w:b/>
          <w:bCs/>
          <w:color w:val="000000"/>
          <w:szCs w:val="24"/>
        </w:rPr>
        <w:t>Postoj Evropského parlamentu přijatý v prvním čtení dne 8. července 2025 k přijetí nařízení Evropského parlamentu a Rady (EU) 2025/...</w:t>
      </w:r>
      <w:r w:rsidR="00E85BAA">
        <w:rPr>
          <w:rFonts w:eastAsia="Calibri"/>
          <w:b/>
          <w:bCs/>
          <w:color w:val="000000"/>
          <w:szCs w:val="24"/>
        </w:rPr>
        <w:t xml:space="preserve">, </w:t>
      </w:r>
      <w:r w:rsidR="00E85BAA" w:rsidRPr="002B6F04">
        <w:rPr>
          <w:b/>
          <w:color w:val="000000" w:themeColor="text1"/>
        </w:rPr>
        <w:t>kterým se m</w:t>
      </w:r>
      <w:r w:rsidR="00E85BAA" w:rsidRPr="002B6F04">
        <w:rPr>
          <w:rFonts w:hint="eastAsia"/>
          <w:b/>
          <w:color w:val="000000" w:themeColor="text1"/>
        </w:rPr>
        <w:t>ě</w:t>
      </w:r>
      <w:r w:rsidR="00E85BAA" w:rsidRPr="002B6F04">
        <w:rPr>
          <w:b/>
          <w:color w:val="000000" w:themeColor="text1"/>
        </w:rPr>
        <w:t>ní na</w:t>
      </w:r>
      <w:r w:rsidR="00E85BAA" w:rsidRPr="002B6F04">
        <w:rPr>
          <w:rFonts w:hint="eastAsia"/>
          <w:b/>
          <w:color w:val="000000" w:themeColor="text1"/>
        </w:rPr>
        <w:t>ří</w:t>
      </w:r>
      <w:r w:rsidR="00E85BAA" w:rsidRPr="002B6F04">
        <w:rPr>
          <w:b/>
          <w:color w:val="000000" w:themeColor="text1"/>
        </w:rPr>
        <w:t xml:space="preserve">zení (EU) 2017/1938, pokud jde o </w:t>
      </w:r>
      <w:r w:rsidR="00E85BAA" w:rsidRPr="002B6F04">
        <w:rPr>
          <w:rFonts w:hint="eastAsia"/>
          <w:b/>
          <w:color w:val="000000" w:themeColor="text1"/>
        </w:rPr>
        <w:t>ú</w:t>
      </w:r>
      <w:r w:rsidR="00E85BAA" w:rsidRPr="002B6F04">
        <w:rPr>
          <w:b/>
          <w:color w:val="000000" w:themeColor="text1"/>
        </w:rPr>
        <w:t>lohu usklad</w:t>
      </w:r>
      <w:r w:rsidR="00E85BAA" w:rsidRPr="002B6F04">
        <w:rPr>
          <w:rFonts w:hint="eastAsia"/>
          <w:b/>
          <w:color w:val="000000" w:themeColor="text1"/>
        </w:rPr>
        <w:t>ň</w:t>
      </w:r>
      <w:r w:rsidR="00E85BAA" w:rsidRPr="002B6F04">
        <w:rPr>
          <w:b/>
          <w:color w:val="000000" w:themeColor="text1"/>
        </w:rPr>
        <w:t>ování zemního plynu pro zajišt</w:t>
      </w:r>
      <w:r w:rsidR="00E85BAA" w:rsidRPr="002B6F04">
        <w:rPr>
          <w:rFonts w:hint="eastAsia"/>
          <w:b/>
          <w:color w:val="000000" w:themeColor="text1"/>
        </w:rPr>
        <w:t>ě</w:t>
      </w:r>
      <w:r w:rsidR="00E85BAA" w:rsidRPr="002B6F04">
        <w:rPr>
          <w:b/>
          <w:color w:val="000000" w:themeColor="text1"/>
        </w:rPr>
        <w:t>ní jeho dodávek p</w:t>
      </w:r>
      <w:r w:rsidR="00E85BAA" w:rsidRPr="002B6F04">
        <w:rPr>
          <w:rFonts w:hint="eastAsia"/>
          <w:b/>
          <w:color w:val="000000" w:themeColor="text1"/>
        </w:rPr>
        <w:t>ř</w:t>
      </w:r>
      <w:r w:rsidR="00E85BAA" w:rsidRPr="002B6F04">
        <w:rPr>
          <w:b/>
          <w:color w:val="000000" w:themeColor="text1"/>
        </w:rPr>
        <w:t>ed zimním obdobím</w:t>
      </w:r>
    </w:p>
    <w:p w14:paraId="431461F7" w14:textId="29BA406E" w:rsidR="00C1387E" w:rsidRDefault="00C1387E" w:rsidP="00C1387E">
      <w:pPr>
        <w:spacing w:before="60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1733</w:t>
      </w:r>
      <w:r>
        <w:rPr>
          <w:i/>
        </w:rPr>
        <w:t>.)</w:t>
      </w:r>
    </w:p>
    <w:p w14:paraId="13DF151F" w14:textId="77777777" w:rsidR="00C1387E" w:rsidRPr="002B6F04" w:rsidRDefault="00C1387E" w:rsidP="002B6F04">
      <w:pPr>
        <w:autoSpaceDE w:val="0"/>
        <w:autoSpaceDN w:val="0"/>
        <w:adjustRightInd w:val="0"/>
        <w:spacing w:after="240"/>
        <w:rPr>
          <w:rFonts w:eastAsia="Calibri"/>
          <w:bCs/>
          <w:color w:val="000000"/>
        </w:rPr>
      </w:pPr>
    </w:p>
    <w:sectPr w:rsidR="00C1387E" w:rsidRPr="002B6F04" w:rsidSect="007B5CD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9FD7A" w14:textId="77777777" w:rsidR="00AD2873" w:rsidRPr="007B5CD6" w:rsidRDefault="00AD2873">
      <w:r w:rsidRPr="007B5CD6">
        <w:separator/>
      </w:r>
    </w:p>
  </w:endnote>
  <w:endnote w:type="continuationSeparator" w:id="0">
    <w:p w14:paraId="5595062D" w14:textId="77777777" w:rsidR="00AD2873" w:rsidRPr="007B5CD6" w:rsidRDefault="00AD2873">
      <w:r w:rsidRPr="007B5C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2209F" w14:textId="77777777" w:rsidR="00064002" w:rsidRPr="007B5C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92C45" w14:textId="77777777" w:rsidR="00064002" w:rsidRPr="007B5C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CA29B" w14:textId="77777777" w:rsidR="00064002" w:rsidRPr="007B5C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2634C" w14:textId="77777777" w:rsidR="00AD2873" w:rsidRPr="007B5CD6" w:rsidRDefault="00AD2873">
      <w:r w:rsidRPr="007B5CD6">
        <w:separator/>
      </w:r>
    </w:p>
  </w:footnote>
  <w:footnote w:type="continuationSeparator" w:id="0">
    <w:p w14:paraId="35719957" w14:textId="77777777" w:rsidR="00AD2873" w:rsidRPr="007B5CD6" w:rsidRDefault="00AD2873">
      <w:r w:rsidRPr="007B5CD6">
        <w:continuationSeparator/>
      </w:r>
    </w:p>
  </w:footnote>
  <w:footnote w:id="1">
    <w:p w14:paraId="0550A3B9" w14:textId="77777777" w:rsidR="00422636" w:rsidRPr="005F5085" w:rsidRDefault="00422636" w:rsidP="002B6F04">
      <w:pPr>
        <w:pStyle w:val="FootnoteText"/>
        <w:ind w:left="567" w:hanging="567"/>
        <w:rPr>
          <w:sz w:val="24"/>
          <w:szCs w:val="24"/>
          <w:lang w:val="cs-CZ"/>
        </w:rPr>
      </w:pPr>
      <w:r w:rsidRPr="005F5085">
        <w:rPr>
          <w:rStyle w:val="FootnoteReference"/>
          <w:sz w:val="24"/>
          <w:szCs w:val="24"/>
        </w:rPr>
        <w:footnoteRef/>
      </w:r>
      <w:r w:rsidRPr="005F5085">
        <w:rPr>
          <w:sz w:val="24"/>
          <w:szCs w:val="24"/>
          <w:lang w:val="fi-FI"/>
        </w:rPr>
        <w:t xml:space="preserve"> </w:t>
      </w:r>
      <w:r w:rsidRPr="005F5085">
        <w:rPr>
          <w:sz w:val="24"/>
          <w:szCs w:val="24"/>
          <w:lang w:val="cs-CZ"/>
        </w:rPr>
        <w:tab/>
      </w:r>
      <w:proofErr w:type="spellStart"/>
      <w:r w:rsidRPr="005F5085">
        <w:rPr>
          <w:sz w:val="24"/>
          <w:szCs w:val="24"/>
          <w:lang w:val="cs-CZ"/>
        </w:rPr>
        <w:t>Úř</w:t>
      </w:r>
      <w:proofErr w:type="spellEnd"/>
      <w:r w:rsidRPr="005F5085">
        <w:rPr>
          <w:sz w:val="24"/>
          <w:szCs w:val="24"/>
          <w:lang w:val="cs-CZ"/>
        </w:rPr>
        <w:t xml:space="preserve">. </w:t>
      </w:r>
      <w:proofErr w:type="spellStart"/>
      <w:r w:rsidRPr="005F5085">
        <w:rPr>
          <w:sz w:val="24"/>
          <w:szCs w:val="24"/>
          <w:lang w:val="cs-CZ"/>
        </w:rPr>
        <w:t>věst</w:t>
      </w:r>
      <w:proofErr w:type="spellEnd"/>
      <w:r w:rsidRPr="005F5085">
        <w:rPr>
          <w:sz w:val="24"/>
          <w:szCs w:val="24"/>
          <w:lang w:val="cs-CZ"/>
        </w:rPr>
        <w:t xml:space="preserve">. C, C/2025/2967, 16.6.2025, ELI: </w:t>
      </w:r>
      <w:hyperlink r:id="rId1" w:history="1">
        <w:r w:rsidRPr="005F5085">
          <w:rPr>
            <w:rStyle w:val="Hyperlink"/>
            <w:sz w:val="24"/>
            <w:szCs w:val="24"/>
            <w:lang w:val="fi-FI"/>
          </w:rPr>
          <w:t>http://data.europa.eu/eli/C/2025/2967/oj</w:t>
        </w:r>
      </w:hyperlink>
      <w:r w:rsidRPr="005F5085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FC389" w14:textId="77777777" w:rsidR="00064002" w:rsidRPr="007B5C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57FD4" w14:textId="77777777" w:rsidR="00064002" w:rsidRPr="007B5C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47808" w14:textId="77777777" w:rsidR="00064002" w:rsidRPr="007B5C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59124770">
    <w:abstractNumId w:val="9"/>
  </w:num>
  <w:num w:numId="2" w16cid:durableId="167598815">
    <w:abstractNumId w:val="9"/>
  </w:num>
  <w:num w:numId="3" w16cid:durableId="124858082">
    <w:abstractNumId w:val="7"/>
  </w:num>
  <w:num w:numId="4" w16cid:durableId="1336304325">
    <w:abstractNumId w:val="7"/>
  </w:num>
  <w:num w:numId="5" w16cid:durableId="362290266">
    <w:abstractNumId w:val="6"/>
  </w:num>
  <w:num w:numId="6" w16cid:durableId="1360013440">
    <w:abstractNumId w:val="6"/>
  </w:num>
  <w:num w:numId="7" w16cid:durableId="214971374">
    <w:abstractNumId w:val="5"/>
  </w:num>
  <w:num w:numId="8" w16cid:durableId="464589822">
    <w:abstractNumId w:val="5"/>
  </w:num>
  <w:num w:numId="9" w16cid:durableId="447892408">
    <w:abstractNumId w:val="4"/>
  </w:num>
  <w:num w:numId="10" w16cid:durableId="1560894718">
    <w:abstractNumId w:val="4"/>
  </w:num>
  <w:num w:numId="11" w16cid:durableId="577180123">
    <w:abstractNumId w:val="8"/>
  </w:num>
  <w:num w:numId="12" w16cid:durableId="1121726970">
    <w:abstractNumId w:val="8"/>
  </w:num>
  <w:num w:numId="13" w16cid:durableId="986974447">
    <w:abstractNumId w:val="3"/>
  </w:num>
  <w:num w:numId="14" w16cid:durableId="210382332">
    <w:abstractNumId w:val="3"/>
  </w:num>
  <w:num w:numId="15" w16cid:durableId="871916565">
    <w:abstractNumId w:val="2"/>
  </w:num>
  <w:num w:numId="16" w16cid:durableId="1809859211">
    <w:abstractNumId w:val="2"/>
  </w:num>
  <w:num w:numId="17" w16cid:durableId="680396697">
    <w:abstractNumId w:val="1"/>
  </w:num>
  <w:num w:numId="18" w16cid:durableId="1477144689">
    <w:abstractNumId w:val="1"/>
  </w:num>
  <w:num w:numId="19" w16cid:durableId="1913809631">
    <w:abstractNumId w:val="0"/>
  </w:num>
  <w:num w:numId="20" w16cid:durableId="1665552718">
    <w:abstractNumId w:val="0"/>
  </w:num>
  <w:num w:numId="21" w16cid:durableId="17972997">
    <w:abstractNumId w:val="9"/>
  </w:num>
  <w:num w:numId="22" w16cid:durableId="255872550">
    <w:abstractNumId w:val="7"/>
  </w:num>
  <w:num w:numId="23" w16cid:durableId="706486433">
    <w:abstractNumId w:val="6"/>
  </w:num>
  <w:num w:numId="24" w16cid:durableId="1462259817">
    <w:abstractNumId w:val="5"/>
  </w:num>
  <w:num w:numId="25" w16cid:durableId="1171682638">
    <w:abstractNumId w:val="4"/>
  </w:num>
  <w:num w:numId="26" w16cid:durableId="1753508863">
    <w:abstractNumId w:val="8"/>
  </w:num>
  <w:num w:numId="27" w16cid:durableId="833954196">
    <w:abstractNumId w:val="3"/>
  </w:num>
  <w:num w:numId="28" w16cid:durableId="747456162">
    <w:abstractNumId w:val="2"/>
  </w:num>
  <w:num w:numId="29" w16cid:durableId="676542208">
    <w:abstractNumId w:val="1"/>
  </w:num>
  <w:num w:numId="30" w16cid:durableId="47346082">
    <w:abstractNumId w:val="0"/>
  </w:num>
  <w:num w:numId="31" w16cid:durableId="1801460815">
    <w:abstractNumId w:val="9"/>
  </w:num>
  <w:num w:numId="32" w16cid:durableId="1728258333">
    <w:abstractNumId w:val="7"/>
  </w:num>
  <w:num w:numId="33" w16cid:durableId="1424107874">
    <w:abstractNumId w:val="6"/>
  </w:num>
  <w:num w:numId="34" w16cid:durableId="1952274323">
    <w:abstractNumId w:val="5"/>
  </w:num>
  <w:num w:numId="35" w16cid:durableId="1376658125">
    <w:abstractNumId w:val="4"/>
  </w:num>
  <w:num w:numId="36" w16cid:durableId="480466879">
    <w:abstractNumId w:val="8"/>
  </w:num>
  <w:num w:numId="37" w16cid:durableId="594094710">
    <w:abstractNumId w:val="3"/>
  </w:num>
  <w:num w:numId="38" w16cid:durableId="658388204">
    <w:abstractNumId w:val="2"/>
  </w:num>
  <w:num w:numId="39" w16cid:durableId="1449008729">
    <w:abstractNumId w:val="1"/>
  </w:num>
  <w:num w:numId="40" w16cid:durableId="449276713">
    <w:abstractNumId w:val="0"/>
  </w:num>
  <w:num w:numId="41" w16cid:durableId="1396397940">
    <w:abstractNumId w:val="10"/>
  </w:num>
  <w:num w:numId="42" w16cid:durableId="782455293">
    <w:abstractNumId w:val="10"/>
  </w:num>
  <w:num w:numId="43" w16cid:durableId="672608728">
    <w:abstractNumId w:val="10"/>
  </w:num>
  <w:num w:numId="44" w16cid:durableId="21371387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activeWritingStyle w:appName="MSWord" w:lang="fi-FI" w:vendorID="64" w:dllVersion="6" w:nlCheck="1" w:checkStyle="0"/>
  <w:activeWritingStyle w:appName="MSWord" w:lang="cs-CZ" w:vendorID="64" w:dllVersion="0" w:nlCheck="1" w:checkStyle="0"/>
  <w:activeWritingStyle w:appName="MSWord" w:lang="fi-FI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9/2025"/>
    <w:docVar w:name="dvlangue" w:val="CS"/>
    <w:docVar w:name="dvnumam" w:val="0"/>
    <w:docVar w:name="dvpe" w:val="772.015"/>
    <w:docVar w:name="dvrapporteur" w:val="Zpravodaj: "/>
    <w:docVar w:name="dvstar" w:val="***I"/>
    <w:docVar w:name="dvtitre" w:val="Legislativní usnesení Evropského parlamentu ze dne.... 2025 o návrhu nařízení Evropského parlamentu a Rady, kterým se mění nařízení (EU) 2017/1938, pokud jde o úlohu uskladňování zemního plynu pro zajištění jeho dodávek před zimním obdobím(COM(2025)0099 – C10-0041/2025 – 2025/0051(COD))"/>
  </w:docVars>
  <w:rsids>
    <w:rsidRoot w:val="00AD2873"/>
    <w:rsid w:val="00002272"/>
    <w:rsid w:val="0004117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3480"/>
    <w:rsid w:val="002B5493"/>
    <w:rsid w:val="002B6F04"/>
    <w:rsid w:val="00304941"/>
    <w:rsid w:val="00311FA9"/>
    <w:rsid w:val="00343214"/>
    <w:rsid w:val="00361C00"/>
    <w:rsid w:val="00395FA1"/>
    <w:rsid w:val="003E15D4"/>
    <w:rsid w:val="00411CCE"/>
    <w:rsid w:val="0041666E"/>
    <w:rsid w:val="00421060"/>
    <w:rsid w:val="0042263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5085"/>
    <w:rsid w:val="006037C0"/>
    <w:rsid w:val="00621BB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5CD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591C"/>
    <w:rsid w:val="00981893"/>
    <w:rsid w:val="00A1687D"/>
    <w:rsid w:val="00A17A6B"/>
    <w:rsid w:val="00A21670"/>
    <w:rsid w:val="00A43E52"/>
    <w:rsid w:val="00A4678D"/>
    <w:rsid w:val="00A70B93"/>
    <w:rsid w:val="00A778C7"/>
    <w:rsid w:val="00A90F28"/>
    <w:rsid w:val="00AB441E"/>
    <w:rsid w:val="00AB6293"/>
    <w:rsid w:val="00AD2873"/>
    <w:rsid w:val="00AE0928"/>
    <w:rsid w:val="00AF3B82"/>
    <w:rsid w:val="00B12E95"/>
    <w:rsid w:val="00B22876"/>
    <w:rsid w:val="00B532D6"/>
    <w:rsid w:val="00B558F0"/>
    <w:rsid w:val="00BD48FE"/>
    <w:rsid w:val="00BD7BD8"/>
    <w:rsid w:val="00BE6ADC"/>
    <w:rsid w:val="00C05BFE"/>
    <w:rsid w:val="00C1387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5BAA"/>
    <w:rsid w:val="00EB006A"/>
    <w:rsid w:val="00EB4772"/>
    <w:rsid w:val="00EC1B30"/>
    <w:rsid w:val="00ED049F"/>
    <w:rsid w:val="00ED169E"/>
    <w:rsid w:val="00ED4235"/>
    <w:rsid w:val="00EE4C93"/>
    <w:rsid w:val="00F04346"/>
    <w:rsid w:val="00F075DC"/>
    <w:rsid w:val="00F149E9"/>
    <w:rsid w:val="00F5134D"/>
    <w:rsid w:val="00F5783A"/>
    <w:rsid w:val="00F70A0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9A415E"/>
  <w15:chartTrackingRefBased/>
  <w15:docId w15:val="{B75019EE-3A49-4A6A-B8D3-C46873A3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70A05"/>
    <w:pPr>
      <w:spacing w:before="480" w:after="240"/>
    </w:pPr>
  </w:style>
  <w:style w:type="paragraph" w:customStyle="1" w:styleId="NormalBold">
    <w:name w:val="NormalBold"/>
    <w:basedOn w:val="Normal"/>
    <w:rsid w:val="00F70A05"/>
    <w:rPr>
      <w:b/>
    </w:rPr>
  </w:style>
  <w:style w:type="paragraph" w:customStyle="1" w:styleId="NormalHanging12a">
    <w:name w:val="NormalHanging12a"/>
    <w:basedOn w:val="Normal"/>
    <w:link w:val="NormalHanging12aChar"/>
    <w:rsid w:val="00F70A05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F70A05"/>
    <w:pPr>
      <w:spacing w:after="240"/>
      <w:jc w:val="center"/>
    </w:pPr>
    <w:rPr>
      <w:lang w:val="en-GB"/>
    </w:rPr>
  </w:style>
  <w:style w:type="paragraph" w:customStyle="1" w:styleId="AmNumberTabs">
    <w:name w:val="AmNumberTabs"/>
    <w:basedOn w:val="Normal"/>
    <w:rsid w:val="00F70A0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n-GB"/>
    </w:rPr>
  </w:style>
  <w:style w:type="paragraph" w:customStyle="1" w:styleId="AmHeadingConsam">
    <w:name w:val="AmHeadingConsam"/>
    <w:basedOn w:val="Normal"/>
    <w:next w:val="NormalCenter12a"/>
    <w:rsid w:val="00F70A05"/>
    <w:pPr>
      <w:spacing w:before="720" w:after="240"/>
      <w:jc w:val="center"/>
    </w:pPr>
    <w:rPr>
      <w:lang w:val="en-GB"/>
    </w:rPr>
  </w:style>
  <w:style w:type="paragraph" w:customStyle="1" w:styleId="Titrearticle">
    <w:name w:val="Titre article"/>
    <w:basedOn w:val="Normal"/>
    <w:next w:val="Normal"/>
    <w:rsid w:val="00F70A05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F70A05"/>
    <w:rPr>
      <w:sz w:val="24"/>
      <w:lang w:val="cs-CZ"/>
    </w:rPr>
  </w:style>
  <w:style w:type="paragraph" w:styleId="BalloonText">
    <w:name w:val="Balloon Text"/>
    <w:basedOn w:val="Normal"/>
    <w:link w:val="BalloonTextChar"/>
    <w:rsid w:val="00EE4C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4C93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rsid w:val="00422636"/>
    <w:rPr>
      <w:color w:val="0563C1" w:themeColor="hyperlink"/>
      <w:u w:val="single"/>
    </w:rPr>
  </w:style>
  <w:style w:type="paragraph" w:customStyle="1" w:styleId="FootnoteTextForceStyle">
    <w:name w:val="Footnote Text ForceStyle"/>
    <w:rsid w:val="00E85BAA"/>
    <w:pPr>
      <w:keepLines/>
      <w:widowControl w:val="0"/>
      <w:spacing w:line="240" w:lineRule="exact"/>
      <w:ind w:left="850" w:hanging="850"/>
    </w:pPr>
    <w:rPr>
      <w:sz w:val="24"/>
      <w:lang w:val="cs-CZ" w:eastAsia="en-US"/>
    </w:rPr>
  </w:style>
  <w:style w:type="paragraph" w:customStyle="1" w:styleId="Institutionquiagit">
    <w:name w:val="Institution qui agit"/>
    <w:basedOn w:val="Normal"/>
    <w:next w:val="Normal"/>
    <w:rsid w:val="00E85BAA"/>
    <w:pPr>
      <w:keepNext/>
      <w:spacing w:before="600" w:after="120" w:line="240" w:lineRule="atLeast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E85BAA"/>
    <w:pPr>
      <w:widowControl/>
      <w:spacing w:after="240" w:line="360" w:lineRule="atLeast"/>
      <w:ind w:left="5102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E85BAA"/>
    <w:pPr>
      <w:widowControl/>
      <w:spacing w:before="360" w:line="360" w:lineRule="atLeast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E85BAA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paragraph" w:customStyle="1" w:styleId="SignatureInstitution">
    <w:name w:val="Signature Institution"/>
    <w:basedOn w:val="Normal"/>
    <w:rsid w:val="00E85BAA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E85BAA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Fait">
    <w:name w:val="Fait à"/>
    <w:basedOn w:val="Normal"/>
    <w:rsid w:val="00E85BAA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E85BAA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E85BAA"/>
    <w:pPr>
      <w:widowControl w:val="0"/>
      <w:spacing w:before="120" w:after="120" w:line="360" w:lineRule="atLeast"/>
    </w:pPr>
    <w:rPr>
      <w:sz w:val="24"/>
      <w:lang w:val="cs-CZ" w:eastAsia="en-US"/>
    </w:rPr>
  </w:style>
  <w:style w:type="character" w:styleId="CommentReference">
    <w:name w:val="annotation reference"/>
    <w:basedOn w:val="DefaultParagraphFont"/>
    <w:rsid w:val="00A216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167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21670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A216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1670"/>
    <w:rPr>
      <w:b/>
      <w:bCs/>
      <w:lang w:val="cs-CZ"/>
    </w:rPr>
  </w:style>
  <w:style w:type="character" w:styleId="FollowedHyperlink">
    <w:name w:val="FollowedHyperlink"/>
    <w:basedOn w:val="DefaultParagraphFont"/>
    <w:rsid w:val="005F50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B8EB5-E6AA-4CE4-94D9-1E0E9881E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2025-10-21T10:56:00Z</dcterms:created>
  <dcterms:modified xsi:type="dcterms:W3CDTF">2025-10-21T10:56:00Z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P10_TA(2025)0140_</vt:lpwstr>
  </property>
  <property fmtid="{D5CDD505-2E9C-101B-9397-08002B2CF9AE}" pid="4" name="&lt;Type&gt;">
    <vt:lpwstr>RR</vt:lpwstr>
  </property>
</Properties>
</file>