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34A8" w14:paraId="5D7DE47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86D7AD" w14:textId="77777777" w:rsidR="00751A4A" w:rsidRPr="004734A8" w:rsidRDefault="00D638FD" w:rsidP="0010095E">
            <w:pPr>
              <w:pStyle w:val="EPName"/>
            </w:pPr>
            <w:r w:rsidRPr="004734A8">
              <w:t>European Parliament</w:t>
            </w:r>
          </w:p>
          <w:p w14:paraId="3F0CD254" w14:textId="77777777" w:rsidR="00751A4A" w:rsidRPr="004734A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34A8">
              <w:t>2024</w:t>
            </w:r>
            <w:r w:rsidR="00817416" w:rsidRPr="004734A8">
              <w:t>-202</w:t>
            </w:r>
            <w:r w:rsidRPr="004734A8">
              <w:t>9</w:t>
            </w:r>
          </w:p>
        </w:tc>
        <w:tc>
          <w:tcPr>
            <w:tcW w:w="2268" w:type="dxa"/>
            <w:shd w:val="clear" w:color="auto" w:fill="auto"/>
          </w:tcPr>
          <w:p w14:paraId="69EDA91E" w14:textId="77777777" w:rsidR="00751A4A" w:rsidRPr="004734A8" w:rsidRDefault="00187494" w:rsidP="0010095E">
            <w:pPr>
              <w:pStyle w:val="EPLogo"/>
            </w:pPr>
            <w:r w:rsidRPr="004734A8">
              <w:rPr>
                <w:noProof/>
                <w:lang w:val="hu-HU" w:eastAsia="hu-HU"/>
              </w:rPr>
              <w:drawing>
                <wp:inline distT="0" distB="0" distL="0" distR="0" wp14:anchorId="2CF33D56" wp14:editId="0A84CBE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B2EA79" w14:textId="77777777" w:rsidR="00D058B8" w:rsidRPr="004734A8" w:rsidRDefault="00D058B8" w:rsidP="004C5D52">
      <w:pPr>
        <w:pStyle w:val="LineTop"/>
      </w:pPr>
    </w:p>
    <w:p w14:paraId="07D9E8BF" w14:textId="77777777" w:rsidR="00680577" w:rsidRPr="004734A8" w:rsidRDefault="00D638FD" w:rsidP="00680577">
      <w:pPr>
        <w:pStyle w:val="EPBodyTA1"/>
      </w:pPr>
      <w:r w:rsidRPr="004734A8">
        <w:t>TEXTS ADOPTED</w:t>
      </w:r>
    </w:p>
    <w:p w14:paraId="4DC2911F" w14:textId="77777777" w:rsidR="00D058B8" w:rsidRPr="004734A8" w:rsidRDefault="00D058B8" w:rsidP="00D058B8">
      <w:pPr>
        <w:pStyle w:val="LineBottom"/>
      </w:pPr>
    </w:p>
    <w:p w14:paraId="3C4632C5" w14:textId="77777777" w:rsidR="00D638FD" w:rsidRPr="004734A8" w:rsidRDefault="00D638FD" w:rsidP="00D638FD">
      <w:pPr>
        <w:pStyle w:val="ATHeading1"/>
      </w:pPr>
      <w:bookmarkStart w:id="0" w:name="TANumber"/>
      <w:r w:rsidRPr="004734A8">
        <w:t>P10_TA(2025)0</w:t>
      </w:r>
      <w:bookmarkEnd w:id="0"/>
      <w:r w:rsidR="00ED14C8">
        <w:t>140</w:t>
      </w:r>
    </w:p>
    <w:p w14:paraId="6C16879B" w14:textId="77777777" w:rsidR="00D638FD" w:rsidRPr="004734A8" w:rsidRDefault="00E31D67" w:rsidP="00D638FD">
      <w:pPr>
        <w:pStyle w:val="ATHeading2"/>
      </w:pPr>
      <w:bookmarkStart w:id="1" w:name="title"/>
      <w:r w:rsidRPr="004734A8">
        <w:t xml:space="preserve">The role of gas storage for securing gas supplies ahead of the winter </w:t>
      </w:r>
      <w:bookmarkEnd w:id="1"/>
      <w:r w:rsidR="00B076E9" w:rsidRPr="004734A8">
        <w:t>season</w:t>
      </w:r>
    </w:p>
    <w:p w14:paraId="375D2F8F" w14:textId="77777777" w:rsidR="00D638FD" w:rsidRPr="004734A8" w:rsidRDefault="00D638FD" w:rsidP="00D638FD">
      <w:pPr>
        <w:rPr>
          <w:i/>
          <w:vanish/>
        </w:rPr>
      </w:pPr>
      <w:r w:rsidRPr="004734A8">
        <w:rPr>
          <w:i/>
        </w:rPr>
        <w:fldChar w:fldCharType="begin"/>
      </w:r>
      <w:r w:rsidRPr="004734A8">
        <w:rPr>
          <w:i/>
        </w:rPr>
        <w:instrText xml:space="preserve"> TC"(</w:instrText>
      </w:r>
      <w:bookmarkStart w:id="2" w:name="DocNumber"/>
      <w:r w:rsidRPr="004734A8">
        <w:rPr>
          <w:i/>
        </w:rPr>
        <w:instrText>A10-0079/2025</w:instrText>
      </w:r>
      <w:bookmarkEnd w:id="2"/>
      <w:r w:rsidRPr="004734A8">
        <w:rPr>
          <w:i/>
        </w:rPr>
        <w:instrText xml:space="preserve"> - Rapporteur: Borys Budka)"\l3 \n&gt; \* MERGEFORMAT </w:instrText>
      </w:r>
      <w:r w:rsidRPr="004734A8">
        <w:rPr>
          <w:i/>
        </w:rPr>
        <w:fldChar w:fldCharType="end"/>
      </w:r>
    </w:p>
    <w:p w14:paraId="0CF64A4F" w14:textId="77777777" w:rsidR="00D638FD" w:rsidRPr="004734A8" w:rsidRDefault="00D638FD" w:rsidP="00D638FD">
      <w:pPr>
        <w:rPr>
          <w:vanish/>
        </w:rPr>
      </w:pPr>
      <w:bookmarkStart w:id="3" w:name="Commission"/>
      <w:r w:rsidRPr="004734A8">
        <w:rPr>
          <w:vanish/>
        </w:rPr>
        <w:t>Committee on Industry, Research and Energy</w:t>
      </w:r>
      <w:bookmarkEnd w:id="3"/>
    </w:p>
    <w:p w14:paraId="5F8D6581" w14:textId="77777777" w:rsidR="00D638FD" w:rsidRPr="004734A8" w:rsidRDefault="00D638FD" w:rsidP="00D638FD">
      <w:pPr>
        <w:rPr>
          <w:vanish/>
        </w:rPr>
      </w:pPr>
      <w:bookmarkStart w:id="4" w:name="PE"/>
      <w:r w:rsidRPr="004734A8">
        <w:rPr>
          <w:vanish/>
        </w:rPr>
        <w:t>PE772.015</w:t>
      </w:r>
      <w:bookmarkEnd w:id="4"/>
    </w:p>
    <w:p w14:paraId="4E7BF787" w14:textId="77777777" w:rsidR="00D638FD" w:rsidRPr="004734A8" w:rsidRDefault="00D638FD" w:rsidP="00D638FD">
      <w:pPr>
        <w:pStyle w:val="ATHeading3"/>
      </w:pPr>
      <w:bookmarkStart w:id="5" w:name="Sujet"/>
      <w:r w:rsidRPr="004734A8">
        <w:t xml:space="preserve">European Parliament legislative resolution of </w:t>
      </w:r>
      <w:r w:rsidR="00E31D67" w:rsidRPr="004734A8">
        <w:t xml:space="preserve">8 July </w:t>
      </w:r>
      <w:r w:rsidRPr="004734A8">
        <w:t>2025 on the proposal for a regulation of the European Parliament and of the Council amending Regulation (EU) 2017/1938 as regards the role of gas storage for securing gas supplies ahead of the winter season</w:t>
      </w:r>
      <w:bookmarkEnd w:id="5"/>
      <w:r w:rsidRPr="004734A8">
        <w:t xml:space="preserve"> </w:t>
      </w:r>
      <w:bookmarkStart w:id="6" w:name="References"/>
      <w:r w:rsidRPr="004734A8">
        <w:t>(COM(2025)0099 – C10-0041/2025 – 2025/0051(COD))</w:t>
      </w:r>
      <w:bookmarkEnd w:id="6"/>
    </w:p>
    <w:p w14:paraId="04D3E4F1" w14:textId="77777777" w:rsidR="00D638FD" w:rsidRPr="004734A8" w:rsidRDefault="00D638FD" w:rsidP="00D638FD"/>
    <w:p w14:paraId="50029E6F" w14:textId="77777777" w:rsidR="00C8336F" w:rsidRPr="004734A8" w:rsidRDefault="00C8336F" w:rsidP="00C8336F">
      <w:pPr>
        <w:pStyle w:val="NormalBold"/>
      </w:pPr>
      <w:bookmarkStart w:id="7" w:name="TextBodyBegin"/>
      <w:bookmarkEnd w:id="7"/>
      <w:r w:rsidRPr="004734A8">
        <w:t>(Ordinary legislative procedure: first reading)</w:t>
      </w:r>
    </w:p>
    <w:p w14:paraId="0F84DA99" w14:textId="77777777" w:rsidR="00C8336F" w:rsidRPr="004734A8" w:rsidRDefault="00C8336F" w:rsidP="00C8336F">
      <w:pPr>
        <w:pStyle w:val="EPComma"/>
      </w:pPr>
      <w:r w:rsidRPr="004734A8">
        <w:rPr>
          <w:i/>
        </w:rPr>
        <w:t>The European Parliament</w:t>
      </w:r>
      <w:r w:rsidRPr="004734A8">
        <w:t>,</w:t>
      </w:r>
    </w:p>
    <w:p w14:paraId="76C2E3FD" w14:textId="77777777" w:rsidR="00C8336F" w:rsidRPr="004734A8" w:rsidRDefault="00C8336F" w:rsidP="00C8336F">
      <w:pPr>
        <w:pStyle w:val="NormalHanging12a"/>
      </w:pPr>
      <w:r w:rsidRPr="004734A8">
        <w:t>–</w:t>
      </w:r>
      <w:r w:rsidRPr="004734A8">
        <w:tab/>
        <w:t>having regard to the Commission proposal to Parliament and the Council (COM(2025)0099),</w:t>
      </w:r>
    </w:p>
    <w:p w14:paraId="2DB15AE5" w14:textId="77777777" w:rsidR="00C8336F" w:rsidRPr="004734A8" w:rsidRDefault="00C8336F" w:rsidP="00C8336F">
      <w:pPr>
        <w:pStyle w:val="NormalHanging12a"/>
      </w:pPr>
      <w:r w:rsidRPr="004734A8">
        <w:t>–</w:t>
      </w:r>
      <w:r w:rsidRPr="004734A8">
        <w:tab/>
        <w:t>having regard to Article 294(2) and Article 194(2) of the Treaty on the Functioning of the European Union, pursuant to which the Commission submitted the proposal to Parliament (C10</w:t>
      </w:r>
      <w:r w:rsidRPr="004734A8">
        <w:noBreakHyphen/>
        <w:t>0041/2025),</w:t>
      </w:r>
    </w:p>
    <w:p w14:paraId="07F8D1F2" w14:textId="77777777" w:rsidR="00C8336F" w:rsidRPr="004734A8" w:rsidRDefault="00C8336F" w:rsidP="00C8336F">
      <w:pPr>
        <w:pStyle w:val="NormalHanging12a"/>
      </w:pPr>
      <w:r w:rsidRPr="004734A8">
        <w:t>–</w:t>
      </w:r>
      <w:r w:rsidRPr="004734A8">
        <w:tab/>
        <w:t>having regard to Article 294(3) of the Treaty on the Functioning of the European Union,</w:t>
      </w:r>
    </w:p>
    <w:p w14:paraId="6F9AE0B7" w14:textId="77777777" w:rsidR="00C8336F" w:rsidRPr="004734A8" w:rsidRDefault="00C8336F" w:rsidP="00C8336F">
      <w:pPr>
        <w:pStyle w:val="NormalHanging12a"/>
      </w:pPr>
      <w:r w:rsidRPr="004734A8">
        <w:t>–</w:t>
      </w:r>
      <w:r w:rsidRPr="004734A8">
        <w:tab/>
        <w:t>having regard to the opinion of the European Economic and Social Committee of 26 March 2025</w:t>
      </w:r>
      <w:r w:rsidRPr="004734A8">
        <w:rPr>
          <w:rStyle w:val="FootnoteReference"/>
        </w:rPr>
        <w:footnoteReference w:id="1"/>
      </w:r>
      <w:r w:rsidRPr="004734A8">
        <w:t>,</w:t>
      </w:r>
    </w:p>
    <w:p w14:paraId="23ABC857" w14:textId="77777777" w:rsidR="00C8336F" w:rsidRPr="004734A8" w:rsidRDefault="00C8336F" w:rsidP="00C8336F">
      <w:pPr>
        <w:pStyle w:val="NormalHanging12a"/>
      </w:pPr>
      <w:r w:rsidRPr="004734A8">
        <w:t>–</w:t>
      </w:r>
      <w:r w:rsidRPr="004734A8">
        <w:tab/>
      </w:r>
      <w:r w:rsidR="006D4F7F" w:rsidRPr="004734A8">
        <w:t>after consulting</w:t>
      </w:r>
      <w:r w:rsidR="006D4F7F" w:rsidRPr="004734A8" w:rsidDel="006D4F7F">
        <w:t xml:space="preserve"> </w:t>
      </w:r>
      <w:r w:rsidRPr="004734A8">
        <w:t>the Committee of the Regions,</w:t>
      </w:r>
    </w:p>
    <w:p w14:paraId="10316ED3" w14:textId="77777777" w:rsidR="00BF2FB9" w:rsidRPr="004734A8" w:rsidRDefault="00BF2FB9" w:rsidP="00C8336F">
      <w:pPr>
        <w:pStyle w:val="NormalHanging12a"/>
      </w:pPr>
      <w:r w:rsidRPr="004734A8">
        <w:t>–</w:t>
      </w:r>
      <w:r w:rsidRPr="004734A8">
        <w:tab/>
        <w:t>having regard to the provisional agreement approved by the committee responsible under Rule 7</w:t>
      </w:r>
      <w:r w:rsidR="00DC4C11" w:rsidRPr="004734A8">
        <w:t>5</w:t>
      </w:r>
      <w:r w:rsidRPr="004734A8">
        <w:t xml:space="preserve">(4) of its Rules of Procedure and the undertaking given by the Council representative by letter of </w:t>
      </w:r>
      <w:r w:rsidR="00695285" w:rsidRPr="004734A8">
        <w:t>27</w:t>
      </w:r>
      <w:r w:rsidRPr="004734A8">
        <w:t xml:space="preserve"> June 2025 to approve Parliament’s position, in accordance with Article 294(4) of the Treaty on the Functioning of the European Union,</w:t>
      </w:r>
    </w:p>
    <w:p w14:paraId="5375577D" w14:textId="77777777" w:rsidR="00C8336F" w:rsidRPr="004734A8" w:rsidRDefault="00C8336F" w:rsidP="00C8336F">
      <w:pPr>
        <w:pStyle w:val="NormalHanging12a"/>
      </w:pPr>
      <w:r w:rsidRPr="004734A8">
        <w:t>–</w:t>
      </w:r>
      <w:r w:rsidRPr="004734A8">
        <w:tab/>
        <w:t>having regard to Rule 60 of its Rules of Procedure,</w:t>
      </w:r>
    </w:p>
    <w:p w14:paraId="57AA3126" w14:textId="77777777" w:rsidR="00C8336F" w:rsidRPr="004734A8" w:rsidRDefault="00C8336F" w:rsidP="00C8336F">
      <w:pPr>
        <w:pStyle w:val="NormalHanging12a"/>
      </w:pPr>
      <w:r w:rsidRPr="004734A8">
        <w:t>–</w:t>
      </w:r>
      <w:r w:rsidRPr="004734A8">
        <w:tab/>
        <w:t>having regard to the report of the Committee on Industry, Research and Energy (A10-</w:t>
      </w:r>
      <w:r w:rsidRPr="004734A8">
        <w:lastRenderedPageBreak/>
        <w:t>0079/2025),</w:t>
      </w:r>
    </w:p>
    <w:p w14:paraId="372C575F" w14:textId="77777777" w:rsidR="00C8336F" w:rsidRPr="004734A8" w:rsidRDefault="00C8336F" w:rsidP="00C8336F">
      <w:pPr>
        <w:pStyle w:val="NormalHanging12a"/>
      </w:pPr>
      <w:r w:rsidRPr="004734A8">
        <w:t>1.</w:t>
      </w:r>
      <w:r w:rsidRPr="004734A8">
        <w:tab/>
        <w:t>Adopts its position at first reading hereinafter set out;</w:t>
      </w:r>
    </w:p>
    <w:p w14:paraId="3B20A5D0" w14:textId="77777777" w:rsidR="00C8336F" w:rsidRPr="004734A8" w:rsidRDefault="00C8336F" w:rsidP="00C8336F">
      <w:pPr>
        <w:pStyle w:val="NormalHanging12a"/>
      </w:pPr>
      <w:r w:rsidRPr="004734A8">
        <w:t>2.</w:t>
      </w:r>
      <w:r w:rsidRPr="004734A8">
        <w:tab/>
        <w:t>Calls on the Commission to refer the matter to Parliament again if it replaces, substantially amends or intends to substantially amend its proposal;</w:t>
      </w:r>
    </w:p>
    <w:p w14:paraId="6E85EF48" w14:textId="77777777" w:rsidR="00E31D67" w:rsidRPr="004734A8" w:rsidRDefault="00C8336F" w:rsidP="00C8336F">
      <w:pPr>
        <w:pStyle w:val="NormalHanging12a"/>
        <w:sectPr w:rsidR="00E31D67" w:rsidRPr="004734A8" w:rsidSect="007F3E0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734A8">
        <w:t>3.</w:t>
      </w:r>
      <w:r w:rsidRPr="004734A8">
        <w:tab/>
        <w:t>Instructs its President to forward its position to the Council, the Commission and the national parliaments.</w:t>
      </w:r>
    </w:p>
    <w:p w14:paraId="23398B61" w14:textId="77777777" w:rsidR="00E31D67" w:rsidRPr="004734A8" w:rsidRDefault="00E31D67" w:rsidP="00E31D6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4734A8">
        <w:rPr>
          <w:rFonts w:eastAsia="Calibri"/>
          <w:b/>
          <w:bCs/>
          <w:color w:val="000000"/>
          <w:szCs w:val="24"/>
        </w:rPr>
        <w:lastRenderedPageBreak/>
        <w:t>P10_TC1-COD(2025)0051</w:t>
      </w:r>
    </w:p>
    <w:p w14:paraId="71A4C334" w14:textId="77777777" w:rsidR="00347F77" w:rsidRDefault="00E31D67" w:rsidP="00347F77">
      <w:pPr>
        <w:widowControl/>
        <w:autoSpaceDE w:val="0"/>
        <w:autoSpaceDN w:val="0"/>
        <w:adjustRightInd w:val="0"/>
        <w:spacing w:before="120" w:after="120"/>
        <w:rPr>
          <w:b/>
          <w:color w:val="000000"/>
          <w:szCs w:val="24"/>
          <w:lang w:eastAsia="en-US"/>
        </w:rPr>
      </w:pPr>
      <w:r w:rsidRPr="004734A8">
        <w:rPr>
          <w:rFonts w:eastAsia="Calibri"/>
          <w:b/>
          <w:bCs/>
          <w:szCs w:val="24"/>
        </w:rPr>
        <w:t xml:space="preserve">Position of the European Parliament adopted at first reading on 8 July 2025 with a view to the adoption of Regulation (EU) 2025/… of the European Parliament and of the Council </w:t>
      </w:r>
      <w:bookmarkStart w:id="8" w:name="_DV_M1"/>
      <w:bookmarkStart w:id="9" w:name="_DV_M2"/>
      <w:bookmarkEnd w:id="8"/>
      <w:bookmarkEnd w:id="9"/>
      <w:r w:rsidR="00347F77" w:rsidRPr="004734A8">
        <w:rPr>
          <w:b/>
          <w:color w:val="000000"/>
          <w:szCs w:val="24"/>
          <w:lang w:eastAsia="en-US"/>
        </w:rPr>
        <w:t>amending Regulation (EU) 2017/1938 as regards the role of gas storage for securing gas supplies ahead of the winter season</w:t>
      </w:r>
    </w:p>
    <w:p w14:paraId="5CFF4CBE" w14:textId="05FC4741" w:rsidR="00FB6A0B" w:rsidRPr="00FB6A0B" w:rsidRDefault="00FB6A0B" w:rsidP="00FB6A0B">
      <w:pPr>
        <w:widowControl/>
        <w:spacing w:before="600" w:after="120"/>
      </w:pPr>
      <w:r w:rsidRPr="00FB6A0B">
        <w:rPr>
          <w:i/>
        </w:rPr>
        <w:t xml:space="preserve">(As an agreement was reached between Parliament and Council, Parliament's position corresponds to the </w:t>
      </w:r>
      <w:r w:rsidRPr="00CD40B0">
        <w:rPr>
          <w:i/>
        </w:rPr>
        <w:t>final legislative act, Regulation (EU) 2025/1733.)</w:t>
      </w:r>
    </w:p>
    <w:p w14:paraId="09C75965" w14:textId="77777777" w:rsidR="00FB6A0B" w:rsidRPr="004734A8" w:rsidRDefault="00FB6A0B" w:rsidP="00347F77">
      <w:pPr>
        <w:widowControl/>
        <w:autoSpaceDE w:val="0"/>
        <w:autoSpaceDN w:val="0"/>
        <w:adjustRightInd w:val="0"/>
        <w:spacing w:before="120" w:after="120"/>
        <w:rPr>
          <w:b/>
          <w:color w:val="000000"/>
          <w:szCs w:val="24"/>
          <w:lang w:eastAsia="en-US"/>
        </w:rPr>
      </w:pPr>
    </w:p>
    <w:sectPr w:rsidR="00FB6A0B" w:rsidRPr="004734A8" w:rsidSect="007F3E0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6E43B" w14:textId="77777777" w:rsidR="00D638FD" w:rsidRPr="007F3E00" w:rsidRDefault="00D638FD">
      <w:r w:rsidRPr="007F3E00">
        <w:separator/>
      </w:r>
    </w:p>
  </w:endnote>
  <w:endnote w:type="continuationSeparator" w:id="0">
    <w:p w14:paraId="779C79A6" w14:textId="77777777" w:rsidR="00D638FD" w:rsidRPr="007F3E00" w:rsidRDefault="00D638FD">
      <w:r w:rsidRPr="007F3E0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21F5E" w14:textId="77777777" w:rsidR="00064002" w:rsidRPr="007F3E0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6884C" w14:textId="77777777" w:rsidR="00064002" w:rsidRPr="007F3E0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DC865" w14:textId="77777777" w:rsidR="00064002" w:rsidRPr="007F3E0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75885" w14:textId="77777777" w:rsidR="00D638FD" w:rsidRPr="007F3E00" w:rsidRDefault="00D638FD">
      <w:r w:rsidRPr="007F3E00">
        <w:separator/>
      </w:r>
    </w:p>
  </w:footnote>
  <w:footnote w:type="continuationSeparator" w:id="0">
    <w:p w14:paraId="6B40FD23" w14:textId="77777777" w:rsidR="00D638FD" w:rsidRPr="007F3E00" w:rsidRDefault="00D638FD">
      <w:r w:rsidRPr="007F3E00">
        <w:continuationSeparator/>
      </w:r>
    </w:p>
  </w:footnote>
  <w:footnote w:id="1">
    <w:p w14:paraId="366207B8" w14:textId="77777777" w:rsidR="00C8336F" w:rsidRPr="004734A8" w:rsidRDefault="00C8336F" w:rsidP="00347F77">
      <w:pPr>
        <w:pStyle w:val="FootnoteText"/>
        <w:ind w:left="709" w:hanging="709"/>
        <w:rPr>
          <w:sz w:val="24"/>
          <w:szCs w:val="24"/>
          <w:lang w:val="fi-FI"/>
        </w:rPr>
      </w:pPr>
      <w:r w:rsidRPr="004734A8">
        <w:rPr>
          <w:rStyle w:val="FootnoteReference"/>
          <w:sz w:val="24"/>
          <w:szCs w:val="24"/>
          <w:lang w:val="en-GB"/>
        </w:rPr>
        <w:footnoteRef/>
      </w:r>
      <w:r w:rsidR="007F3E00" w:rsidRPr="004734A8">
        <w:rPr>
          <w:color w:val="1E1E1F"/>
          <w:sz w:val="24"/>
          <w:szCs w:val="24"/>
          <w:shd w:val="clear" w:color="auto" w:fill="FFFFFF"/>
          <w:lang w:val="fi-FI"/>
        </w:rPr>
        <w:t xml:space="preserve"> </w:t>
      </w:r>
      <w:r w:rsidR="007F3E00" w:rsidRPr="004734A8">
        <w:rPr>
          <w:color w:val="1E1E1F"/>
          <w:sz w:val="24"/>
          <w:szCs w:val="24"/>
          <w:shd w:val="clear" w:color="auto" w:fill="FFFFFF"/>
          <w:lang w:val="fi-FI"/>
        </w:rPr>
        <w:tab/>
      </w:r>
      <w:r w:rsidR="00BF2FB9" w:rsidRPr="004734A8">
        <w:rPr>
          <w:color w:val="1E1E1F"/>
          <w:sz w:val="24"/>
          <w:szCs w:val="24"/>
          <w:shd w:val="clear" w:color="auto" w:fill="FFFFFF"/>
          <w:lang w:val="fi-FI"/>
        </w:rPr>
        <w:t xml:space="preserve">OJ C, C/2025/2967, 16.6.2025, ELI: </w:t>
      </w:r>
      <w:hyperlink r:id="rId1" w:history="1">
        <w:r w:rsidR="00BF2FB9" w:rsidRPr="004734A8">
          <w:rPr>
            <w:rStyle w:val="Hyperlink"/>
            <w:sz w:val="24"/>
            <w:szCs w:val="24"/>
            <w:shd w:val="clear" w:color="auto" w:fill="FFFFFF"/>
            <w:lang w:val="fi-FI"/>
          </w:rPr>
          <w:t>http://data.europa.eu/eli/C/2025/2967/oj</w:t>
        </w:r>
      </w:hyperlink>
      <w:r w:rsidR="00BF2FB9" w:rsidRPr="004734A8">
        <w:rPr>
          <w:color w:val="1E1E1F"/>
          <w:sz w:val="24"/>
          <w:szCs w:val="24"/>
          <w:shd w:val="clear" w:color="auto" w:fill="FFFFFF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F1BBC" w14:textId="77777777" w:rsidR="00064002" w:rsidRPr="007F3E0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E7171" w14:textId="77777777" w:rsidR="00064002" w:rsidRPr="007F3E0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D2E27" w14:textId="77777777" w:rsidR="00064002" w:rsidRPr="007F3E0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19583329">
    <w:abstractNumId w:val="9"/>
  </w:num>
  <w:num w:numId="2" w16cid:durableId="1475870881">
    <w:abstractNumId w:val="9"/>
  </w:num>
  <w:num w:numId="3" w16cid:durableId="1431970507">
    <w:abstractNumId w:val="7"/>
  </w:num>
  <w:num w:numId="4" w16cid:durableId="1666398214">
    <w:abstractNumId w:val="7"/>
  </w:num>
  <w:num w:numId="5" w16cid:durableId="2055150985">
    <w:abstractNumId w:val="6"/>
  </w:num>
  <w:num w:numId="6" w16cid:durableId="1790468521">
    <w:abstractNumId w:val="6"/>
  </w:num>
  <w:num w:numId="7" w16cid:durableId="334648628">
    <w:abstractNumId w:val="5"/>
  </w:num>
  <w:num w:numId="8" w16cid:durableId="1362393058">
    <w:abstractNumId w:val="5"/>
  </w:num>
  <w:num w:numId="9" w16cid:durableId="1889106368">
    <w:abstractNumId w:val="4"/>
  </w:num>
  <w:num w:numId="10" w16cid:durableId="1017580565">
    <w:abstractNumId w:val="4"/>
  </w:num>
  <w:num w:numId="11" w16cid:durableId="1264651739">
    <w:abstractNumId w:val="8"/>
  </w:num>
  <w:num w:numId="12" w16cid:durableId="652414126">
    <w:abstractNumId w:val="8"/>
  </w:num>
  <w:num w:numId="13" w16cid:durableId="1575627311">
    <w:abstractNumId w:val="3"/>
  </w:num>
  <w:num w:numId="14" w16cid:durableId="2000234199">
    <w:abstractNumId w:val="3"/>
  </w:num>
  <w:num w:numId="15" w16cid:durableId="279842065">
    <w:abstractNumId w:val="2"/>
  </w:num>
  <w:num w:numId="16" w16cid:durableId="503403749">
    <w:abstractNumId w:val="2"/>
  </w:num>
  <w:num w:numId="17" w16cid:durableId="1905293036">
    <w:abstractNumId w:val="1"/>
  </w:num>
  <w:num w:numId="18" w16cid:durableId="1098871068">
    <w:abstractNumId w:val="1"/>
  </w:num>
  <w:num w:numId="19" w16cid:durableId="1238249800">
    <w:abstractNumId w:val="0"/>
  </w:num>
  <w:num w:numId="20" w16cid:durableId="1276477436">
    <w:abstractNumId w:val="0"/>
  </w:num>
  <w:num w:numId="21" w16cid:durableId="1054550879">
    <w:abstractNumId w:val="9"/>
  </w:num>
  <w:num w:numId="22" w16cid:durableId="1705015173">
    <w:abstractNumId w:val="7"/>
  </w:num>
  <w:num w:numId="23" w16cid:durableId="198857852">
    <w:abstractNumId w:val="6"/>
  </w:num>
  <w:num w:numId="24" w16cid:durableId="681199849">
    <w:abstractNumId w:val="5"/>
  </w:num>
  <w:num w:numId="25" w16cid:durableId="1474908049">
    <w:abstractNumId w:val="4"/>
  </w:num>
  <w:num w:numId="26" w16cid:durableId="551232680">
    <w:abstractNumId w:val="8"/>
  </w:num>
  <w:num w:numId="27" w16cid:durableId="515966335">
    <w:abstractNumId w:val="3"/>
  </w:num>
  <w:num w:numId="28" w16cid:durableId="105006641">
    <w:abstractNumId w:val="2"/>
  </w:num>
  <w:num w:numId="29" w16cid:durableId="1333995979">
    <w:abstractNumId w:val="1"/>
  </w:num>
  <w:num w:numId="30" w16cid:durableId="1457139322">
    <w:abstractNumId w:val="0"/>
  </w:num>
  <w:num w:numId="31" w16cid:durableId="300306749">
    <w:abstractNumId w:val="9"/>
  </w:num>
  <w:num w:numId="32" w16cid:durableId="424621121">
    <w:abstractNumId w:val="7"/>
  </w:num>
  <w:num w:numId="33" w16cid:durableId="455488899">
    <w:abstractNumId w:val="6"/>
  </w:num>
  <w:num w:numId="34" w16cid:durableId="282855260">
    <w:abstractNumId w:val="5"/>
  </w:num>
  <w:num w:numId="35" w16cid:durableId="1419253125">
    <w:abstractNumId w:val="4"/>
  </w:num>
  <w:num w:numId="36" w16cid:durableId="1146243356">
    <w:abstractNumId w:val="8"/>
  </w:num>
  <w:num w:numId="37" w16cid:durableId="1415668886">
    <w:abstractNumId w:val="3"/>
  </w:num>
  <w:num w:numId="38" w16cid:durableId="123892338">
    <w:abstractNumId w:val="2"/>
  </w:num>
  <w:num w:numId="39" w16cid:durableId="1378889790">
    <w:abstractNumId w:val="1"/>
  </w:num>
  <w:num w:numId="40" w16cid:durableId="1452282020">
    <w:abstractNumId w:val="0"/>
  </w:num>
  <w:num w:numId="41" w16cid:durableId="346713296">
    <w:abstractNumId w:val="10"/>
  </w:num>
  <w:num w:numId="42" w16cid:durableId="25566045">
    <w:abstractNumId w:val="10"/>
  </w:num>
  <w:num w:numId="43" w16cid:durableId="10452897">
    <w:abstractNumId w:val="10"/>
  </w:num>
  <w:num w:numId="44" w16cid:durableId="3513030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9/2025"/>
    <w:docVar w:name="dvlangue" w:val="EN"/>
    <w:docVar w:name="dvnumam" w:val="0"/>
    <w:docVar w:name="dvpe" w:val="772.015"/>
    <w:docVar w:name="dvrapporteur" w:val="Rapporteur: "/>
    <w:docVar w:name="dvstar" w:val="***I"/>
    <w:docVar w:name="dvtitre" w:val="European Parliament legislative resolution of xx Xxxx 2025 on the proposal for a regulation of the European Parliament and of the Council amending Regulation (EU) 2017/1938 as regards the role of gas storage for securing gas supplies ahead of the winter season(COM(2025)0099 – C10-0041/2025 – 2025/0051(COD))"/>
  </w:docVars>
  <w:rsids>
    <w:rsidRoot w:val="00D638FD"/>
    <w:rsid w:val="00002272"/>
    <w:rsid w:val="00064002"/>
    <w:rsid w:val="000677B9"/>
    <w:rsid w:val="000831BA"/>
    <w:rsid w:val="000A42CC"/>
    <w:rsid w:val="000C19C8"/>
    <w:rsid w:val="000E7DD9"/>
    <w:rsid w:val="0010095E"/>
    <w:rsid w:val="00125B37"/>
    <w:rsid w:val="0016283D"/>
    <w:rsid w:val="00187494"/>
    <w:rsid w:val="001F32AE"/>
    <w:rsid w:val="002767FF"/>
    <w:rsid w:val="002B18FE"/>
    <w:rsid w:val="002B5493"/>
    <w:rsid w:val="002B7BE1"/>
    <w:rsid w:val="00343214"/>
    <w:rsid w:val="00347F77"/>
    <w:rsid w:val="00361C00"/>
    <w:rsid w:val="00395FA1"/>
    <w:rsid w:val="003E15D4"/>
    <w:rsid w:val="00411CCE"/>
    <w:rsid w:val="0041666E"/>
    <w:rsid w:val="00421060"/>
    <w:rsid w:val="00471C19"/>
    <w:rsid w:val="004734A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7D52"/>
    <w:rsid w:val="006631B6"/>
    <w:rsid w:val="00680577"/>
    <w:rsid w:val="00695285"/>
    <w:rsid w:val="006D4F7F"/>
    <w:rsid w:val="006F74FA"/>
    <w:rsid w:val="00731ADD"/>
    <w:rsid w:val="00734777"/>
    <w:rsid w:val="00747932"/>
    <w:rsid w:val="00751A4A"/>
    <w:rsid w:val="00756632"/>
    <w:rsid w:val="00762C74"/>
    <w:rsid w:val="00770852"/>
    <w:rsid w:val="00786EC0"/>
    <w:rsid w:val="007D1690"/>
    <w:rsid w:val="007E22AD"/>
    <w:rsid w:val="007F3E0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76E9"/>
    <w:rsid w:val="00B12E95"/>
    <w:rsid w:val="00B22876"/>
    <w:rsid w:val="00B44847"/>
    <w:rsid w:val="00B558F0"/>
    <w:rsid w:val="00BD48FE"/>
    <w:rsid w:val="00BD7BD8"/>
    <w:rsid w:val="00BE6ADC"/>
    <w:rsid w:val="00BF2FB9"/>
    <w:rsid w:val="00C05BFE"/>
    <w:rsid w:val="00C23CD4"/>
    <w:rsid w:val="00C61C0C"/>
    <w:rsid w:val="00C8336F"/>
    <w:rsid w:val="00C941CB"/>
    <w:rsid w:val="00CC2357"/>
    <w:rsid w:val="00CD40B0"/>
    <w:rsid w:val="00CF071A"/>
    <w:rsid w:val="00D058B8"/>
    <w:rsid w:val="00D56C11"/>
    <w:rsid w:val="00D638FD"/>
    <w:rsid w:val="00D834A0"/>
    <w:rsid w:val="00D872DF"/>
    <w:rsid w:val="00D91E21"/>
    <w:rsid w:val="00D93C54"/>
    <w:rsid w:val="00DA7FCD"/>
    <w:rsid w:val="00DC4C11"/>
    <w:rsid w:val="00DF7C7E"/>
    <w:rsid w:val="00E06439"/>
    <w:rsid w:val="00E31D67"/>
    <w:rsid w:val="00E365E1"/>
    <w:rsid w:val="00E820A4"/>
    <w:rsid w:val="00E92814"/>
    <w:rsid w:val="00EB006A"/>
    <w:rsid w:val="00EB4772"/>
    <w:rsid w:val="00ED14C8"/>
    <w:rsid w:val="00ED169E"/>
    <w:rsid w:val="00ED4235"/>
    <w:rsid w:val="00EE7D2B"/>
    <w:rsid w:val="00F04346"/>
    <w:rsid w:val="00F075DC"/>
    <w:rsid w:val="00F149E9"/>
    <w:rsid w:val="00F5134D"/>
    <w:rsid w:val="00F74202"/>
    <w:rsid w:val="00F87713"/>
    <w:rsid w:val="00FB4360"/>
    <w:rsid w:val="00FB6A0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6162D7"/>
  <w15:chartTrackingRefBased/>
  <w15:docId w15:val="{A2E180D0-B40B-4F99-BCED-0A40E7442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8336F"/>
    <w:pPr>
      <w:spacing w:before="480" w:after="240"/>
    </w:pPr>
  </w:style>
  <w:style w:type="paragraph" w:customStyle="1" w:styleId="NormalBold">
    <w:name w:val="NormalBold"/>
    <w:basedOn w:val="Normal"/>
    <w:rsid w:val="00C8336F"/>
    <w:rPr>
      <w:b/>
    </w:rPr>
  </w:style>
  <w:style w:type="paragraph" w:customStyle="1" w:styleId="NormalHanging12a">
    <w:name w:val="NormalHanging12a"/>
    <w:basedOn w:val="Normal"/>
    <w:link w:val="NormalHanging12aChar"/>
    <w:rsid w:val="00C8336F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C8336F"/>
    <w:pPr>
      <w:spacing w:after="240"/>
      <w:jc w:val="center"/>
    </w:pPr>
  </w:style>
  <w:style w:type="paragraph" w:customStyle="1" w:styleId="AmNumberTabs">
    <w:name w:val="AmNumberTabs"/>
    <w:basedOn w:val="Normal"/>
    <w:rsid w:val="00C8336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C8336F"/>
    <w:pPr>
      <w:spacing w:before="720" w:after="240"/>
      <w:jc w:val="center"/>
    </w:pPr>
  </w:style>
  <w:style w:type="paragraph" w:customStyle="1" w:styleId="Titrearticle">
    <w:name w:val="Titre article"/>
    <w:basedOn w:val="Normal"/>
    <w:next w:val="Normal"/>
    <w:rsid w:val="00C8336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C8336F"/>
    <w:rPr>
      <w:sz w:val="24"/>
    </w:rPr>
  </w:style>
  <w:style w:type="paragraph" w:styleId="BalloonText">
    <w:name w:val="Balloon Text"/>
    <w:basedOn w:val="Normal"/>
    <w:link w:val="BalloonTextChar"/>
    <w:rsid w:val="00E31D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31D67"/>
    <w:rPr>
      <w:rFonts w:ascii="Segoe UI" w:hAnsi="Segoe UI" w:cs="Segoe UI"/>
      <w:sz w:val="18"/>
      <w:szCs w:val="18"/>
    </w:rPr>
  </w:style>
  <w:style w:type="paragraph" w:customStyle="1" w:styleId="FootnoteTextForceStyle">
    <w:name w:val="Footnote Text ForceStyle"/>
    <w:rsid w:val="00347F77"/>
    <w:pPr>
      <w:keepLines/>
      <w:widowControl w:val="0"/>
      <w:spacing w:line="240" w:lineRule="exact"/>
      <w:ind w:left="850" w:hanging="850"/>
    </w:pPr>
    <w:rPr>
      <w:sz w:val="24"/>
      <w:lang w:eastAsia="en-US"/>
    </w:rPr>
  </w:style>
  <w:style w:type="character" w:customStyle="1" w:styleId="Hyperlink1">
    <w:name w:val="Hyperlink1"/>
    <w:basedOn w:val="DefaultParagraphFont"/>
    <w:unhideWhenUsed/>
    <w:rsid w:val="00347F77"/>
    <w:rPr>
      <w:color w:val="0000FF"/>
      <w:u w:val="single"/>
    </w:rPr>
  </w:style>
  <w:style w:type="character" w:styleId="Hyperlink">
    <w:name w:val="Hyperlink"/>
    <w:basedOn w:val="DefaultParagraphFont"/>
    <w:rsid w:val="00BF2FB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16283D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FB6A0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6A0B"/>
  </w:style>
  <w:style w:type="character" w:styleId="CommentReference">
    <w:name w:val="annotation reference"/>
    <w:basedOn w:val="DefaultParagraphFont"/>
    <w:unhideWhenUsed/>
    <w:rsid w:val="00FB6A0B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FB6A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0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29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E3BDEB9E2C641AB20B9B5ECEF7390" ma:contentTypeVersion="0" ma:contentTypeDescription="Create a new document." ma:contentTypeScope="" ma:versionID="614626fc44473ceb56e0ec5e422035a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c3262b18ef56d63b19324dc522ec8a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8CD2B9-56F6-4FE7-8A9F-9F24231ACD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285DE7-6C1D-439A-AB7D-8EAAB5CDDFE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D6C9619-7AF4-4D87-9793-CE61A68661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8FBAD2-27A7-402C-9A0B-E10F1EEB4D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352</Words>
  <Characters>2103</Characters>
  <Application>Microsoft Office Word</Application>
  <DocSecurity>0</DocSecurity>
  <Lines>87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CROSSFIELD Clare</cp:lastModifiedBy>
  <cp:revision>2</cp:revision>
  <cp:lastPrinted>2025-07-03T12:54:00Z</cp:lastPrinted>
  <dcterms:created xsi:type="dcterms:W3CDTF">2025-10-21T13:31:00Z</dcterms:created>
  <dcterms:modified xsi:type="dcterms:W3CDTF">2025-10-21T13:31:00Z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A10-0079/2025</vt:lpwstr>
  </property>
  <property fmtid="{D5CDD505-2E9C-101B-9397-08002B2CF9AE}" pid="4" name="&lt;Type&gt;">
    <vt:lpwstr>RR</vt:lpwstr>
  </property>
  <property fmtid="{D5CDD505-2E9C-101B-9397-08002B2CF9AE}" pid="5" name="ContentTypeId">
    <vt:lpwstr>0x010100899E3BDEB9E2C641AB20B9B5ECEF7390</vt:lpwstr>
  </property>
</Properties>
</file>