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0867" w14:paraId="64D708B7" w14:textId="77777777" w:rsidTr="0010095E">
        <w:trPr>
          <w:trHeight w:hRule="exact" w:val="1418"/>
        </w:trPr>
        <w:tc>
          <w:tcPr>
            <w:tcW w:w="6804" w:type="dxa"/>
            <w:shd w:val="clear" w:color="auto" w:fill="auto"/>
            <w:vAlign w:val="center"/>
          </w:tcPr>
          <w:p w14:paraId="747948A5" w14:textId="77777777" w:rsidR="00751A4A" w:rsidRPr="00D50867" w:rsidRDefault="0087248A" w:rsidP="0010095E">
            <w:pPr>
              <w:pStyle w:val="EPName"/>
            </w:pPr>
            <w:r w:rsidRPr="00D50867">
              <w:t>Parlement européen</w:t>
            </w:r>
          </w:p>
          <w:p w14:paraId="6BE4D315" w14:textId="77777777" w:rsidR="00751A4A" w:rsidRPr="00D50867" w:rsidRDefault="005F1B17" w:rsidP="005F1B17">
            <w:pPr>
              <w:pStyle w:val="EPTerm"/>
              <w:rPr>
                <w:rStyle w:val="HideTWBExt"/>
                <w:noProof w:val="0"/>
                <w:vanish w:val="0"/>
                <w:color w:val="auto"/>
              </w:rPr>
            </w:pPr>
            <w:r w:rsidRPr="00D50867">
              <w:t>2024</w:t>
            </w:r>
            <w:r w:rsidR="00817416" w:rsidRPr="00D50867">
              <w:t>-202</w:t>
            </w:r>
            <w:r w:rsidRPr="00D50867">
              <w:t>9</w:t>
            </w:r>
          </w:p>
        </w:tc>
        <w:tc>
          <w:tcPr>
            <w:tcW w:w="2268" w:type="dxa"/>
            <w:shd w:val="clear" w:color="auto" w:fill="auto"/>
          </w:tcPr>
          <w:p w14:paraId="4482B142" w14:textId="77777777" w:rsidR="00751A4A" w:rsidRPr="00D50867" w:rsidRDefault="00187494" w:rsidP="0010095E">
            <w:pPr>
              <w:pStyle w:val="EPLogo"/>
            </w:pPr>
            <w:r w:rsidRPr="00D50867">
              <w:rPr>
                <w:noProof/>
                <w:lang w:val="en-GB"/>
              </w:rPr>
              <w:drawing>
                <wp:inline distT="0" distB="0" distL="0" distR="0" wp14:anchorId="49CBED85" wp14:editId="2F63EB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764938" w14:textId="77777777" w:rsidR="00D058B8" w:rsidRPr="00D50867" w:rsidRDefault="00D058B8" w:rsidP="004C5D52">
      <w:pPr>
        <w:pStyle w:val="LineTop"/>
      </w:pPr>
    </w:p>
    <w:p w14:paraId="5CE3C308" w14:textId="77777777" w:rsidR="00680577" w:rsidRPr="00D50867" w:rsidRDefault="0087248A" w:rsidP="00680577">
      <w:pPr>
        <w:pStyle w:val="EPBodyTA1"/>
      </w:pPr>
      <w:r w:rsidRPr="00D50867">
        <w:t>TEXTES ADOPTÉS</w:t>
      </w:r>
    </w:p>
    <w:p w14:paraId="28BDF402" w14:textId="77777777" w:rsidR="00D058B8" w:rsidRPr="00D50867" w:rsidRDefault="00D058B8" w:rsidP="00D058B8">
      <w:pPr>
        <w:pStyle w:val="LineBottom"/>
      </w:pPr>
    </w:p>
    <w:p w14:paraId="1A46ABFF" w14:textId="77777777" w:rsidR="0087248A" w:rsidRPr="00D50867" w:rsidRDefault="0087248A" w:rsidP="0087248A">
      <w:pPr>
        <w:pStyle w:val="ATHeading1"/>
      </w:pPr>
      <w:bookmarkStart w:id="0" w:name="TANumber"/>
      <w:r w:rsidRPr="00D50867">
        <w:t>P10_TA(2025)0</w:t>
      </w:r>
      <w:r w:rsidR="00F35D0F" w:rsidRPr="00D50867">
        <w:t>14</w:t>
      </w:r>
      <w:r w:rsidRPr="00D50867">
        <w:t>0</w:t>
      </w:r>
      <w:bookmarkEnd w:id="0"/>
    </w:p>
    <w:p w14:paraId="2441231D" w14:textId="77777777" w:rsidR="0087248A" w:rsidRPr="00D50867" w:rsidRDefault="002827B6" w:rsidP="0087248A">
      <w:pPr>
        <w:pStyle w:val="ATHeading2"/>
      </w:pPr>
      <w:bookmarkStart w:id="1" w:name="title"/>
      <w:r w:rsidRPr="00D50867">
        <w:t>Le rôle du stockage de gaz dans la sécurité de l’approvisionnement en gaz avant la saison hivernale</w:t>
      </w:r>
      <w:bookmarkEnd w:id="1"/>
    </w:p>
    <w:p w14:paraId="71ECE254" w14:textId="77777777" w:rsidR="0087248A" w:rsidRPr="00D50867" w:rsidRDefault="0087248A" w:rsidP="0087248A">
      <w:pPr>
        <w:rPr>
          <w:i/>
          <w:vanish/>
        </w:rPr>
      </w:pPr>
      <w:r w:rsidRPr="00D50867">
        <w:rPr>
          <w:i/>
        </w:rPr>
        <w:fldChar w:fldCharType="begin"/>
      </w:r>
      <w:r w:rsidRPr="00D50867">
        <w:rPr>
          <w:i/>
        </w:rPr>
        <w:instrText xml:space="preserve"> TC"(</w:instrText>
      </w:r>
      <w:bookmarkStart w:id="2" w:name="DocNumber"/>
      <w:r w:rsidRPr="00D50867">
        <w:rPr>
          <w:i/>
        </w:rPr>
        <w:instrText>A10-0079/2025</w:instrText>
      </w:r>
      <w:bookmarkEnd w:id="2"/>
      <w:r w:rsidRPr="00D50867">
        <w:rPr>
          <w:i/>
        </w:rPr>
        <w:instrText xml:space="preserve"> - Rapporteur: Borys Budka)"\l3 \n&gt; \* MERGEFORMAT </w:instrText>
      </w:r>
      <w:r w:rsidRPr="00D50867">
        <w:rPr>
          <w:i/>
        </w:rPr>
        <w:fldChar w:fldCharType="end"/>
      </w:r>
    </w:p>
    <w:p w14:paraId="27B3A5B5" w14:textId="77777777" w:rsidR="0087248A" w:rsidRPr="00D50867" w:rsidRDefault="0087248A" w:rsidP="0087248A">
      <w:pPr>
        <w:rPr>
          <w:vanish/>
        </w:rPr>
      </w:pPr>
      <w:bookmarkStart w:id="3" w:name="Commission"/>
      <w:r w:rsidRPr="00D50867">
        <w:rPr>
          <w:vanish/>
        </w:rPr>
        <w:t>Commission de l’industrie, de la recherche et de l’énergie</w:t>
      </w:r>
      <w:bookmarkEnd w:id="3"/>
    </w:p>
    <w:p w14:paraId="31E8C787" w14:textId="77777777" w:rsidR="0087248A" w:rsidRPr="00D50867" w:rsidRDefault="0087248A" w:rsidP="0087248A">
      <w:pPr>
        <w:rPr>
          <w:vanish/>
        </w:rPr>
      </w:pPr>
      <w:bookmarkStart w:id="4" w:name="PE"/>
      <w:r w:rsidRPr="00D50867">
        <w:rPr>
          <w:vanish/>
        </w:rPr>
        <w:t>PE772.015</w:t>
      </w:r>
      <w:bookmarkEnd w:id="4"/>
    </w:p>
    <w:p w14:paraId="4A3B576A" w14:textId="77777777" w:rsidR="0087248A" w:rsidRPr="00D50867" w:rsidRDefault="0087248A" w:rsidP="0087248A">
      <w:pPr>
        <w:pStyle w:val="ATHeading3"/>
      </w:pPr>
      <w:bookmarkStart w:id="5" w:name="Sujet"/>
      <w:r w:rsidRPr="00D50867">
        <w:t xml:space="preserve">Résolution législative du Parlement européen du </w:t>
      </w:r>
      <w:r w:rsidR="002827B6" w:rsidRPr="00D50867">
        <w:t>8</w:t>
      </w:r>
      <w:r w:rsidR="008B19F2" w:rsidRPr="00D50867">
        <w:t xml:space="preserve"> juillet</w:t>
      </w:r>
      <w:r w:rsidRPr="00D50867">
        <w:t xml:space="preserve"> 2025 sur la proposition de règlement du Parlement européen et du Conseil modifiant le règlement (UE) 2017/1938 en ce qui concerne le rôle du stockage de gaz dans la sécurité de l’approvisionnement en gaz avant la saison hivernale</w:t>
      </w:r>
      <w:bookmarkEnd w:id="5"/>
      <w:r w:rsidRPr="00D50867">
        <w:t xml:space="preserve"> </w:t>
      </w:r>
      <w:bookmarkStart w:id="6" w:name="References"/>
      <w:r w:rsidRPr="00D50867">
        <w:t>(COM(2025)0099 – C10-0041/2025 – 2025/0051(COD))</w:t>
      </w:r>
      <w:bookmarkEnd w:id="6"/>
    </w:p>
    <w:p w14:paraId="61956163" w14:textId="77777777" w:rsidR="002C52E4" w:rsidRPr="00D50867" w:rsidRDefault="002C52E4" w:rsidP="00F35D0F"/>
    <w:p w14:paraId="3AC5F1AD" w14:textId="77777777" w:rsidR="002C52E4" w:rsidRPr="00D50867" w:rsidRDefault="002C52E4" w:rsidP="00F35D0F">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pPr>
      <w:bookmarkStart w:id="7" w:name="TextBodyBegin"/>
      <w:bookmarkEnd w:id="7"/>
      <w:r w:rsidRPr="00D50867">
        <w:rPr>
          <w:b/>
        </w:rPr>
        <w:t>(Procédure législative ordinaire: première lecture)</w:t>
      </w:r>
    </w:p>
    <w:p w14:paraId="56D5441A" w14:textId="77777777" w:rsidR="00851372" w:rsidRPr="00D50867" w:rsidRDefault="00851372" w:rsidP="00851372">
      <w:pPr>
        <w:pStyle w:val="EPComma"/>
      </w:pPr>
      <w:r w:rsidRPr="00D50867">
        <w:rPr>
          <w:i/>
        </w:rPr>
        <w:t>Le Parlement européen</w:t>
      </w:r>
      <w:r w:rsidRPr="00D50867">
        <w:t>,</w:t>
      </w:r>
    </w:p>
    <w:p w14:paraId="4EA27382" w14:textId="77777777" w:rsidR="00851372" w:rsidRPr="00D50867" w:rsidRDefault="00851372" w:rsidP="00851372">
      <w:pPr>
        <w:pStyle w:val="NormalHanging12a"/>
      </w:pPr>
      <w:r w:rsidRPr="00D50867">
        <w:t>–</w:t>
      </w:r>
      <w:r w:rsidRPr="00D50867">
        <w:tab/>
        <w:t>vu la proposition de la Commission au Parlement européen et au Conseil (COM(2025)0099),</w:t>
      </w:r>
    </w:p>
    <w:p w14:paraId="493628CE" w14:textId="77777777" w:rsidR="00851372" w:rsidRPr="00D50867" w:rsidRDefault="00851372" w:rsidP="00851372">
      <w:pPr>
        <w:pStyle w:val="NormalHanging12a"/>
      </w:pPr>
      <w:r w:rsidRPr="00D50867">
        <w:t>–</w:t>
      </w:r>
      <w:r w:rsidRPr="00D50867">
        <w:tab/>
        <w:t>vu l’article 294, paragraphe 2, et l’article 194, paragraphe 2, du traité sur le fonctionnement de l’Union européenne, conformément auxquels la proposition lui a été présentée par la Commission (C10</w:t>
      </w:r>
      <w:r w:rsidRPr="00D50867">
        <w:noBreakHyphen/>
        <w:t>0041/2025),</w:t>
      </w:r>
    </w:p>
    <w:p w14:paraId="3DC833DD" w14:textId="77777777" w:rsidR="00851372" w:rsidRPr="00D50867" w:rsidRDefault="00851372" w:rsidP="00851372">
      <w:pPr>
        <w:pStyle w:val="NormalHanging12a"/>
      </w:pPr>
      <w:r w:rsidRPr="00D50867">
        <w:t>–</w:t>
      </w:r>
      <w:r w:rsidRPr="00D50867">
        <w:tab/>
        <w:t>vu l’article 294, paragraphe 3, du traité sur le fonctionnement de l’Union européenne,</w:t>
      </w:r>
    </w:p>
    <w:p w14:paraId="447A74A2" w14:textId="77777777" w:rsidR="00851372" w:rsidRPr="00D50867" w:rsidRDefault="00851372" w:rsidP="00851372">
      <w:pPr>
        <w:pStyle w:val="NormalHanging12a"/>
      </w:pPr>
      <w:r w:rsidRPr="00D50867">
        <w:t>–</w:t>
      </w:r>
      <w:r w:rsidRPr="00D50867">
        <w:tab/>
        <w:t>vu l’avis du Comité économique et social européen du 26 mars 2025</w:t>
      </w:r>
      <w:r w:rsidRPr="00D50867">
        <w:rPr>
          <w:rStyle w:val="FootnoteReference"/>
        </w:rPr>
        <w:footnoteReference w:id="1"/>
      </w:r>
      <w:r w:rsidRPr="00D50867">
        <w:t>,</w:t>
      </w:r>
    </w:p>
    <w:p w14:paraId="28D95267" w14:textId="77777777" w:rsidR="00851372" w:rsidRPr="00D50867" w:rsidRDefault="00851372" w:rsidP="00851372">
      <w:pPr>
        <w:pStyle w:val="NormalHanging12a"/>
      </w:pPr>
      <w:r w:rsidRPr="00D50867">
        <w:t>–</w:t>
      </w:r>
      <w:r w:rsidRPr="00D50867">
        <w:tab/>
      </w:r>
      <w:r w:rsidR="0052238A" w:rsidRPr="00D50867">
        <w:t>après consultation</w:t>
      </w:r>
      <w:r w:rsidRPr="00D50867">
        <w:t xml:space="preserve"> du Comité des régions,</w:t>
      </w:r>
    </w:p>
    <w:p w14:paraId="343B144F" w14:textId="77777777" w:rsidR="0052238A" w:rsidRPr="00D50867" w:rsidRDefault="0052238A" w:rsidP="00851372">
      <w:pPr>
        <w:pStyle w:val="NormalHanging12a"/>
      </w:pPr>
      <w:r w:rsidRPr="00D50867">
        <w:t>–</w:t>
      </w:r>
      <w:r w:rsidRPr="00D50867">
        <w:tab/>
        <w:t>vu l’accord provisoire approuvé en vertu de l’article 75, paragraphe 4, de son règlement intérieur par la commission compétente et l’engagement pris par le représentant du Conseil, par lettre du 27 juin 2025, d’approuver la position du Parlement européen, conformément à l’article 294, paragraphe 4, du traité sur le fonctionnement de l’Union européenne,</w:t>
      </w:r>
    </w:p>
    <w:p w14:paraId="5986DAD6" w14:textId="77777777" w:rsidR="00851372" w:rsidRPr="00D50867" w:rsidRDefault="00851372" w:rsidP="00851372">
      <w:pPr>
        <w:pStyle w:val="NormalHanging12a"/>
      </w:pPr>
      <w:r w:rsidRPr="00D50867">
        <w:t>–</w:t>
      </w:r>
      <w:r w:rsidRPr="00D50867">
        <w:tab/>
        <w:t>vu l’article 60 de son règlement intérieur,</w:t>
      </w:r>
    </w:p>
    <w:p w14:paraId="2586302A" w14:textId="77777777" w:rsidR="00851372" w:rsidRPr="00D50867" w:rsidRDefault="00851372" w:rsidP="00851372">
      <w:pPr>
        <w:pStyle w:val="NormalHanging12a"/>
      </w:pPr>
      <w:r w:rsidRPr="00D50867">
        <w:t>–</w:t>
      </w:r>
      <w:r w:rsidRPr="00D50867">
        <w:tab/>
        <w:t>vu le rapport de la commission de l’industrie, de la recherche et de l’énergie (A10-0079/2025),</w:t>
      </w:r>
    </w:p>
    <w:p w14:paraId="27F28EBB" w14:textId="77777777" w:rsidR="00851372" w:rsidRPr="00D50867" w:rsidRDefault="00851372" w:rsidP="00851372">
      <w:pPr>
        <w:pStyle w:val="NormalHanging12a"/>
      </w:pPr>
      <w:r w:rsidRPr="00D50867">
        <w:t>1.</w:t>
      </w:r>
      <w:r w:rsidRPr="00D50867">
        <w:tab/>
        <w:t>arrête la position en première lecture figurant ci-après;</w:t>
      </w:r>
    </w:p>
    <w:p w14:paraId="1F5A5CC0" w14:textId="77777777" w:rsidR="00851372" w:rsidRPr="00D50867" w:rsidRDefault="00851372" w:rsidP="00851372">
      <w:pPr>
        <w:pStyle w:val="NormalHanging12a"/>
      </w:pPr>
      <w:r w:rsidRPr="00D50867">
        <w:t>2.</w:t>
      </w:r>
      <w:r w:rsidRPr="00D50867">
        <w:tab/>
        <w:t xml:space="preserve">demande à la Commission de le saisir à nouveau si elle remplace, modifie de manière </w:t>
      </w:r>
      <w:r w:rsidRPr="00D50867">
        <w:lastRenderedPageBreak/>
        <w:t>substantielle ou entend modifier de manière substantielle sa proposition;</w:t>
      </w:r>
    </w:p>
    <w:p w14:paraId="68A4E9CB" w14:textId="77777777" w:rsidR="00851372" w:rsidRPr="00D50867" w:rsidRDefault="00851372" w:rsidP="00851372">
      <w:pPr>
        <w:pStyle w:val="NormalHanging12a"/>
      </w:pPr>
      <w:r w:rsidRPr="00D50867">
        <w:t>3.</w:t>
      </w:r>
      <w:r w:rsidRPr="00D50867">
        <w:tab/>
        <w:t>charge sa Présidente de transmettre la position du Parlement au Conseil et à la Commission ainsi qu’aux parlements nationaux.</w:t>
      </w:r>
    </w:p>
    <w:p w14:paraId="19AA0BDB" w14:textId="77777777" w:rsidR="00851372" w:rsidRPr="00D50867" w:rsidRDefault="00851372" w:rsidP="00851372">
      <w:pPr>
        <w:widowControl/>
        <w:sectPr w:rsidR="00851372" w:rsidRPr="00D50867" w:rsidSect="004E63F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9594BF" w14:textId="77777777" w:rsidR="0052238A" w:rsidRPr="00D50867" w:rsidRDefault="0052238A" w:rsidP="0052238A">
      <w:pPr>
        <w:spacing w:after="240"/>
        <w:rPr>
          <w:b/>
        </w:rPr>
      </w:pPr>
      <w:r w:rsidRPr="00D50867">
        <w:rPr>
          <w:b/>
        </w:rPr>
        <w:lastRenderedPageBreak/>
        <w:t>P10_TC1-COD(2025)0051</w:t>
      </w:r>
    </w:p>
    <w:p w14:paraId="2478221B" w14:textId="77777777" w:rsidR="0052238A" w:rsidRDefault="0052238A" w:rsidP="0052238A">
      <w:pPr>
        <w:widowControl/>
        <w:spacing w:before="120"/>
        <w:rPr>
          <w:b/>
          <w:color w:val="000000"/>
          <w:szCs w:val="24"/>
          <w:lang w:eastAsia="en-US"/>
        </w:rPr>
      </w:pPr>
      <w:r w:rsidRPr="00D50867">
        <w:rPr>
          <w:b/>
        </w:rPr>
        <w:t xml:space="preserve">Position du Parlement européen arrêtée en première lecture le 8 juillet 2025 en vue de l’adoption du règlement (UE) 2025/... du Parlement européen et du Conseil </w:t>
      </w:r>
      <w:r w:rsidRPr="00D50867">
        <w:rPr>
          <w:b/>
          <w:color w:val="000000"/>
          <w:szCs w:val="24"/>
          <w:lang w:eastAsia="en-US"/>
        </w:rPr>
        <w:t>modifiant le règlement (UE) 2017/1938 en ce qui concerne le rôle du stockage de gaz dans la sécurité de l’approvisionnement en gaz avant la saison hivernale</w:t>
      </w:r>
    </w:p>
    <w:p w14:paraId="20D5F71F" w14:textId="755B11DB" w:rsidR="00EF0FAE" w:rsidRPr="00D50867" w:rsidRDefault="00EF0FAE" w:rsidP="00EF0FAE">
      <w:pPr>
        <w:pStyle w:val="Datedadoption"/>
        <w:spacing w:after="240" w:line="240" w:lineRule="auto"/>
        <w:jc w:val="left"/>
        <w:rPr>
          <w:b w:val="0"/>
          <w:color w:val="000000"/>
          <w:szCs w:val="24"/>
        </w:rPr>
      </w:pPr>
      <w:r w:rsidRPr="0070765D">
        <w:rPr>
          <w:b w:val="0"/>
          <w:i/>
          <w:szCs w:val="24"/>
        </w:rPr>
        <w:t>(Étant donné l'accord intervenu entre le Parlement et le Conseil, la position du Parlement correspond à l'acte législatif final, le règlement (UE) 2025/</w:t>
      </w:r>
      <w:r>
        <w:rPr>
          <w:b w:val="0"/>
          <w:i/>
          <w:szCs w:val="24"/>
        </w:rPr>
        <w:t>1733</w:t>
      </w:r>
      <w:r w:rsidRPr="0070765D">
        <w:rPr>
          <w:b w:val="0"/>
          <w:i/>
          <w:szCs w:val="24"/>
        </w:rPr>
        <w:t>.)</w:t>
      </w:r>
    </w:p>
    <w:sectPr w:rsidR="00EF0FAE" w:rsidRPr="00D50867" w:rsidSect="004E63F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08586" w14:textId="77777777" w:rsidR="0087248A" w:rsidRPr="004E63F6" w:rsidRDefault="0087248A">
      <w:r w:rsidRPr="004E63F6">
        <w:separator/>
      </w:r>
    </w:p>
  </w:endnote>
  <w:endnote w:type="continuationSeparator" w:id="0">
    <w:p w14:paraId="4D249CD6" w14:textId="77777777" w:rsidR="0087248A" w:rsidRPr="004E63F6" w:rsidRDefault="0087248A">
      <w:r w:rsidRPr="004E63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8DB67" w14:textId="77777777" w:rsidR="00851372" w:rsidRPr="004E63F6" w:rsidRDefault="00851372" w:rsidP="00C10754">
    <w:pPr>
      <w:pStyle w:val="EPFooter"/>
    </w:pPr>
    <w:r w:rsidRPr="004E63F6">
      <w:t>PE</w:t>
    </w:r>
    <w:r w:rsidRPr="004E63F6">
      <w:rPr>
        <w:rStyle w:val="HideTWBExt"/>
      </w:rPr>
      <w:t>&lt;NoPE&gt;</w:t>
    </w:r>
    <w:r w:rsidRPr="004E63F6">
      <w:t>772.015</w:t>
    </w:r>
    <w:r w:rsidRPr="004E63F6">
      <w:rPr>
        <w:rStyle w:val="HideTWBExt"/>
      </w:rPr>
      <w:t>&lt;/NoPE&gt;&lt;Version&gt;</w:t>
    </w:r>
    <w:r w:rsidRPr="004E63F6">
      <w:t>v02-00</w:t>
    </w:r>
    <w:r w:rsidRPr="004E63F6">
      <w:rPr>
        <w:rStyle w:val="HideTWBExt"/>
      </w:rPr>
      <w:t>&lt;/Version&gt;</w:t>
    </w:r>
    <w:r w:rsidRPr="004E63F6">
      <w:tab/>
    </w:r>
    <w:r w:rsidRPr="004E63F6">
      <w:fldChar w:fldCharType="begin"/>
    </w:r>
    <w:r w:rsidRPr="004E63F6">
      <w:instrText xml:space="preserve"> PAGE  \* MERGEFORMAT </w:instrText>
    </w:r>
    <w:r w:rsidRPr="004E63F6">
      <w:fldChar w:fldCharType="separate"/>
    </w:r>
    <w:r w:rsidRPr="004E63F6">
      <w:rPr>
        <w:noProof/>
      </w:rPr>
      <w:t>2</w:t>
    </w:r>
    <w:r w:rsidRPr="004E63F6">
      <w:fldChar w:fldCharType="end"/>
    </w:r>
    <w:r w:rsidRPr="004E63F6">
      <w:t>/</w:t>
    </w:r>
    <w:fldSimple w:instr=" NUMPAGES  \* MERGEFORMAT ">
      <w:r w:rsidRPr="004E63F6">
        <w:rPr>
          <w:noProof/>
        </w:rPr>
        <w:t>3</w:t>
      </w:r>
    </w:fldSimple>
    <w:r w:rsidRPr="004E63F6">
      <w:tab/>
    </w:r>
    <w:r w:rsidRPr="004E63F6">
      <w:rPr>
        <w:rStyle w:val="HideTWBExt"/>
      </w:rPr>
      <w:t>&lt;PathFdR&gt;</w:t>
    </w:r>
    <w:r w:rsidRPr="004E63F6">
      <w:t>RR\1320024FR.docx</w:t>
    </w:r>
    <w:r w:rsidRPr="004E63F6">
      <w:rPr>
        <w:rStyle w:val="HideTWBExt"/>
      </w:rPr>
      <w:t>&lt;/PathFdR&gt;</w:t>
    </w:r>
  </w:p>
  <w:p w14:paraId="1D05C24E" w14:textId="77777777" w:rsidR="00851372" w:rsidRPr="004E63F6" w:rsidRDefault="00851372" w:rsidP="00C10754">
    <w:pPr>
      <w:pStyle w:val="EPFooter2"/>
    </w:pPr>
    <w:r w:rsidRPr="004E63F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AE0BA" w14:textId="77777777" w:rsidR="00851372" w:rsidRPr="004E63F6" w:rsidRDefault="00851372" w:rsidP="00C10754">
    <w:pPr>
      <w:pStyle w:val="EPFooter"/>
    </w:pPr>
    <w:r w:rsidRPr="004E63F6">
      <w:rPr>
        <w:rStyle w:val="HideTWBExt"/>
      </w:rPr>
      <w:t>&lt;PathFdR&gt;</w:t>
    </w:r>
    <w:r w:rsidRPr="004E63F6">
      <w:t>RR\1320024FR.docx</w:t>
    </w:r>
    <w:r w:rsidRPr="004E63F6">
      <w:rPr>
        <w:rStyle w:val="HideTWBExt"/>
      </w:rPr>
      <w:t>&lt;/PathFdR&gt;</w:t>
    </w:r>
    <w:r w:rsidRPr="004E63F6">
      <w:tab/>
    </w:r>
    <w:r w:rsidRPr="004E63F6">
      <w:tab/>
      <w:t>PE</w:t>
    </w:r>
    <w:r w:rsidRPr="004E63F6">
      <w:rPr>
        <w:rStyle w:val="HideTWBExt"/>
      </w:rPr>
      <w:t>&lt;NoPE&gt;</w:t>
    </w:r>
    <w:r w:rsidRPr="004E63F6">
      <w:t>772.015</w:t>
    </w:r>
    <w:r w:rsidRPr="004E63F6">
      <w:rPr>
        <w:rStyle w:val="HideTWBExt"/>
      </w:rPr>
      <w:t>&lt;/NoPE&gt;&lt;Version&gt;</w:t>
    </w:r>
    <w:r w:rsidRPr="004E63F6">
      <w:t>v02-00</w:t>
    </w:r>
    <w:r w:rsidRPr="004E63F6">
      <w:rPr>
        <w:rStyle w:val="HideTWBExt"/>
      </w:rPr>
      <w:t>&lt;/Version&gt;</w:t>
    </w:r>
  </w:p>
  <w:p w14:paraId="084C397C" w14:textId="77777777" w:rsidR="00851372" w:rsidRPr="004E63F6" w:rsidRDefault="00851372" w:rsidP="00C10754">
    <w:pPr>
      <w:pStyle w:val="EPFooter2"/>
    </w:pPr>
    <w:r w:rsidRPr="004E63F6">
      <w:t>FR</w:t>
    </w:r>
    <w:r w:rsidRPr="004E63F6">
      <w:tab/>
    </w:r>
    <w:r w:rsidRPr="004E63F6">
      <w:rPr>
        <w:b w:val="0"/>
        <w:i/>
        <w:color w:val="C0C0C0"/>
        <w:sz w:val="22"/>
      </w:rPr>
      <w:t>Unie dans la diversité</w:t>
    </w:r>
    <w:r w:rsidRPr="004E63F6">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BB2B3" w14:textId="77777777" w:rsidR="00064002" w:rsidRPr="004E63F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367FB" w14:textId="77777777" w:rsidR="00064002" w:rsidRPr="004E63F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AAEBF" w14:textId="77777777" w:rsidR="00064002" w:rsidRPr="004E63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7A71E" w14:textId="77777777" w:rsidR="0087248A" w:rsidRPr="004E63F6" w:rsidRDefault="0087248A">
      <w:r w:rsidRPr="004E63F6">
        <w:separator/>
      </w:r>
    </w:p>
  </w:footnote>
  <w:footnote w:type="continuationSeparator" w:id="0">
    <w:p w14:paraId="3378C0EA" w14:textId="77777777" w:rsidR="0087248A" w:rsidRPr="004E63F6" w:rsidRDefault="0087248A">
      <w:r w:rsidRPr="004E63F6">
        <w:continuationSeparator/>
      </w:r>
    </w:p>
  </w:footnote>
  <w:footnote w:id="1">
    <w:p w14:paraId="1C64F86D" w14:textId="77777777" w:rsidR="00851372" w:rsidRPr="00D50867" w:rsidRDefault="00851372" w:rsidP="004E63F6">
      <w:pPr>
        <w:pStyle w:val="FootnoteText"/>
        <w:ind w:left="567" w:hanging="567"/>
        <w:rPr>
          <w:sz w:val="24"/>
          <w:szCs w:val="24"/>
          <w:lang w:val="fi-FI"/>
        </w:rPr>
      </w:pPr>
      <w:r w:rsidRPr="00D50867">
        <w:rPr>
          <w:rStyle w:val="FootnoteReference"/>
          <w:sz w:val="24"/>
          <w:szCs w:val="24"/>
        </w:rPr>
        <w:footnoteRef/>
      </w:r>
      <w:r w:rsidR="004E63F6" w:rsidRPr="00D50867">
        <w:rPr>
          <w:color w:val="1E1E1F"/>
          <w:sz w:val="24"/>
          <w:szCs w:val="24"/>
          <w:shd w:val="clear" w:color="auto" w:fill="FFFFFF"/>
          <w:lang w:val="fi-FI"/>
        </w:rPr>
        <w:t xml:space="preserve"> </w:t>
      </w:r>
      <w:r w:rsidR="004E63F6" w:rsidRPr="00D50867">
        <w:rPr>
          <w:color w:val="1E1E1F"/>
          <w:sz w:val="24"/>
          <w:szCs w:val="24"/>
          <w:shd w:val="clear" w:color="auto" w:fill="FFFFFF"/>
          <w:lang w:val="fi-FI"/>
        </w:rPr>
        <w:tab/>
      </w:r>
      <w:r w:rsidR="0052238A" w:rsidRPr="00D50867">
        <w:rPr>
          <w:color w:val="1E1E1F"/>
          <w:sz w:val="24"/>
          <w:szCs w:val="24"/>
          <w:shd w:val="clear" w:color="auto" w:fill="FFFFFF"/>
          <w:lang w:val="fi-FI"/>
        </w:rPr>
        <w:t>JO C, C/2025/2967, 16.6.2025, ELI: http://data.europa.eu/eli/C/2025/2967/oj</w:t>
      </w:r>
      <w:r w:rsidRPr="00D50867">
        <w:rPr>
          <w:color w:val="1E1E1F"/>
          <w:sz w:val="24"/>
          <w:szCs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EDABB" w14:textId="77777777" w:rsidR="00064002" w:rsidRPr="004E63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80D1D" w14:textId="77777777" w:rsidR="00064002" w:rsidRPr="004E63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5BF1E" w14:textId="77777777" w:rsidR="00064002" w:rsidRPr="004E63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3892056">
    <w:abstractNumId w:val="9"/>
  </w:num>
  <w:num w:numId="2" w16cid:durableId="900291830">
    <w:abstractNumId w:val="9"/>
  </w:num>
  <w:num w:numId="3" w16cid:durableId="243076363">
    <w:abstractNumId w:val="7"/>
  </w:num>
  <w:num w:numId="4" w16cid:durableId="723142646">
    <w:abstractNumId w:val="7"/>
  </w:num>
  <w:num w:numId="5" w16cid:durableId="235894123">
    <w:abstractNumId w:val="6"/>
  </w:num>
  <w:num w:numId="6" w16cid:durableId="1427117325">
    <w:abstractNumId w:val="6"/>
  </w:num>
  <w:num w:numId="7" w16cid:durableId="718358560">
    <w:abstractNumId w:val="5"/>
  </w:num>
  <w:num w:numId="8" w16cid:durableId="878587124">
    <w:abstractNumId w:val="5"/>
  </w:num>
  <w:num w:numId="9" w16cid:durableId="719981181">
    <w:abstractNumId w:val="4"/>
  </w:num>
  <w:num w:numId="10" w16cid:durableId="1326859192">
    <w:abstractNumId w:val="4"/>
  </w:num>
  <w:num w:numId="11" w16cid:durableId="1364787458">
    <w:abstractNumId w:val="8"/>
  </w:num>
  <w:num w:numId="12" w16cid:durableId="418796484">
    <w:abstractNumId w:val="8"/>
  </w:num>
  <w:num w:numId="13" w16cid:durableId="1297830740">
    <w:abstractNumId w:val="3"/>
  </w:num>
  <w:num w:numId="14" w16cid:durableId="639577575">
    <w:abstractNumId w:val="3"/>
  </w:num>
  <w:num w:numId="15" w16cid:durableId="1454131281">
    <w:abstractNumId w:val="2"/>
  </w:num>
  <w:num w:numId="16" w16cid:durableId="1229220924">
    <w:abstractNumId w:val="2"/>
  </w:num>
  <w:num w:numId="17" w16cid:durableId="1816140402">
    <w:abstractNumId w:val="1"/>
  </w:num>
  <w:num w:numId="18" w16cid:durableId="2090035674">
    <w:abstractNumId w:val="1"/>
  </w:num>
  <w:num w:numId="19" w16cid:durableId="887568678">
    <w:abstractNumId w:val="0"/>
  </w:num>
  <w:num w:numId="20" w16cid:durableId="2073311261">
    <w:abstractNumId w:val="0"/>
  </w:num>
  <w:num w:numId="21" w16cid:durableId="503210913">
    <w:abstractNumId w:val="9"/>
  </w:num>
  <w:num w:numId="22" w16cid:durableId="1435247546">
    <w:abstractNumId w:val="7"/>
  </w:num>
  <w:num w:numId="23" w16cid:durableId="962923075">
    <w:abstractNumId w:val="6"/>
  </w:num>
  <w:num w:numId="24" w16cid:durableId="185025315">
    <w:abstractNumId w:val="5"/>
  </w:num>
  <w:num w:numId="25" w16cid:durableId="414397135">
    <w:abstractNumId w:val="4"/>
  </w:num>
  <w:num w:numId="26" w16cid:durableId="722993535">
    <w:abstractNumId w:val="8"/>
  </w:num>
  <w:num w:numId="27" w16cid:durableId="1401171680">
    <w:abstractNumId w:val="3"/>
  </w:num>
  <w:num w:numId="28" w16cid:durableId="1999376985">
    <w:abstractNumId w:val="2"/>
  </w:num>
  <w:num w:numId="29" w16cid:durableId="502009815">
    <w:abstractNumId w:val="1"/>
  </w:num>
  <w:num w:numId="30" w16cid:durableId="139269361">
    <w:abstractNumId w:val="0"/>
  </w:num>
  <w:num w:numId="31" w16cid:durableId="1176922307">
    <w:abstractNumId w:val="9"/>
  </w:num>
  <w:num w:numId="32" w16cid:durableId="230970661">
    <w:abstractNumId w:val="7"/>
  </w:num>
  <w:num w:numId="33" w16cid:durableId="1300844913">
    <w:abstractNumId w:val="6"/>
  </w:num>
  <w:num w:numId="34" w16cid:durableId="267542864">
    <w:abstractNumId w:val="5"/>
  </w:num>
  <w:num w:numId="35" w16cid:durableId="577594275">
    <w:abstractNumId w:val="4"/>
  </w:num>
  <w:num w:numId="36" w16cid:durableId="94862001">
    <w:abstractNumId w:val="8"/>
  </w:num>
  <w:num w:numId="37" w16cid:durableId="1273853391">
    <w:abstractNumId w:val="3"/>
  </w:num>
  <w:num w:numId="38" w16cid:durableId="750274060">
    <w:abstractNumId w:val="2"/>
  </w:num>
  <w:num w:numId="39" w16cid:durableId="1809473575">
    <w:abstractNumId w:val="1"/>
  </w:num>
  <w:num w:numId="40" w16cid:durableId="985667865">
    <w:abstractNumId w:val="0"/>
  </w:num>
  <w:num w:numId="41" w16cid:durableId="1691569644">
    <w:abstractNumId w:val="10"/>
  </w:num>
  <w:num w:numId="42" w16cid:durableId="571551100">
    <w:abstractNumId w:val="10"/>
  </w:num>
  <w:num w:numId="43" w16cid:durableId="2037534803">
    <w:abstractNumId w:val="10"/>
  </w:num>
  <w:num w:numId="44" w16cid:durableId="4287423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FR"/>
    <w:docVar w:name="dvnumam" w:val="0"/>
    <w:docVar w:name="dvpe" w:val="772.015"/>
    <w:docVar w:name="dvrapporteur" w:val="Rapporteur: "/>
    <w:docVar w:name="dvstar" w:val="***I"/>
    <w:docVar w:name="dvtitre" w:val="Résolution législative du Parlement européen du ... 2025 sur la proposition de règlement du Parlement européen et du Conseil modifiant le règlement (UE) 2017/1938 en ce qui concerne le rôle du stockage de gaz dans la sécurité de l’approvisionnement en gaz avant la saison hivernale(COM(2025)0099 – C10-0041/2025 – 2025/0051(COD))"/>
  </w:docVars>
  <w:rsids>
    <w:rsidRoot w:val="0087248A"/>
    <w:rsid w:val="00002272"/>
    <w:rsid w:val="00064002"/>
    <w:rsid w:val="000677B9"/>
    <w:rsid w:val="000831BA"/>
    <w:rsid w:val="000A42CC"/>
    <w:rsid w:val="000E7DD9"/>
    <w:rsid w:val="0010095E"/>
    <w:rsid w:val="00125B37"/>
    <w:rsid w:val="00187494"/>
    <w:rsid w:val="001F32AE"/>
    <w:rsid w:val="002767FF"/>
    <w:rsid w:val="002827B6"/>
    <w:rsid w:val="002B18FE"/>
    <w:rsid w:val="002B5493"/>
    <w:rsid w:val="002C52E4"/>
    <w:rsid w:val="003355C9"/>
    <w:rsid w:val="00343214"/>
    <w:rsid w:val="00361C00"/>
    <w:rsid w:val="0037749C"/>
    <w:rsid w:val="00395FA1"/>
    <w:rsid w:val="003E15D4"/>
    <w:rsid w:val="00411CCE"/>
    <w:rsid w:val="0041666E"/>
    <w:rsid w:val="00421060"/>
    <w:rsid w:val="00471C19"/>
    <w:rsid w:val="004867E3"/>
    <w:rsid w:val="00494A28"/>
    <w:rsid w:val="004C0004"/>
    <w:rsid w:val="004C5D52"/>
    <w:rsid w:val="004E63F6"/>
    <w:rsid w:val="0050519A"/>
    <w:rsid w:val="005072A1"/>
    <w:rsid w:val="00514517"/>
    <w:rsid w:val="0052238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372"/>
    <w:rsid w:val="00865F67"/>
    <w:rsid w:val="0087248A"/>
    <w:rsid w:val="00881A7B"/>
    <w:rsid w:val="008840E5"/>
    <w:rsid w:val="00887B3E"/>
    <w:rsid w:val="008B19F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8BC"/>
    <w:rsid w:val="00B12E95"/>
    <w:rsid w:val="00B22876"/>
    <w:rsid w:val="00B558F0"/>
    <w:rsid w:val="00BD06C7"/>
    <w:rsid w:val="00BD48FE"/>
    <w:rsid w:val="00BD7BD8"/>
    <w:rsid w:val="00BE6ADC"/>
    <w:rsid w:val="00C05BFE"/>
    <w:rsid w:val="00C23CD4"/>
    <w:rsid w:val="00C61C0C"/>
    <w:rsid w:val="00C941CB"/>
    <w:rsid w:val="00CC2357"/>
    <w:rsid w:val="00CF071A"/>
    <w:rsid w:val="00D058B8"/>
    <w:rsid w:val="00D50867"/>
    <w:rsid w:val="00D56C11"/>
    <w:rsid w:val="00D834A0"/>
    <w:rsid w:val="00D872DF"/>
    <w:rsid w:val="00D91E21"/>
    <w:rsid w:val="00DA7FCD"/>
    <w:rsid w:val="00E365E1"/>
    <w:rsid w:val="00E820A4"/>
    <w:rsid w:val="00EB006A"/>
    <w:rsid w:val="00EB4772"/>
    <w:rsid w:val="00ED169E"/>
    <w:rsid w:val="00ED4235"/>
    <w:rsid w:val="00EF0FAE"/>
    <w:rsid w:val="00F04346"/>
    <w:rsid w:val="00F075DC"/>
    <w:rsid w:val="00F149E9"/>
    <w:rsid w:val="00F35D0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29859"/>
  <w15:chartTrackingRefBased/>
  <w15:docId w15:val="{9E948E52-66FE-41ED-9DCF-035A02393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5137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51372"/>
    <w:pPr>
      <w:spacing w:before="480" w:after="240"/>
    </w:pPr>
  </w:style>
  <w:style w:type="paragraph" w:customStyle="1" w:styleId="NormalHanging12a">
    <w:name w:val="NormalHanging12a"/>
    <w:basedOn w:val="Normal"/>
    <w:link w:val="NormalHanging12aChar"/>
    <w:rsid w:val="00851372"/>
    <w:pPr>
      <w:spacing w:after="240"/>
      <w:ind w:left="567" w:hanging="567"/>
    </w:pPr>
  </w:style>
  <w:style w:type="paragraph" w:styleId="Header">
    <w:name w:val="header"/>
    <w:basedOn w:val="Normal"/>
    <w:link w:val="HeaderChar"/>
    <w:rsid w:val="00851372"/>
    <w:pPr>
      <w:tabs>
        <w:tab w:val="center" w:pos="4513"/>
        <w:tab w:val="right" w:pos="9026"/>
      </w:tabs>
    </w:pPr>
  </w:style>
  <w:style w:type="character" w:customStyle="1" w:styleId="HeaderChar">
    <w:name w:val="Header Char"/>
    <w:basedOn w:val="DefaultParagraphFont"/>
    <w:link w:val="Header"/>
    <w:rsid w:val="00851372"/>
    <w:rPr>
      <w:sz w:val="24"/>
      <w:lang w:val="fr-FR"/>
    </w:rPr>
  </w:style>
  <w:style w:type="paragraph" w:customStyle="1" w:styleId="EPFooter">
    <w:name w:val="EPFooter"/>
    <w:basedOn w:val="Normal"/>
    <w:rsid w:val="0085137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851372"/>
    <w:rPr>
      <w:sz w:val="24"/>
      <w:lang w:val="fr-FR"/>
    </w:rPr>
  </w:style>
  <w:style w:type="paragraph" w:customStyle="1" w:styleId="NormalCenter12a">
    <w:name w:val="NormalCenter12a"/>
    <w:basedOn w:val="Normal"/>
    <w:rsid w:val="00851372"/>
    <w:pPr>
      <w:spacing w:after="240"/>
      <w:jc w:val="center"/>
    </w:pPr>
  </w:style>
  <w:style w:type="paragraph" w:customStyle="1" w:styleId="AmNumberTabs">
    <w:name w:val="AmNumberTabs"/>
    <w:basedOn w:val="Normal"/>
    <w:rsid w:val="008513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51372"/>
    <w:pPr>
      <w:spacing w:before="720" w:after="240"/>
      <w:jc w:val="center"/>
    </w:pPr>
  </w:style>
  <w:style w:type="paragraph" w:customStyle="1" w:styleId="Titrearticle">
    <w:name w:val="Titre article"/>
    <w:basedOn w:val="Normal"/>
    <w:next w:val="Normal"/>
    <w:rsid w:val="00851372"/>
    <w:pPr>
      <w:keepNext/>
      <w:widowControl/>
      <w:spacing w:before="360" w:after="120"/>
      <w:jc w:val="center"/>
    </w:pPr>
    <w:rPr>
      <w:rFonts w:eastAsiaTheme="minorHAnsi"/>
      <w:i/>
      <w:szCs w:val="22"/>
      <w:lang w:eastAsia="en-US"/>
    </w:rPr>
  </w:style>
  <w:style w:type="character" w:styleId="Hyperlink">
    <w:name w:val="Hyperlink"/>
    <w:basedOn w:val="DefaultParagraphFont"/>
    <w:rsid w:val="0052238A"/>
    <w:rPr>
      <w:color w:val="0563C1" w:themeColor="hyperlink"/>
      <w:u w:val="single"/>
    </w:rPr>
  </w:style>
  <w:style w:type="paragraph" w:styleId="BalloonText">
    <w:name w:val="Balloon Text"/>
    <w:basedOn w:val="Normal"/>
    <w:link w:val="BalloonTextChar"/>
    <w:rsid w:val="002C52E4"/>
    <w:rPr>
      <w:rFonts w:ascii="Segoe UI" w:hAnsi="Segoe UI" w:cs="Segoe UI"/>
      <w:sz w:val="18"/>
      <w:szCs w:val="18"/>
    </w:rPr>
  </w:style>
  <w:style w:type="character" w:customStyle="1" w:styleId="BalloonTextChar">
    <w:name w:val="Balloon Text Char"/>
    <w:basedOn w:val="DefaultParagraphFont"/>
    <w:link w:val="BalloonText"/>
    <w:rsid w:val="002C52E4"/>
    <w:rPr>
      <w:rFonts w:ascii="Segoe UI" w:hAnsi="Segoe UI" w:cs="Segoe UI"/>
      <w:sz w:val="18"/>
      <w:szCs w:val="18"/>
      <w:lang w:val="fr-FR"/>
    </w:rPr>
  </w:style>
  <w:style w:type="paragraph" w:customStyle="1" w:styleId="Datedadoption">
    <w:name w:val="Date d'adoption"/>
    <w:basedOn w:val="Normal"/>
    <w:next w:val="Normal"/>
    <w:rsid w:val="00EF0FAE"/>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A55CD-8CCD-4D9A-A904-92DE09795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2025-10-21T13:14:00Z</dcterms:created>
  <dcterms:modified xsi:type="dcterms:W3CDTF">2025-10-21T13:14:00Z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P10_TA(2025)0140_</vt:lpwstr>
  </property>
  <property fmtid="{D5CDD505-2E9C-101B-9397-08002B2CF9AE}" pid="4" name="&lt;Type&gt;">
    <vt:lpwstr>RR</vt:lpwstr>
  </property>
</Properties>
</file>