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6E52" w14:paraId="32482D8C" w14:textId="77777777" w:rsidTr="0010095E">
        <w:trPr>
          <w:trHeight w:hRule="exact" w:val="1418"/>
        </w:trPr>
        <w:tc>
          <w:tcPr>
            <w:tcW w:w="6804" w:type="dxa"/>
            <w:shd w:val="clear" w:color="auto" w:fill="auto"/>
            <w:vAlign w:val="center"/>
          </w:tcPr>
          <w:p w14:paraId="7FDB4A44" w14:textId="77777777" w:rsidR="00751A4A" w:rsidRPr="00666E52" w:rsidRDefault="00C646F9" w:rsidP="0010095E">
            <w:pPr>
              <w:pStyle w:val="EPName"/>
            </w:pPr>
            <w:r w:rsidRPr="00666E52">
              <w:t>Eiropas Parlaments</w:t>
            </w:r>
          </w:p>
          <w:p w14:paraId="1ABCFF47" w14:textId="77777777" w:rsidR="00751A4A" w:rsidRPr="00666E52" w:rsidRDefault="005F1B17" w:rsidP="005F1B17">
            <w:pPr>
              <w:pStyle w:val="EPTerm"/>
              <w:rPr>
                <w:rStyle w:val="HideTWBExt"/>
                <w:noProof w:val="0"/>
                <w:vanish w:val="0"/>
                <w:color w:val="auto"/>
              </w:rPr>
            </w:pPr>
            <w:r w:rsidRPr="00666E52">
              <w:t>2024</w:t>
            </w:r>
            <w:r w:rsidR="00817416" w:rsidRPr="00666E52">
              <w:t>-202</w:t>
            </w:r>
            <w:r w:rsidRPr="00666E52">
              <w:t>9</w:t>
            </w:r>
          </w:p>
        </w:tc>
        <w:tc>
          <w:tcPr>
            <w:tcW w:w="2268" w:type="dxa"/>
            <w:shd w:val="clear" w:color="auto" w:fill="auto"/>
          </w:tcPr>
          <w:p w14:paraId="5F9A01E9" w14:textId="77777777" w:rsidR="00751A4A" w:rsidRPr="00666E52" w:rsidRDefault="00187494" w:rsidP="0010095E">
            <w:pPr>
              <w:pStyle w:val="EPLogo"/>
            </w:pPr>
            <w:r w:rsidRPr="00666E52">
              <w:rPr>
                <w:noProof/>
                <w:lang w:val="en-GB"/>
              </w:rPr>
              <w:drawing>
                <wp:inline distT="0" distB="0" distL="0" distR="0" wp14:anchorId="6D6B6D51" wp14:editId="4D4D9F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082EE6" w14:textId="77777777" w:rsidR="00D058B8" w:rsidRPr="00666E52" w:rsidRDefault="00D058B8" w:rsidP="004C5D52">
      <w:pPr>
        <w:pStyle w:val="LineTop"/>
      </w:pPr>
    </w:p>
    <w:p w14:paraId="52FBFBA1" w14:textId="77777777" w:rsidR="00680577" w:rsidRPr="00666E52" w:rsidRDefault="00C646F9" w:rsidP="00680577">
      <w:pPr>
        <w:pStyle w:val="EPBodyTA1"/>
      </w:pPr>
      <w:r w:rsidRPr="00666E52">
        <w:t>PIEŅEMTIE TEKSTI</w:t>
      </w:r>
    </w:p>
    <w:p w14:paraId="27F133AB" w14:textId="77777777" w:rsidR="00D058B8" w:rsidRPr="00666E52" w:rsidRDefault="00D058B8" w:rsidP="00D058B8">
      <w:pPr>
        <w:pStyle w:val="LineBottom"/>
      </w:pPr>
    </w:p>
    <w:p w14:paraId="6B57FB57" w14:textId="77777777" w:rsidR="00C646F9" w:rsidRPr="00666E52" w:rsidRDefault="00C646F9" w:rsidP="00C646F9">
      <w:pPr>
        <w:pStyle w:val="ATHeading1"/>
      </w:pPr>
      <w:bookmarkStart w:id="0" w:name="TANumber"/>
      <w:r w:rsidRPr="00666E52">
        <w:t>P10_TA(2025)0</w:t>
      </w:r>
      <w:r w:rsidR="0098638B">
        <w:t>14</w:t>
      </w:r>
      <w:r w:rsidRPr="00666E52">
        <w:t>0</w:t>
      </w:r>
      <w:bookmarkEnd w:id="0"/>
    </w:p>
    <w:p w14:paraId="295218BD" w14:textId="77777777" w:rsidR="00C646F9" w:rsidRPr="00666E52" w:rsidRDefault="00124503" w:rsidP="00C646F9">
      <w:pPr>
        <w:pStyle w:val="ATHeading2"/>
      </w:pPr>
      <w:r w:rsidRPr="00666E52">
        <w:t xml:space="preserve">Gāzes uzglabāšanas loma gāzes piegāžu nodrošināšanā </w:t>
      </w:r>
      <w:r w:rsidR="00132F3D" w:rsidRPr="00666E52">
        <w:t>pirms ziemas sezonas sākuma</w:t>
      </w:r>
    </w:p>
    <w:p w14:paraId="4D8BE64C" w14:textId="77777777" w:rsidR="00C646F9" w:rsidRPr="00666E52" w:rsidRDefault="00C646F9" w:rsidP="00C646F9">
      <w:pPr>
        <w:rPr>
          <w:i/>
          <w:vanish/>
        </w:rPr>
      </w:pPr>
      <w:r w:rsidRPr="00666E52">
        <w:rPr>
          <w:i/>
        </w:rPr>
        <w:fldChar w:fldCharType="begin"/>
      </w:r>
      <w:r w:rsidRPr="00666E52">
        <w:rPr>
          <w:i/>
        </w:rPr>
        <w:instrText xml:space="preserve"> TC"(</w:instrText>
      </w:r>
      <w:bookmarkStart w:id="1" w:name="DocNumber"/>
      <w:r w:rsidRPr="00666E52">
        <w:rPr>
          <w:i/>
        </w:rPr>
        <w:instrText>A10-0079/2025</w:instrText>
      </w:r>
      <w:bookmarkEnd w:id="1"/>
      <w:r w:rsidRPr="00666E52">
        <w:rPr>
          <w:i/>
        </w:rPr>
        <w:instrText xml:space="preserve"> - Referents: </w:instrText>
      </w:r>
      <w:proofErr w:type="spellStart"/>
      <w:r w:rsidRPr="00666E52">
        <w:rPr>
          <w:i/>
        </w:rPr>
        <w:instrText>Borys</w:instrText>
      </w:r>
      <w:proofErr w:type="spellEnd"/>
      <w:r w:rsidRPr="00666E52">
        <w:rPr>
          <w:i/>
        </w:rPr>
        <w:instrText xml:space="preserve"> </w:instrText>
      </w:r>
      <w:proofErr w:type="spellStart"/>
      <w:r w:rsidRPr="00666E52">
        <w:rPr>
          <w:i/>
        </w:rPr>
        <w:instrText>Budka</w:instrText>
      </w:r>
      <w:proofErr w:type="spellEnd"/>
      <w:r w:rsidRPr="00666E52">
        <w:rPr>
          <w:i/>
        </w:rPr>
        <w:instrText xml:space="preserve">)"\l3 \n&gt; \* MERGEFORMAT </w:instrText>
      </w:r>
      <w:r w:rsidRPr="00666E52">
        <w:rPr>
          <w:i/>
        </w:rPr>
        <w:fldChar w:fldCharType="end"/>
      </w:r>
    </w:p>
    <w:p w14:paraId="0B0ED112" w14:textId="77777777" w:rsidR="00C646F9" w:rsidRPr="00666E52" w:rsidRDefault="00C646F9" w:rsidP="00C646F9">
      <w:pPr>
        <w:rPr>
          <w:vanish/>
        </w:rPr>
      </w:pPr>
      <w:bookmarkStart w:id="2" w:name="Commission"/>
      <w:r w:rsidRPr="00666E52">
        <w:rPr>
          <w:vanish/>
        </w:rPr>
        <w:t>Rūpniecības, pētniecības un enerģētikas komiteja</w:t>
      </w:r>
      <w:bookmarkEnd w:id="2"/>
    </w:p>
    <w:p w14:paraId="527762C0" w14:textId="77777777" w:rsidR="00C646F9" w:rsidRPr="00666E52" w:rsidRDefault="00C646F9" w:rsidP="00C646F9">
      <w:pPr>
        <w:rPr>
          <w:vanish/>
        </w:rPr>
      </w:pPr>
      <w:bookmarkStart w:id="3" w:name="PE"/>
      <w:r w:rsidRPr="00666E52">
        <w:rPr>
          <w:vanish/>
        </w:rPr>
        <w:t>PE772.015</w:t>
      </w:r>
      <w:bookmarkEnd w:id="3"/>
    </w:p>
    <w:p w14:paraId="491436F7" w14:textId="77777777" w:rsidR="001E5D00" w:rsidRPr="00666E52" w:rsidRDefault="00C646F9" w:rsidP="00124503">
      <w:pPr>
        <w:pStyle w:val="ATHeading3"/>
      </w:pPr>
      <w:bookmarkStart w:id="4" w:name="Sujet"/>
      <w:r w:rsidRPr="00666E52">
        <w:t xml:space="preserve">Eiropas Parlamenta 2025. gada </w:t>
      </w:r>
      <w:r w:rsidR="00264487" w:rsidRPr="00666E52">
        <w:t>8</w:t>
      </w:r>
      <w:r w:rsidRPr="00666E52">
        <w:t xml:space="preserve">. </w:t>
      </w:r>
      <w:r w:rsidR="00C9473D" w:rsidRPr="00666E52">
        <w:t xml:space="preserve">jūlija </w:t>
      </w:r>
      <w:r w:rsidRPr="00666E52">
        <w:t>normatīvā rezolūcija par priekšlikumu Eiropas Parlamenta un Padomes regulai, ar ko Regulu (ES) 2017/1938 groza attiecībā uz gāzes uzglabāšanas lomu gāzes piegāžu nodrošināšanā pirms ziemas sezonas sākuma</w:t>
      </w:r>
      <w:bookmarkEnd w:id="4"/>
      <w:r w:rsidRPr="00666E52">
        <w:t xml:space="preserve"> </w:t>
      </w:r>
      <w:bookmarkStart w:id="5" w:name="References"/>
      <w:r w:rsidRPr="00666E52">
        <w:t>(COM(2025)0099 – C10-0041/2025 – 2025/0051(COD))</w:t>
      </w:r>
      <w:bookmarkStart w:id="6" w:name="TextBodyBegin"/>
      <w:bookmarkEnd w:id="5"/>
      <w:bookmarkEnd w:id="6"/>
    </w:p>
    <w:p w14:paraId="278D8C0E" w14:textId="77777777" w:rsidR="001E5D00" w:rsidRPr="00666E52" w:rsidRDefault="001E5D00" w:rsidP="001E5D00">
      <w:pPr>
        <w:pStyle w:val="NormalBold"/>
      </w:pPr>
      <w:r w:rsidRPr="00666E52">
        <w:t>(Parastā likumdošanas procedūra: pirmais lasījums)</w:t>
      </w:r>
    </w:p>
    <w:p w14:paraId="7C42C541" w14:textId="77777777" w:rsidR="001E5D00" w:rsidRPr="00666E52" w:rsidRDefault="001E5D00" w:rsidP="001E5D00">
      <w:pPr>
        <w:pStyle w:val="EPComma"/>
      </w:pPr>
      <w:r w:rsidRPr="00666E52">
        <w:rPr>
          <w:i/>
        </w:rPr>
        <w:t>Eiropas Parlaments</w:t>
      </w:r>
      <w:r w:rsidRPr="00666E52">
        <w:t>,</w:t>
      </w:r>
    </w:p>
    <w:p w14:paraId="28965C74" w14:textId="77777777" w:rsidR="001E5D00" w:rsidRPr="00666E52" w:rsidRDefault="001E5D00" w:rsidP="001E5D00">
      <w:pPr>
        <w:pStyle w:val="NormalHanging12a"/>
      </w:pPr>
      <w:r w:rsidRPr="00666E52">
        <w:t>–</w:t>
      </w:r>
      <w:r w:rsidRPr="00666E52">
        <w:tab/>
        <w:t>ņemot vērā Komisijas priekšlikumu Eiropas Parlamentam un Padomei (COM(2025)0099),</w:t>
      </w:r>
    </w:p>
    <w:p w14:paraId="2B65A223" w14:textId="77777777" w:rsidR="001E5D00" w:rsidRPr="00666E52" w:rsidRDefault="001E5D00" w:rsidP="001E5D00">
      <w:pPr>
        <w:pStyle w:val="NormalHanging12a"/>
      </w:pPr>
      <w:r w:rsidRPr="00666E52">
        <w:t>–</w:t>
      </w:r>
      <w:r w:rsidRPr="00666E52">
        <w:tab/>
        <w:t>ņemot vērā Līguma par Eiropas Savienības darbību 294. panta 2. punktu un 194. panta 2. punktu, saskaņā ar kuriem Komisija tam ir iesniegusi priekšlikumu (C10</w:t>
      </w:r>
      <w:r w:rsidRPr="00666E52">
        <w:noBreakHyphen/>
        <w:t>0041/2025),</w:t>
      </w:r>
    </w:p>
    <w:p w14:paraId="7509E3F1" w14:textId="77777777" w:rsidR="001E5D00" w:rsidRPr="00666E52" w:rsidRDefault="001E5D00" w:rsidP="001E5D00">
      <w:pPr>
        <w:pStyle w:val="NormalHanging12a"/>
      </w:pPr>
      <w:r w:rsidRPr="00666E52">
        <w:t>–</w:t>
      </w:r>
      <w:r w:rsidRPr="00666E52">
        <w:tab/>
        <w:t>ņemot vērā Līguma par Eiropas Savienības darbību 294. panta 3. punktu,</w:t>
      </w:r>
    </w:p>
    <w:p w14:paraId="177A7C7B" w14:textId="77777777" w:rsidR="001E5D00" w:rsidRPr="00666E52" w:rsidRDefault="001E5D00" w:rsidP="001E5D00">
      <w:pPr>
        <w:pStyle w:val="NormalHanging12a"/>
      </w:pPr>
      <w:r w:rsidRPr="00666E52">
        <w:t>–</w:t>
      </w:r>
      <w:r w:rsidRPr="00666E52">
        <w:tab/>
        <w:t>ņemot vērā Eiropas Ekonomikas un sociālo lietu komitejas 2025. gada 26. marta atzinumu</w:t>
      </w:r>
      <w:r w:rsidRPr="00666E52">
        <w:rPr>
          <w:rStyle w:val="FootnoteReference"/>
        </w:rPr>
        <w:footnoteReference w:id="1"/>
      </w:r>
      <w:r w:rsidRPr="00666E52">
        <w:t>,</w:t>
      </w:r>
    </w:p>
    <w:p w14:paraId="51062BC3" w14:textId="77777777" w:rsidR="001E5D00" w:rsidRPr="00666E52" w:rsidRDefault="001E5D00" w:rsidP="001E5D00">
      <w:pPr>
        <w:pStyle w:val="NormalHanging12a"/>
      </w:pPr>
      <w:r w:rsidRPr="00666E52">
        <w:t>–</w:t>
      </w:r>
      <w:r w:rsidRPr="00666E52">
        <w:tab/>
      </w:r>
      <w:r w:rsidR="00132F3D" w:rsidRPr="00666E52">
        <w:rPr>
          <w:bCs/>
          <w:iCs/>
        </w:rPr>
        <w:t>pēc apspriešanās</w:t>
      </w:r>
      <w:r w:rsidR="00132F3D" w:rsidRPr="00666E52">
        <w:rPr>
          <w:b/>
          <w:bCs/>
          <w:i/>
          <w:iCs/>
        </w:rPr>
        <w:t xml:space="preserve"> </w:t>
      </w:r>
      <w:r w:rsidR="00132F3D" w:rsidRPr="00666E52">
        <w:t>ar Reģionu komiteju</w:t>
      </w:r>
      <w:r w:rsidRPr="00666E52">
        <w:t>,</w:t>
      </w:r>
    </w:p>
    <w:p w14:paraId="74C9B0B4" w14:textId="77777777" w:rsidR="00132F3D" w:rsidRPr="00666E52" w:rsidRDefault="00132F3D" w:rsidP="001E5D00">
      <w:pPr>
        <w:pStyle w:val="NormalHanging12a"/>
      </w:pPr>
      <w:r w:rsidRPr="00666E52">
        <w:t>–</w:t>
      </w:r>
      <w:r w:rsidRPr="00666E52">
        <w:tab/>
        <w:t>ņemot vērā provizorisko vienošanos, ko atbildīgā komiteja apstiprināja saskaņā ar Reglamenta 75. panta 4. punktu, un Padomes pārstāvja 2025. gada 27. jūnija vēstulē pausto apņemšanos apstiprināt Parlamenta nostāju saskaņā ar Līguma par Eiropas Savienības darbību 294. panta 4. punktu,</w:t>
      </w:r>
    </w:p>
    <w:p w14:paraId="788CD390" w14:textId="77777777" w:rsidR="001E5D00" w:rsidRPr="00666E52" w:rsidRDefault="001E5D00" w:rsidP="001E5D00">
      <w:pPr>
        <w:pStyle w:val="NormalHanging12a"/>
      </w:pPr>
      <w:r w:rsidRPr="00666E52">
        <w:t>–</w:t>
      </w:r>
      <w:r w:rsidRPr="00666E52">
        <w:tab/>
        <w:t>ņemot vērā Reglamenta 60. pantu,</w:t>
      </w:r>
    </w:p>
    <w:p w14:paraId="4D9D23FD" w14:textId="77777777" w:rsidR="001E5D00" w:rsidRPr="00666E52" w:rsidRDefault="001E5D00" w:rsidP="001E5D00">
      <w:pPr>
        <w:pStyle w:val="NormalHanging12a"/>
      </w:pPr>
      <w:r w:rsidRPr="00666E52">
        <w:t>–</w:t>
      </w:r>
      <w:r w:rsidRPr="00666E52">
        <w:tab/>
        <w:t>ņemot vērā Rūpniecības, pētniecības un enerģētikas komitejas ziņojumu (A10</w:t>
      </w:r>
      <w:r w:rsidRPr="00666E52">
        <w:noBreakHyphen/>
        <w:t>0079/2025),</w:t>
      </w:r>
    </w:p>
    <w:p w14:paraId="207A714F" w14:textId="77777777" w:rsidR="001E5D00" w:rsidRPr="00666E52" w:rsidRDefault="001E5D00" w:rsidP="001E5D00">
      <w:pPr>
        <w:pStyle w:val="NormalHanging12a"/>
      </w:pPr>
      <w:r w:rsidRPr="00666E52">
        <w:lastRenderedPageBreak/>
        <w:t>1.</w:t>
      </w:r>
      <w:r w:rsidRPr="00666E52">
        <w:tab/>
        <w:t xml:space="preserve">pieņem </w:t>
      </w:r>
      <w:r w:rsidR="00A00678" w:rsidRPr="00666E52">
        <w:t xml:space="preserve">pirmajā lasījumā turpmāk izklāstīto </w:t>
      </w:r>
      <w:r w:rsidRPr="00666E52">
        <w:t>nostāju;</w:t>
      </w:r>
    </w:p>
    <w:p w14:paraId="1459B9B8" w14:textId="77777777" w:rsidR="001E5D00" w:rsidRPr="00666E52" w:rsidRDefault="001E5D00" w:rsidP="001E5D00">
      <w:pPr>
        <w:pStyle w:val="NormalHanging12a"/>
      </w:pPr>
      <w:r w:rsidRPr="00666E52">
        <w:t>2.</w:t>
      </w:r>
      <w:r w:rsidRPr="00666E52">
        <w:tab/>
        <w:t>prasa Komisijai priekšlikumu Parlamentam iesniegt vēlreiz, ja tā savu priekšlikumu aizstāj, būtiski groza vai ir paredzējusi to būtiski grozīt;</w:t>
      </w:r>
    </w:p>
    <w:p w14:paraId="51368F66" w14:textId="77777777" w:rsidR="001E5D00" w:rsidRPr="00666E52" w:rsidRDefault="001E5D00" w:rsidP="001E5D00">
      <w:pPr>
        <w:pStyle w:val="NormalHanging12a"/>
      </w:pPr>
      <w:r w:rsidRPr="00666E52">
        <w:t>3.</w:t>
      </w:r>
      <w:r w:rsidRPr="00666E52">
        <w:tab/>
        <w:t>uzdod priekšsēdētājam Parlamenta nostāju nosūtīt Padomei, Komisijai un dalībvalstu parlamentiem.</w:t>
      </w:r>
    </w:p>
    <w:p w14:paraId="352827CD" w14:textId="77777777" w:rsidR="00132F3D" w:rsidRPr="00666E52" w:rsidRDefault="00132F3D" w:rsidP="001E5D00">
      <w:pPr>
        <w:widowControl/>
        <w:sectPr w:rsidR="00132F3D" w:rsidRPr="00666E52" w:rsidSect="00280A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08BC4F4" w14:textId="77777777" w:rsidR="00132F3D" w:rsidRPr="00666E52" w:rsidRDefault="00132F3D" w:rsidP="00132F3D">
      <w:pPr>
        <w:pStyle w:val="Normal12Hanging"/>
        <w:tabs>
          <w:tab w:val="left" w:pos="357"/>
        </w:tabs>
        <w:rPr>
          <w:b/>
        </w:rPr>
      </w:pPr>
      <w:r w:rsidRPr="00666E52">
        <w:rPr>
          <w:b/>
        </w:rPr>
        <w:lastRenderedPageBreak/>
        <w:t>P10_TC1-COD(20</w:t>
      </w:r>
      <w:r w:rsidRPr="00666E52">
        <w:rPr>
          <w:rFonts w:eastAsia="Calibri"/>
          <w:b/>
          <w:bCs/>
          <w:color w:val="000000"/>
          <w:szCs w:val="24"/>
        </w:rPr>
        <w:t>25)0051</w:t>
      </w:r>
    </w:p>
    <w:p w14:paraId="6D0FAA8A" w14:textId="77777777" w:rsidR="0071002E" w:rsidRDefault="00132F3D" w:rsidP="0071002E">
      <w:pPr>
        <w:pStyle w:val="Normal12Hanging"/>
        <w:ind w:left="0" w:firstLine="0"/>
        <w:rPr>
          <w:b/>
          <w:color w:val="000000"/>
          <w:szCs w:val="24"/>
          <w:lang w:eastAsia="en-US"/>
        </w:rPr>
      </w:pPr>
      <w:r w:rsidRPr="00666E52">
        <w:rPr>
          <w:b/>
        </w:rPr>
        <w:t xml:space="preserve">Eiropas Parlamenta nostāja, pieņemta pirmajā lasījumā 2025. gada 8. jūlijā, lai pieņemtu Eiropas Parlamenta un Padomes Regulu (ES) 2025/..., </w:t>
      </w:r>
      <w:r w:rsidR="0071002E" w:rsidRPr="00666E52">
        <w:rPr>
          <w:b/>
          <w:color w:val="000000"/>
          <w:szCs w:val="24"/>
          <w:lang w:eastAsia="en-US"/>
        </w:rPr>
        <w:t>ar ko Regulu (ES) 2017/1938 groza attiecībā uz gāzes uzglabāšanas lomu gāzes piegāžu nodrošināšanā pirms ziemas sezonas sākuma</w:t>
      </w:r>
    </w:p>
    <w:p w14:paraId="303A187C" w14:textId="3D397458" w:rsidR="001005A6" w:rsidRDefault="001005A6" w:rsidP="001005A6">
      <w:pPr>
        <w:rPr>
          <w:i/>
        </w:rPr>
      </w:pPr>
      <w:r w:rsidRPr="003E6639">
        <w:rPr>
          <w:i/>
        </w:rPr>
        <w:t xml:space="preserve">(Tā kā starp Parlamentu un Padomi tika panākta vienošanās, Parlamenta nostāja atbilst galīgajam tiesību aktam </w:t>
      </w:r>
      <w:r w:rsidRPr="001005A6">
        <w:rPr>
          <w:i/>
        </w:rPr>
        <w:t>Regulai (ES) 2025/</w:t>
      </w:r>
      <w:r w:rsidRPr="001005A6">
        <w:rPr>
          <w:i/>
        </w:rPr>
        <w:t>1733</w:t>
      </w:r>
      <w:r w:rsidRPr="001005A6">
        <w:rPr>
          <w:i/>
        </w:rPr>
        <w:t>.)</w:t>
      </w:r>
    </w:p>
    <w:p w14:paraId="24342A2D" w14:textId="77777777" w:rsidR="001005A6" w:rsidRPr="00666E52" w:rsidRDefault="001005A6" w:rsidP="0071002E">
      <w:pPr>
        <w:pStyle w:val="Normal12Hanging"/>
        <w:ind w:left="0" w:firstLine="0"/>
      </w:pPr>
    </w:p>
    <w:sectPr w:rsidR="001005A6" w:rsidRPr="00666E52" w:rsidSect="00280A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BD619" w14:textId="77777777" w:rsidR="00C646F9" w:rsidRPr="00280AF1" w:rsidRDefault="00C646F9">
      <w:r w:rsidRPr="00280AF1">
        <w:separator/>
      </w:r>
    </w:p>
  </w:endnote>
  <w:endnote w:type="continuationSeparator" w:id="0">
    <w:p w14:paraId="4BAE1EB8" w14:textId="77777777" w:rsidR="00C646F9" w:rsidRPr="00280AF1" w:rsidRDefault="00C646F9">
      <w:r w:rsidRPr="00280A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8DF52" w14:textId="77777777" w:rsidR="00064002" w:rsidRPr="00280A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57046" w14:textId="77777777" w:rsidR="00064002" w:rsidRPr="00280A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8A916" w14:textId="77777777" w:rsidR="00064002" w:rsidRPr="00280A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D12CC" w14:textId="77777777" w:rsidR="00C646F9" w:rsidRPr="00280AF1" w:rsidRDefault="00C646F9">
      <w:r w:rsidRPr="00280AF1">
        <w:separator/>
      </w:r>
    </w:p>
  </w:footnote>
  <w:footnote w:type="continuationSeparator" w:id="0">
    <w:p w14:paraId="6A944B6E" w14:textId="77777777" w:rsidR="00C646F9" w:rsidRPr="00280AF1" w:rsidRDefault="00C646F9">
      <w:r w:rsidRPr="00280AF1">
        <w:continuationSeparator/>
      </w:r>
    </w:p>
  </w:footnote>
  <w:footnote w:id="1">
    <w:p w14:paraId="7CAFD4E9" w14:textId="77777777" w:rsidR="001E5D00" w:rsidRPr="00280AF1" w:rsidRDefault="001E5D00" w:rsidP="00280AF1">
      <w:pPr>
        <w:pStyle w:val="FootnoteText"/>
        <w:ind w:left="567" w:hanging="567"/>
        <w:rPr>
          <w:sz w:val="24"/>
          <w:szCs w:val="24"/>
          <w:lang w:val="lv-LV"/>
        </w:rPr>
      </w:pPr>
      <w:r w:rsidRPr="00280AF1">
        <w:rPr>
          <w:rStyle w:val="FootnoteReference"/>
          <w:sz w:val="24"/>
          <w:szCs w:val="24"/>
          <w:lang w:val="lv-LV"/>
        </w:rPr>
        <w:footnoteRef/>
      </w:r>
      <w:r w:rsidR="00280AF1" w:rsidRPr="00280AF1">
        <w:rPr>
          <w:i/>
          <w:color w:val="1E1E1F"/>
          <w:sz w:val="24"/>
          <w:shd w:val="clear" w:color="auto" w:fill="FFFFFF"/>
          <w:lang w:val="lv-LV"/>
        </w:rPr>
        <w:t xml:space="preserve"> </w:t>
      </w:r>
      <w:r w:rsidR="00280AF1" w:rsidRPr="00280AF1">
        <w:rPr>
          <w:i/>
          <w:color w:val="1E1E1F"/>
          <w:sz w:val="24"/>
          <w:shd w:val="clear" w:color="auto" w:fill="FFFFFF"/>
          <w:lang w:val="lv-LV"/>
        </w:rPr>
        <w:tab/>
      </w:r>
      <w:r w:rsidR="00132F3D" w:rsidRPr="00666E52">
        <w:rPr>
          <w:color w:val="1E1E1F"/>
          <w:sz w:val="24"/>
          <w:szCs w:val="24"/>
          <w:shd w:val="clear" w:color="auto" w:fill="FFFFFF"/>
          <w:lang w:val="fi-FI"/>
        </w:rPr>
        <w:t xml:space="preserve">OV C, C/2025/2967, 16.6.2025., ELI: </w:t>
      </w:r>
      <w:hyperlink r:id="rId1" w:history="1">
        <w:r w:rsidR="00132F3D" w:rsidRPr="00666E52">
          <w:rPr>
            <w:rStyle w:val="Hyperlink"/>
            <w:sz w:val="24"/>
            <w:szCs w:val="24"/>
            <w:shd w:val="clear" w:color="auto" w:fill="FFFFFF"/>
            <w:lang w:val="fi-FI"/>
          </w:rPr>
          <w:t>http://data.europa.eu/eli/C/2025/2967/oj</w:t>
        </w:r>
      </w:hyperlink>
      <w:r w:rsidR="00132F3D" w:rsidRPr="00666E52">
        <w:rPr>
          <w:color w:val="1E1E1F"/>
          <w:sz w:val="24"/>
          <w:szCs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4747" w14:textId="77777777" w:rsidR="00064002" w:rsidRPr="00280A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26A9" w14:textId="77777777" w:rsidR="00064002" w:rsidRPr="00280A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44D1" w14:textId="77777777" w:rsidR="00064002" w:rsidRPr="00280A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5583596">
    <w:abstractNumId w:val="9"/>
  </w:num>
  <w:num w:numId="2" w16cid:durableId="1268738409">
    <w:abstractNumId w:val="9"/>
  </w:num>
  <w:num w:numId="3" w16cid:durableId="277613097">
    <w:abstractNumId w:val="7"/>
  </w:num>
  <w:num w:numId="4" w16cid:durableId="1145581838">
    <w:abstractNumId w:val="7"/>
  </w:num>
  <w:num w:numId="5" w16cid:durableId="942299497">
    <w:abstractNumId w:val="6"/>
  </w:num>
  <w:num w:numId="6" w16cid:durableId="1265260849">
    <w:abstractNumId w:val="6"/>
  </w:num>
  <w:num w:numId="7" w16cid:durableId="1770158081">
    <w:abstractNumId w:val="5"/>
  </w:num>
  <w:num w:numId="8" w16cid:durableId="275455628">
    <w:abstractNumId w:val="5"/>
  </w:num>
  <w:num w:numId="9" w16cid:durableId="830799919">
    <w:abstractNumId w:val="4"/>
  </w:num>
  <w:num w:numId="10" w16cid:durableId="416631843">
    <w:abstractNumId w:val="4"/>
  </w:num>
  <w:num w:numId="11" w16cid:durableId="1107001302">
    <w:abstractNumId w:val="8"/>
  </w:num>
  <w:num w:numId="12" w16cid:durableId="187061893">
    <w:abstractNumId w:val="8"/>
  </w:num>
  <w:num w:numId="13" w16cid:durableId="302779512">
    <w:abstractNumId w:val="3"/>
  </w:num>
  <w:num w:numId="14" w16cid:durableId="706026734">
    <w:abstractNumId w:val="3"/>
  </w:num>
  <w:num w:numId="15" w16cid:durableId="2109422587">
    <w:abstractNumId w:val="2"/>
  </w:num>
  <w:num w:numId="16" w16cid:durableId="1610972407">
    <w:abstractNumId w:val="2"/>
  </w:num>
  <w:num w:numId="17" w16cid:durableId="782070443">
    <w:abstractNumId w:val="1"/>
  </w:num>
  <w:num w:numId="18" w16cid:durableId="960771437">
    <w:abstractNumId w:val="1"/>
  </w:num>
  <w:num w:numId="19" w16cid:durableId="788936429">
    <w:abstractNumId w:val="0"/>
  </w:num>
  <w:num w:numId="20" w16cid:durableId="368722699">
    <w:abstractNumId w:val="0"/>
  </w:num>
  <w:num w:numId="21" w16cid:durableId="1367409981">
    <w:abstractNumId w:val="9"/>
  </w:num>
  <w:num w:numId="22" w16cid:durableId="1748265567">
    <w:abstractNumId w:val="7"/>
  </w:num>
  <w:num w:numId="23" w16cid:durableId="44641830">
    <w:abstractNumId w:val="6"/>
  </w:num>
  <w:num w:numId="24" w16cid:durableId="1282303092">
    <w:abstractNumId w:val="5"/>
  </w:num>
  <w:num w:numId="25" w16cid:durableId="69473911">
    <w:abstractNumId w:val="4"/>
  </w:num>
  <w:num w:numId="26" w16cid:durableId="1319379190">
    <w:abstractNumId w:val="8"/>
  </w:num>
  <w:num w:numId="27" w16cid:durableId="845482417">
    <w:abstractNumId w:val="3"/>
  </w:num>
  <w:num w:numId="28" w16cid:durableId="1285386370">
    <w:abstractNumId w:val="2"/>
  </w:num>
  <w:num w:numId="29" w16cid:durableId="1888905210">
    <w:abstractNumId w:val="1"/>
  </w:num>
  <w:num w:numId="30" w16cid:durableId="1165514650">
    <w:abstractNumId w:val="0"/>
  </w:num>
  <w:num w:numId="31" w16cid:durableId="51000403">
    <w:abstractNumId w:val="9"/>
  </w:num>
  <w:num w:numId="32" w16cid:durableId="1300572604">
    <w:abstractNumId w:val="7"/>
  </w:num>
  <w:num w:numId="33" w16cid:durableId="529728068">
    <w:abstractNumId w:val="6"/>
  </w:num>
  <w:num w:numId="34" w16cid:durableId="321662767">
    <w:abstractNumId w:val="5"/>
  </w:num>
  <w:num w:numId="35" w16cid:durableId="914708352">
    <w:abstractNumId w:val="4"/>
  </w:num>
  <w:num w:numId="36" w16cid:durableId="1187984803">
    <w:abstractNumId w:val="8"/>
  </w:num>
  <w:num w:numId="37" w16cid:durableId="725377793">
    <w:abstractNumId w:val="3"/>
  </w:num>
  <w:num w:numId="38" w16cid:durableId="1886478453">
    <w:abstractNumId w:val="2"/>
  </w:num>
  <w:num w:numId="39" w16cid:durableId="1561138117">
    <w:abstractNumId w:val="1"/>
  </w:num>
  <w:num w:numId="40" w16cid:durableId="958297320">
    <w:abstractNumId w:val="0"/>
  </w:num>
  <w:num w:numId="41" w16cid:durableId="1276669565">
    <w:abstractNumId w:val="10"/>
  </w:num>
  <w:num w:numId="42" w16cid:durableId="1870796718">
    <w:abstractNumId w:val="10"/>
  </w:num>
  <w:num w:numId="43" w16cid:durableId="558783555">
    <w:abstractNumId w:val="10"/>
  </w:num>
  <w:num w:numId="44" w16cid:durableId="389571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LV"/>
    <w:docVar w:name="dvnumam" w:val="0"/>
    <w:docVar w:name="dvpe" w:val="772.015"/>
    <w:docVar w:name="dvrapporteur" w:val="Referents: "/>
    <w:docVar w:name="dvstar" w:val="***I"/>
    <w:docVar w:name="dvtitre" w:val="Eiropas Parlamenta 2025. gada XX. XXX normatīvā rezolūcija par priekšlikumu Eiropas Parlamenta un Padomes regulai, ar ko Regulu (ES) 2017/1938 groza attiecībā uz gāzes uzglabāšanas lomu gāzes piegāžu nodrošināšanā pirms ziemas sezonas sākuma(COM(2025)0099 – C10-0041/2025 – 2025/0051(COD))"/>
  </w:docVars>
  <w:rsids>
    <w:rsidRoot w:val="00C646F9"/>
    <w:rsid w:val="00002272"/>
    <w:rsid w:val="00064002"/>
    <w:rsid w:val="000677B9"/>
    <w:rsid w:val="000831BA"/>
    <w:rsid w:val="000A42CC"/>
    <w:rsid w:val="000E7DD9"/>
    <w:rsid w:val="001005A6"/>
    <w:rsid w:val="0010095E"/>
    <w:rsid w:val="00124503"/>
    <w:rsid w:val="00125B37"/>
    <w:rsid w:val="00132F3D"/>
    <w:rsid w:val="00157471"/>
    <w:rsid w:val="00172645"/>
    <w:rsid w:val="00187494"/>
    <w:rsid w:val="001E5D00"/>
    <w:rsid w:val="001F32AE"/>
    <w:rsid w:val="00264487"/>
    <w:rsid w:val="002767FF"/>
    <w:rsid w:val="00280AF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589"/>
    <w:rsid w:val="0050519A"/>
    <w:rsid w:val="005072A1"/>
    <w:rsid w:val="00514517"/>
    <w:rsid w:val="00545827"/>
    <w:rsid w:val="00560270"/>
    <w:rsid w:val="005C2568"/>
    <w:rsid w:val="005F1B17"/>
    <w:rsid w:val="006037C0"/>
    <w:rsid w:val="00624679"/>
    <w:rsid w:val="006631B6"/>
    <w:rsid w:val="00666E52"/>
    <w:rsid w:val="00680577"/>
    <w:rsid w:val="006F74FA"/>
    <w:rsid w:val="0071002E"/>
    <w:rsid w:val="0071110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38B"/>
    <w:rsid w:val="00A0067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6F9"/>
    <w:rsid w:val="00C941CB"/>
    <w:rsid w:val="00C9473D"/>
    <w:rsid w:val="00CC2357"/>
    <w:rsid w:val="00CF071A"/>
    <w:rsid w:val="00D058B8"/>
    <w:rsid w:val="00D56C11"/>
    <w:rsid w:val="00D834A0"/>
    <w:rsid w:val="00D872DF"/>
    <w:rsid w:val="00D91E21"/>
    <w:rsid w:val="00DA7FCD"/>
    <w:rsid w:val="00DB6F6A"/>
    <w:rsid w:val="00E33360"/>
    <w:rsid w:val="00E365E1"/>
    <w:rsid w:val="00E820A4"/>
    <w:rsid w:val="00EB006A"/>
    <w:rsid w:val="00EB4772"/>
    <w:rsid w:val="00ED169E"/>
    <w:rsid w:val="00ED4235"/>
    <w:rsid w:val="00F04346"/>
    <w:rsid w:val="00F075DC"/>
    <w:rsid w:val="00F149E9"/>
    <w:rsid w:val="00F27222"/>
    <w:rsid w:val="00F5134D"/>
    <w:rsid w:val="00F74202"/>
    <w:rsid w:val="00F87713"/>
    <w:rsid w:val="00FB4360"/>
    <w:rsid w:val="00FC6AC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0CDA3"/>
  <w15:chartTrackingRefBased/>
  <w15:docId w15:val="{829A55DD-6AF1-4430-B15D-8D7C8377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5D00"/>
    <w:pPr>
      <w:spacing w:before="480" w:after="240"/>
    </w:pPr>
  </w:style>
  <w:style w:type="paragraph" w:customStyle="1" w:styleId="NormalBold">
    <w:name w:val="NormalBold"/>
    <w:basedOn w:val="Normal"/>
    <w:rsid w:val="001E5D00"/>
    <w:rPr>
      <w:b/>
    </w:rPr>
  </w:style>
  <w:style w:type="paragraph" w:customStyle="1" w:styleId="NormalBold12a">
    <w:name w:val="NormalBold12a"/>
    <w:basedOn w:val="Normal"/>
    <w:rsid w:val="001E5D00"/>
    <w:pPr>
      <w:spacing w:after="240"/>
    </w:pPr>
    <w:rPr>
      <w:b/>
    </w:rPr>
  </w:style>
  <w:style w:type="paragraph" w:customStyle="1" w:styleId="NormalHanging12a">
    <w:name w:val="NormalHanging12a"/>
    <w:basedOn w:val="Normal"/>
    <w:link w:val="NormalHanging12aChar"/>
    <w:rsid w:val="001E5D00"/>
    <w:pPr>
      <w:spacing w:after="240"/>
      <w:ind w:left="567" w:hanging="567"/>
    </w:pPr>
  </w:style>
  <w:style w:type="paragraph" w:customStyle="1" w:styleId="NormalCenter12a">
    <w:name w:val="NormalCenter12a"/>
    <w:basedOn w:val="Normal"/>
    <w:rsid w:val="001E5D00"/>
    <w:pPr>
      <w:spacing w:after="240"/>
      <w:jc w:val="center"/>
    </w:pPr>
  </w:style>
  <w:style w:type="paragraph" w:customStyle="1" w:styleId="AmNumberTabs">
    <w:name w:val="AmNumberTabs"/>
    <w:basedOn w:val="Normal"/>
    <w:rsid w:val="001E5D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E5D00"/>
    <w:pPr>
      <w:spacing w:before="720" w:after="240"/>
      <w:jc w:val="center"/>
    </w:pPr>
  </w:style>
  <w:style w:type="paragraph" w:customStyle="1" w:styleId="Titrearticle">
    <w:name w:val="Titre article"/>
    <w:basedOn w:val="Normal"/>
    <w:next w:val="Normal"/>
    <w:rsid w:val="001E5D00"/>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1E5D00"/>
    <w:rPr>
      <w:sz w:val="24"/>
      <w:lang w:val="lv-LV"/>
    </w:rPr>
  </w:style>
  <w:style w:type="paragraph" w:styleId="BalloonText">
    <w:name w:val="Balloon Text"/>
    <w:basedOn w:val="Normal"/>
    <w:link w:val="BalloonTextChar"/>
    <w:rsid w:val="00124503"/>
    <w:rPr>
      <w:rFonts w:ascii="Segoe UI" w:hAnsi="Segoe UI" w:cs="Segoe UI"/>
      <w:sz w:val="18"/>
      <w:szCs w:val="18"/>
    </w:rPr>
  </w:style>
  <w:style w:type="character" w:customStyle="1" w:styleId="BalloonTextChar">
    <w:name w:val="Balloon Text Char"/>
    <w:basedOn w:val="DefaultParagraphFont"/>
    <w:link w:val="BalloonText"/>
    <w:rsid w:val="00124503"/>
    <w:rPr>
      <w:rFonts w:ascii="Segoe UI" w:hAnsi="Segoe UI" w:cs="Segoe UI"/>
      <w:sz w:val="18"/>
      <w:szCs w:val="18"/>
      <w:lang w:val="lv-LV"/>
    </w:rPr>
  </w:style>
  <w:style w:type="character" w:styleId="CommentReference">
    <w:name w:val="annotation reference"/>
    <w:rsid w:val="00132F3D"/>
    <w:rPr>
      <w:sz w:val="16"/>
      <w:szCs w:val="16"/>
    </w:rPr>
  </w:style>
  <w:style w:type="paragraph" w:styleId="CommentText">
    <w:name w:val="annotation text"/>
    <w:basedOn w:val="Normal"/>
    <w:link w:val="CommentTextChar"/>
    <w:rsid w:val="00132F3D"/>
    <w:rPr>
      <w:sz w:val="20"/>
      <w:lang w:val="en-GB"/>
    </w:rPr>
  </w:style>
  <w:style w:type="character" w:customStyle="1" w:styleId="CommentTextChar">
    <w:name w:val="Comment Text Char"/>
    <w:basedOn w:val="DefaultParagraphFont"/>
    <w:link w:val="CommentText"/>
    <w:rsid w:val="00132F3D"/>
  </w:style>
  <w:style w:type="character" w:styleId="Hyperlink">
    <w:name w:val="Hyperlink"/>
    <w:basedOn w:val="DefaultParagraphFont"/>
    <w:rsid w:val="00132F3D"/>
    <w:rPr>
      <w:color w:val="0563C1" w:themeColor="hyperlink"/>
      <w:u w:val="single"/>
    </w:rPr>
  </w:style>
  <w:style w:type="paragraph" w:customStyle="1" w:styleId="Normal12Hanging">
    <w:name w:val="Normal12Hanging"/>
    <w:basedOn w:val="Normal"/>
    <w:link w:val="Normal12HangingChar"/>
    <w:rsid w:val="00132F3D"/>
    <w:pPr>
      <w:spacing w:after="240"/>
      <w:ind w:left="357" w:hanging="357"/>
    </w:pPr>
  </w:style>
  <w:style w:type="character" w:customStyle="1" w:styleId="Normal12HangingChar">
    <w:name w:val="Normal12Hanging Char"/>
    <w:basedOn w:val="DefaultParagraphFont"/>
    <w:link w:val="Normal12Hanging"/>
    <w:rsid w:val="00132F3D"/>
    <w:rPr>
      <w:sz w:val="24"/>
      <w:lang w:val="lv-LV"/>
    </w:rPr>
  </w:style>
  <w:style w:type="paragraph" w:customStyle="1" w:styleId="FootnoteTextForceStyle">
    <w:name w:val="Footnote Text ForceStyle"/>
    <w:rsid w:val="0071002E"/>
    <w:pPr>
      <w:keepLines/>
      <w:widowControl w:val="0"/>
      <w:spacing w:line="240" w:lineRule="exact"/>
      <w:ind w:left="850" w:hanging="850"/>
    </w:pPr>
    <w:rPr>
      <w:sz w:val="24"/>
      <w:lang w:val="lv-LV" w:eastAsia="en-US"/>
    </w:rPr>
  </w:style>
  <w:style w:type="character" w:customStyle="1" w:styleId="Hyperlink1">
    <w:name w:val="Hyperlink1"/>
    <w:basedOn w:val="DefaultParagraphFont"/>
    <w:unhideWhenUsed/>
    <w:rsid w:val="0071002E"/>
    <w:rPr>
      <w:color w:val="0000FF"/>
      <w:u w:val="single"/>
    </w:rPr>
  </w:style>
  <w:style w:type="character" w:styleId="UnresolvedMention">
    <w:name w:val="Unresolved Mention"/>
    <w:basedOn w:val="DefaultParagraphFont"/>
    <w:uiPriority w:val="99"/>
    <w:semiHidden/>
    <w:unhideWhenUsed/>
    <w:rsid w:val="00172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E3153-8B51-4079-AF8F-D8483E1D6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270</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2025-10-23T07:06:00Z</dcterms:created>
  <dcterms:modified xsi:type="dcterms:W3CDTF">2025-10-23T07:06:00Z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P10_TA(2025)0140_</vt:lpwstr>
  </property>
  <property fmtid="{D5CDD505-2E9C-101B-9397-08002B2CF9AE}" pid="4" name="&lt;Type&gt;">
    <vt:lpwstr>RR</vt:lpwstr>
  </property>
</Properties>
</file>