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A7E" w14:paraId="040211C6" w14:textId="77777777" w:rsidTr="0010095E">
        <w:trPr>
          <w:trHeight w:hRule="exact" w:val="1418"/>
        </w:trPr>
        <w:tc>
          <w:tcPr>
            <w:tcW w:w="6804" w:type="dxa"/>
            <w:shd w:val="clear" w:color="auto" w:fill="auto"/>
            <w:vAlign w:val="center"/>
          </w:tcPr>
          <w:p w14:paraId="404D2614" w14:textId="77777777" w:rsidR="00751A4A" w:rsidRPr="00D46A7E" w:rsidRDefault="00F65854" w:rsidP="0010095E">
            <w:pPr>
              <w:pStyle w:val="EPName"/>
            </w:pPr>
            <w:r w:rsidRPr="00D46A7E">
              <w:t>Parlamento Europeo</w:t>
            </w:r>
          </w:p>
          <w:p w14:paraId="6ABAB663" w14:textId="77777777" w:rsidR="00751A4A" w:rsidRPr="00D46A7E" w:rsidRDefault="005F1B17" w:rsidP="005F1B17">
            <w:pPr>
              <w:pStyle w:val="EPTerm"/>
              <w:rPr>
                <w:rStyle w:val="HideTWBExt"/>
                <w:noProof w:val="0"/>
                <w:vanish w:val="0"/>
                <w:color w:val="auto"/>
              </w:rPr>
            </w:pPr>
            <w:r w:rsidRPr="00D46A7E">
              <w:t>2024</w:t>
            </w:r>
            <w:r w:rsidR="00817416" w:rsidRPr="00D46A7E">
              <w:t>-202</w:t>
            </w:r>
            <w:r w:rsidRPr="00D46A7E">
              <w:t>9</w:t>
            </w:r>
          </w:p>
        </w:tc>
        <w:tc>
          <w:tcPr>
            <w:tcW w:w="2268" w:type="dxa"/>
            <w:shd w:val="clear" w:color="auto" w:fill="auto"/>
          </w:tcPr>
          <w:p w14:paraId="17F3EE1A" w14:textId="77777777" w:rsidR="00751A4A" w:rsidRPr="00D46A7E" w:rsidRDefault="00187494" w:rsidP="0010095E">
            <w:pPr>
              <w:pStyle w:val="EPLogo"/>
            </w:pPr>
            <w:r w:rsidRPr="00D46A7E">
              <w:rPr>
                <w:noProof/>
                <w:lang w:val="en-GB"/>
              </w:rPr>
              <w:drawing>
                <wp:inline distT="0" distB="0" distL="0" distR="0" wp14:anchorId="74B2ADB7" wp14:editId="05BF47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0807E" w14:textId="77777777" w:rsidR="00D058B8" w:rsidRPr="00D46A7E" w:rsidRDefault="00D058B8" w:rsidP="004C5D52">
      <w:pPr>
        <w:pStyle w:val="LineTop"/>
      </w:pPr>
    </w:p>
    <w:p w14:paraId="1CFE3805" w14:textId="77777777" w:rsidR="00680577" w:rsidRPr="00D46A7E" w:rsidRDefault="00F65854" w:rsidP="00680577">
      <w:pPr>
        <w:pStyle w:val="EPBodyTA1"/>
      </w:pPr>
      <w:r w:rsidRPr="00D46A7E">
        <w:t>TEXTOS APROBADOS</w:t>
      </w:r>
    </w:p>
    <w:p w14:paraId="5FB7CDEA" w14:textId="77777777" w:rsidR="00D058B8" w:rsidRPr="00D46A7E" w:rsidRDefault="00D058B8" w:rsidP="00D058B8">
      <w:pPr>
        <w:pStyle w:val="LineBottom"/>
      </w:pPr>
    </w:p>
    <w:p w14:paraId="29636965" w14:textId="46BC6CC7" w:rsidR="00F65854" w:rsidRPr="00D46A7E" w:rsidRDefault="00F65854" w:rsidP="00F65854">
      <w:pPr>
        <w:pStyle w:val="ATHeading1"/>
      </w:pPr>
      <w:bookmarkStart w:id="0" w:name="TANumber"/>
      <w:r w:rsidRPr="00D46A7E">
        <w:t>P10_</w:t>
      </w:r>
      <w:proofErr w:type="gramStart"/>
      <w:r w:rsidRPr="00D46A7E">
        <w:t>TA(</w:t>
      </w:r>
      <w:proofErr w:type="gramEnd"/>
      <w:r w:rsidRPr="00D46A7E">
        <w:t>2025)0</w:t>
      </w:r>
      <w:r w:rsidR="00FD1BF8" w:rsidRPr="00D46A7E">
        <w:t>141</w:t>
      </w:r>
      <w:bookmarkEnd w:id="0"/>
    </w:p>
    <w:p w14:paraId="65CF03EF" w14:textId="77777777" w:rsidR="00F65854" w:rsidRPr="00D46A7E" w:rsidRDefault="00F65854" w:rsidP="00F65854">
      <w:pPr>
        <w:pStyle w:val="ATHeading2"/>
      </w:pPr>
      <w:bookmarkStart w:id="1" w:name="title"/>
      <w:r w:rsidRPr="00D46A7E">
        <w:t>Excepción temporal a determinadas disposiciones del Reglamento (UE) 2017/2226 y del Reglamento (UE) 2016/399</w:t>
      </w:r>
      <w:bookmarkEnd w:id="1"/>
    </w:p>
    <w:p w14:paraId="51D6C329" w14:textId="77777777" w:rsidR="00F65854" w:rsidRPr="00D46A7E" w:rsidRDefault="00F65854" w:rsidP="00F65854">
      <w:pPr>
        <w:rPr>
          <w:i/>
          <w:vanish/>
        </w:rPr>
      </w:pPr>
      <w:r w:rsidRPr="00D46A7E">
        <w:rPr>
          <w:i/>
        </w:rPr>
        <w:fldChar w:fldCharType="begin"/>
      </w:r>
      <w:r w:rsidRPr="00D46A7E">
        <w:rPr>
          <w:i/>
        </w:rPr>
        <w:instrText xml:space="preserve"> TC"(</w:instrText>
      </w:r>
      <w:bookmarkStart w:id="2" w:name="DocNumber"/>
      <w:r w:rsidRPr="00D46A7E">
        <w:rPr>
          <w:i/>
        </w:rPr>
        <w:instrText>A10-0082/2025</w:instrText>
      </w:r>
      <w:bookmarkEnd w:id="2"/>
      <w:r w:rsidRPr="00D46A7E">
        <w:rPr>
          <w:i/>
        </w:rPr>
        <w:instrText xml:space="preserve"> - Ponente: </w:instrText>
      </w:r>
      <w:proofErr w:type="spellStart"/>
      <w:r w:rsidRPr="00D46A7E">
        <w:rPr>
          <w:i/>
        </w:rPr>
        <w:instrText>Assita</w:instrText>
      </w:r>
      <w:proofErr w:type="spellEnd"/>
      <w:r w:rsidRPr="00D46A7E">
        <w:rPr>
          <w:i/>
        </w:rPr>
        <w:instrText xml:space="preserve"> </w:instrText>
      </w:r>
      <w:proofErr w:type="spellStart"/>
      <w:r w:rsidRPr="00D46A7E">
        <w:rPr>
          <w:i/>
        </w:rPr>
        <w:instrText>Kanko</w:instrText>
      </w:r>
      <w:proofErr w:type="spellEnd"/>
      <w:r w:rsidRPr="00D46A7E">
        <w:rPr>
          <w:i/>
        </w:rPr>
        <w:instrText xml:space="preserve">)"\l3 \n&gt; \* MERGEFORMAT </w:instrText>
      </w:r>
      <w:r w:rsidRPr="00D46A7E">
        <w:rPr>
          <w:i/>
        </w:rPr>
        <w:fldChar w:fldCharType="end"/>
      </w:r>
    </w:p>
    <w:p w14:paraId="3709E5D8" w14:textId="77777777" w:rsidR="00F65854" w:rsidRPr="00D46A7E" w:rsidRDefault="00F65854" w:rsidP="00F65854">
      <w:pPr>
        <w:rPr>
          <w:vanish/>
        </w:rPr>
      </w:pPr>
      <w:bookmarkStart w:id="3" w:name="Commission"/>
      <w:r w:rsidRPr="00D46A7E">
        <w:rPr>
          <w:vanish/>
        </w:rPr>
        <w:t>Comisión de Libertades Civiles, Justicia y Asuntos de Interior</w:t>
      </w:r>
      <w:bookmarkEnd w:id="3"/>
    </w:p>
    <w:p w14:paraId="11C3632B" w14:textId="77777777" w:rsidR="00F65854" w:rsidRPr="00D46A7E" w:rsidRDefault="00F65854" w:rsidP="00F65854">
      <w:pPr>
        <w:rPr>
          <w:vanish/>
        </w:rPr>
      </w:pPr>
      <w:bookmarkStart w:id="4" w:name="PE"/>
      <w:r w:rsidRPr="00D46A7E">
        <w:rPr>
          <w:vanish/>
        </w:rPr>
        <w:t>PE770.093</w:t>
      </w:r>
      <w:bookmarkEnd w:id="4"/>
    </w:p>
    <w:p w14:paraId="0FC017FB" w14:textId="60E5FB09" w:rsidR="00F65854" w:rsidRPr="00D46A7E" w:rsidRDefault="00F65854" w:rsidP="00F65854">
      <w:pPr>
        <w:pStyle w:val="ATHeading3"/>
      </w:pPr>
      <w:bookmarkStart w:id="5" w:name="Sujet"/>
      <w:r w:rsidRPr="00D46A7E">
        <w:t xml:space="preserve">Resolución legislativa del Parlamento Europeo, de </w:t>
      </w:r>
      <w:r w:rsidR="009659C2" w:rsidRPr="00D46A7E">
        <w:t>8</w:t>
      </w:r>
      <w:r w:rsidRPr="00D46A7E">
        <w:t xml:space="preserve"> de julio de 2025, sobre la propuesta de Reglamento del Parlamento Europeo y del Consejo por el que se establece una excepción temporal a determinadas disposiciones del Reglamento (UE) 2017/2226 y del Reglamento (UE) 2016/399 en lo que respecta a la entrada en funcionamiento progresiva del Sistema de Entradas y Salidas</w:t>
      </w:r>
      <w:bookmarkEnd w:id="5"/>
      <w:r w:rsidRPr="00D46A7E">
        <w:t xml:space="preserve"> </w:t>
      </w:r>
      <w:bookmarkStart w:id="6" w:name="References"/>
      <w:r w:rsidRPr="00D46A7E">
        <w:t>(</w:t>
      </w:r>
      <w:proofErr w:type="gramStart"/>
      <w:r w:rsidRPr="00D46A7E">
        <w:t>COM(</w:t>
      </w:r>
      <w:proofErr w:type="gramEnd"/>
      <w:r w:rsidRPr="00D46A7E">
        <w:t>2024)0567 – C10-0207/2024 – 2024/0315(COD))</w:t>
      </w:r>
      <w:bookmarkEnd w:id="6"/>
    </w:p>
    <w:p w14:paraId="77B278B1" w14:textId="77777777" w:rsidR="00F47AEE" w:rsidRPr="00D46A7E" w:rsidRDefault="00F47AEE" w:rsidP="00F47AEE">
      <w:pPr>
        <w:pStyle w:val="NormalBold"/>
      </w:pPr>
      <w:r w:rsidRPr="00D46A7E">
        <w:t>(Procedimiento legislativo ordinario: primera lectura)</w:t>
      </w:r>
    </w:p>
    <w:p w14:paraId="14CD0F72" w14:textId="77777777" w:rsidR="00F47AEE" w:rsidRPr="00D46A7E" w:rsidRDefault="00F47AEE" w:rsidP="00F47AEE">
      <w:pPr>
        <w:pStyle w:val="EPComma"/>
      </w:pPr>
      <w:r w:rsidRPr="00D46A7E">
        <w:rPr>
          <w:i/>
        </w:rPr>
        <w:t>El Parlamento Europeo</w:t>
      </w:r>
      <w:r w:rsidRPr="00D46A7E">
        <w:t>,</w:t>
      </w:r>
    </w:p>
    <w:p w14:paraId="19D646AF" w14:textId="77777777" w:rsidR="00F47AEE" w:rsidRPr="00D46A7E" w:rsidRDefault="00F47AEE" w:rsidP="00F47AEE">
      <w:pPr>
        <w:pStyle w:val="NormalHanging12a"/>
      </w:pPr>
      <w:r w:rsidRPr="00D46A7E">
        <w:t>–</w:t>
      </w:r>
      <w:r w:rsidRPr="00D46A7E">
        <w:tab/>
        <w:t>Vista la propuesta de la Comisión al Parlamento Europeo y al Consejo (</w:t>
      </w:r>
      <w:proofErr w:type="gramStart"/>
      <w:r w:rsidRPr="00D46A7E">
        <w:t>COM(</w:t>
      </w:r>
      <w:proofErr w:type="gramEnd"/>
      <w:r w:rsidRPr="00D46A7E">
        <w:t>2024)0567),</w:t>
      </w:r>
    </w:p>
    <w:p w14:paraId="4C6258E0" w14:textId="77777777" w:rsidR="00F47AEE" w:rsidRPr="00D46A7E" w:rsidRDefault="00F47AEE" w:rsidP="00F47AEE">
      <w:pPr>
        <w:pStyle w:val="NormalHanging12a"/>
      </w:pPr>
      <w:r w:rsidRPr="00D46A7E">
        <w:t>–</w:t>
      </w:r>
      <w:r w:rsidRPr="00D46A7E">
        <w:tab/>
        <w:t>Vistos el artículo 294, apartado 2, y el artículo 77, apartado 2, letras b) y d), y el artículo 87, apartado 2, letra a), del Tratado de Funcionamiento de la Unión Europea, conforme a los cuales la Comisión le ha presentado su propuesta (C10</w:t>
      </w:r>
      <w:r w:rsidRPr="00D46A7E">
        <w:noBreakHyphen/>
        <w:t>0207/2024),</w:t>
      </w:r>
    </w:p>
    <w:p w14:paraId="73F87724" w14:textId="77777777" w:rsidR="00F47AEE" w:rsidRPr="00D46A7E" w:rsidRDefault="00F47AEE" w:rsidP="00F47AEE">
      <w:pPr>
        <w:pStyle w:val="NormalHanging12a"/>
      </w:pPr>
      <w:r w:rsidRPr="00D46A7E">
        <w:t>–</w:t>
      </w:r>
      <w:r w:rsidRPr="00D46A7E">
        <w:tab/>
        <w:t>Visto el artículo 294, apartado 3, del Tratado de Funcionamiento de la Unión Europea,</w:t>
      </w:r>
    </w:p>
    <w:p w14:paraId="1FCDA188" w14:textId="78392121" w:rsidR="009659C2" w:rsidRPr="00D46A7E" w:rsidRDefault="009659C2" w:rsidP="00F47AEE">
      <w:pPr>
        <w:pStyle w:val="NormalHanging12a"/>
      </w:pPr>
      <w:r w:rsidRPr="00D46A7E">
        <w:t>–</w:t>
      </w:r>
      <w:r w:rsidRPr="00D46A7E">
        <w:tab/>
        <w:t>Vistos el acuerdo provisional aprobado por la comisión competente con arreglo al artículo 75, apartado 4, de su Reglamento interno y el compromiso asumido por el representante del Consejo, mediante carta de 28 de mayo de 2025, de aprobar la Posición del Parlamento Europeo, de conformidad con el artículo 294, apartado 4, del Tratado de Funcionamiento de la Unión Europea,</w:t>
      </w:r>
    </w:p>
    <w:p w14:paraId="1DFFA441" w14:textId="77777777" w:rsidR="00F47AEE" w:rsidRPr="00D46A7E" w:rsidRDefault="00F47AEE" w:rsidP="00F47AEE">
      <w:pPr>
        <w:pStyle w:val="NormalHanging12a"/>
      </w:pPr>
      <w:r w:rsidRPr="00D46A7E">
        <w:t>–</w:t>
      </w:r>
      <w:r w:rsidRPr="00D46A7E">
        <w:tab/>
        <w:t>Visto el artículo 60 de su Reglamento interno,</w:t>
      </w:r>
    </w:p>
    <w:p w14:paraId="734D14F9" w14:textId="77777777" w:rsidR="00F47AEE" w:rsidRPr="00D46A7E" w:rsidRDefault="00F47AEE" w:rsidP="00F47AEE">
      <w:pPr>
        <w:pStyle w:val="NormalHanging12a"/>
      </w:pPr>
      <w:r w:rsidRPr="00D46A7E">
        <w:t>–</w:t>
      </w:r>
      <w:r w:rsidRPr="00D46A7E">
        <w:tab/>
        <w:t>Visto el informe de la Comisión de Libertades Civiles, Justicia y Asuntos de Interior (A10</w:t>
      </w:r>
      <w:r w:rsidRPr="00D46A7E">
        <w:noBreakHyphen/>
        <w:t>0082/2025),</w:t>
      </w:r>
    </w:p>
    <w:p w14:paraId="6F2A799C" w14:textId="77777777" w:rsidR="00F47AEE" w:rsidRPr="00D46A7E" w:rsidRDefault="00F47AEE" w:rsidP="00F47AEE">
      <w:pPr>
        <w:pStyle w:val="NormalHanging12a"/>
      </w:pPr>
      <w:r w:rsidRPr="00D46A7E">
        <w:t>1.</w:t>
      </w:r>
      <w:r w:rsidRPr="00D46A7E">
        <w:tab/>
        <w:t>Aprueba la Posición en primera lectura que figura a continuación;</w:t>
      </w:r>
    </w:p>
    <w:p w14:paraId="4B8837E7" w14:textId="77777777" w:rsidR="00F47AEE" w:rsidRPr="00D46A7E" w:rsidRDefault="00F47AEE" w:rsidP="00F47AEE">
      <w:pPr>
        <w:pStyle w:val="NormalHanging12a"/>
      </w:pPr>
      <w:r w:rsidRPr="00D46A7E">
        <w:t>2.</w:t>
      </w:r>
      <w:r w:rsidRPr="00D46A7E">
        <w:tab/>
        <w:t xml:space="preserve">Pide a la Comisión que le consulte de nuevo si sustituye su propuesta, la modifica </w:t>
      </w:r>
      <w:r w:rsidRPr="00D46A7E">
        <w:lastRenderedPageBreak/>
        <w:t>sustancialmente o se propone modificarla sustancialmente;</w:t>
      </w:r>
    </w:p>
    <w:p w14:paraId="43D577DA" w14:textId="77777777" w:rsidR="00F47AEE" w:rsidRPr="00D46A7E" w:rsidRDefault="00F47AEE" w:rsidP="00F47AEE">
      <w:pPr>
        <w:pStyle w:val="NormalHanging12a"/>
      </w:pPr>
      <w:r w:rsidRPr="00D46A7E">
        <w:t>3.</w:t>
      </w:r>
      <w:r w:rsidRPr="00D46A7E">
        <w:tab/>
        <w:t>Encarga a su presidenta que transmita la Posición del Parlamento al Consejo y a la Comisión, así como a los Parlamentos nacionales.</w:t>
      </w:r>
    </w:p>
    <w:p w14:paraId="737A92A4" w14:textId="77777777" w:rsidR="009659C2" w:rsidRPr="00D46A7E" w:rsidRDefault="009659C2" w:rsidP="00F47AEE">
      <w:pPr>
        <w:widowControl/>
        <w:sectPr w:rsidR="009659C2" w:rsidRPr="00D46A7E" w:rsidSect="00293D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9524B2" w14:textId="3CB1E8A7" w:rsidR="00A137BA" w:rsidRPr="00D46A7E" w:rsidRDefault="00A137BA" w:rsidP="00A137BA">
      <w:pPr>
        <w:pStyle w:val="Normal12Hanging"/>
        <w:ind w:left="0" w:firstLine="0"/>
        <w:jc w:val="both"/>
        <w:rPr>
          <w:b/>
          <w:lang w:val="es-ES"/>
        </w:rPr>
      </w:pPr>
      <w:r w:rsidRPr="00D46A7E">
        <w:rPr>
          <w:b/>
          <w:lang w:val="es-ES"/>
        </w:rPr>
        <w:lastRenderedPageBreak/>
        <w:t>P10_TC1-</w:t>
      </w:r>
      <w:proofErr w:type="gramStart"/>
      <w:r w:rsidRPr="00D46A7E">
        <w:rPr>
          <w:b/>
          <w:lang w:val="es-ES"/>
        </w:rPr>
        <w:t>COD(</w:t>
      </w:r>
      <w:proofErr w:type="gramEnd"/>
      <w:r w:rsidRPr="00D46A7E">
        <w:rPr>
          <w:b/>
          <w:lang w:val="es-ES"/>
        </w:rPr>
        <w:t>2024)0315</w:t>
      </w:r>
    </w:p>
    <w:p w14:paraId="6DD5D792" w14:textId="1A993518" w:rsidR="00A137BA" w:rsidRPr="00D46A7E" w:rsidRDefault="00A137BA" w:rsidP="00A137BA">
      <w:pPr>
        <w:rPr>
          <w:b/>
          <w:szCs w:val="24"/>
          <w:lang w:eastAsia="en-US"/>
        </w:rPr>
      </w:pPr>
      <w:r w:rsidRPr="00D46A7E">
        <w:rPr>
          <w:b/>
        </w:rPr>
        <w:t xml:space="preserve">Posición del Parlamento Europeo aprobada en primera lectura el 8 de julio de 2025 con vistas a la adopción del Reglamento (UE) 2025/... del Parlamento Europeo y del Consejo </w:t>
      </w:r>
      <w:r w:rsidRPr="00D46A7E">
        <w:rPr>
          <w:b/>
          <w:szCs w:val="24"/>
          <w:lang w:eastAsia="en-US"/>
        </w:rPr>
        <w:t>sobre excepciones temporales a determinadas disposiciones de los Reglamentos (UE) 2017/2226 y (UE) 2016/399 en lo que respecta a la entrada en funcionamiento progresiva del Sistema de Entradas y Salidas</w:t>
      </w:r>
    </w:p>
    <w:p w14:paraId="3E458E29" w14:textId="0237C733" w:rsidR="00A137BA" w:rsidRPr="00BC2C77" w:rsidRDefault="00BC2C77" w:rsidP="00BC2C77">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BC2C77">
        <w:rPr>
          <w:i/>
          <w:lang w:val="es-ES_tradnl"/>
        </w:rPr>
        <w:t>definitivo, el Reglamento (UE) 202</w:t>
      </w:r>
      <w:r w:rsidRPr="00BC2C77">
        <w:rPr>
          <w:i/>
          <w:lang w:val="es-ES_tradnl"/>
        </w:rPr>
        <w:t>5</w:t>
      </w:r>
      <w:r w:rsidRPr="00BC2C77">
        <w:rPr>
          <w:i/>
          <w:lang w:val="es-ES_tradnl"/>
        </w:rPr>
        <w:t>/</w:t>
      </w:r>
      <w:r w:rsidRPr="00BC2C77">
        <w:rPr>
          <w:i/>
          <w:lang w:val="es-ES_tradnl"/>
        </w:rPr>
        <w:t>1534</w:t>
      </w:r>
      <w:r w:rsidRPr="00BC2C77">
        <w:rPr>
          <w:i/>
          <w:lang w:val="es-ES_tradnl"/>
        </w:rPr>
        <w:t>.)</w:t>
      </w:r>
    </w:p>
    <w:sectPr w:rsidR="00A137BA" w:rsidRPr="00BC2C77" w:rsidSect="00293DC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0CA32" w14:textId="77777777" w:rsidR="00F65854" w:rsidRPr="00293DCE" w:rsidRDefault="00F65854">
      <w:r w:rsidRPr="00293DCE">
        <w:separator/>
      </w:r>
    </w:p>
  </w:endnote>
  <w:endnote w:type="continuationSeparator" w:id="0">
    <w:p w14:paraId="3A0AB06E" w14:textId="77777777" w:rsidR="00F65854" w:rsidRPr="00293DCE" w:rsidRDefault="00F65854">
      <w:r w:rsidRPr="00293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7D56" w14:textId="77777777" w:rsidR="00064002" w:rsidRPr="00293D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04F56" w14:textId="77777777" w:rsidR="00064002" w:rsidRPr="00293D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20F" w14:textId="77777777" w:rsidR="00064002" w:rsidRPr="00293D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5CD8B" w14:textId="77777777" w:rsidR="00F65854" w:rsidRPr="00293DCE" w:rsidRDefault="00F65854">
      <w:r w:rsidRPr="00293DCE">
        <w:separator/>
      </w:r>
    </w:p>
  </w:footnote>
  <w:footnote w:type="continuationSeparator" w:id="0">
    <w:p w14:paraId="619AA3CB" w14:textId="77777777" w:rsidR="00F65854" w:rsidRPr="00293DCE" w:rsidRDefault="00F65854">
      <w:r w:rsidRPr="00293D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ADC5" w14:textId="77777777" w:rsidR="00064002" w:rsidRPr="00293D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BA367" w14:textId="77777777" w:rsidR="00064002" w:rsidRPr="00293D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C877" w14:textId="77777777" w:rsidR="00064002" w:rsidRPr="00293D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1726993">
    <w:abstractNumId w:val="9"/>
  </w:num>
  <w:num w:numId="2" w16cid:durableId="2042585088">
    <w:abstractNumId w:val="9"/>
  </w:num>
  <w:num w:numId="3" w16cid:durableId="109859870">
    <w:abstractNumId w:val="7"/>
  </w:num>
  <w:num w:numId="4" w16cid:durableId="518466555">
    <w:abstractNumId w:val="7"/>
  </w:num>
  <w:num w:numId="5" w16cid:durableId="1286497552">
    <w:abstractNumId w:val="6"/>
  </w:num>
  <w:num w:numId="6" w16cid:durableId="352341787">
    <w:abstractNumId w:val="6"/>
  </w:num>
  <w:num w:numId="7" w16cid:durableId="874925481">
    <w:abstractNumId w:val="5"/>
  </w:num>
  <w:num w:numId="8" w16cid:durableId="731848429">
    <w:abstractNumId w:val="5"/>
  </w:num>
  <w:num w:numId="9" w16cid:durableId="687221454">
    <w:abstractNumId w:val="4"/>
  </w:num>
  <w:num w:numId="10" w16cid:durableId="787970680">
    <w:abstractNumId w:val="4"/>
  </w:num>
  <w:num w:numId="11" w16cid:durableId="2028824475">
    <w:abstractNumId w:val="8"/>
  </w:num>
  <w:num w:numId="12" w16cid:durableId="161512772">
    <w:abstractNumId w:val="8"/>
  </w:num>
  <w:num w:numId="13" w16cid:durableId="853031797">
    <w:abstractNumId w:val="3"/>
  </w:num>
  <w:num w:numId="14" w16cid:durableId="350842446">
    <w:abstractNumId w:val="3"/>
  </w:num>
  <w:num w:numId="15" w16cid:durableId="1537035780">
    <w:abstractNumId w:val="2"/>
  </w:num>
  <w:num w:numId="16" w16cid:durableId="2131824348">
    <w:abstractNumId w:val="2"/>
  </w:num>
  <w:num w:numId="17" w16cid:durableId="1168591615">
    <w:abstractNumId w:val="1"/>
  </w:num>
  <w:num w:numId="18" w16cid:durableId="1780248811">
    <w:abstractNumId w:val="1"/>
  </w:num>
  <w:num w:numId="19" w16cid:durableId="620502285">
    <w:abstractNumId w:val="0"/>
  </w:num>
  <w:num w:numId="20" w16cid:durableId="2004042818">
    <w:abstractNumId w:val="0"/>
  </w:num>
  <w:num w:numId="21" w16cid:durableId="1848904485">
    <w:abstractNumId w:val="9"/>
  </w:num>
  <w:num w:numId="22" w16cid:durableId="451562531">
    <w:abstractNumId w:val="7"/>
  </w:num>
  <w:num w:numId="23" w16cid:durableId="413092304">
    <w:abstractNumId w:val="6"/>
  </w:num>
  <w:num w:numId="24" w16cid:durableId="813526580">
    <w:abstractNumId w:val="5"/>
  </w:num>
  <w:num w:numId="25" w16cid:durableId="1937715809">
    <w:abstractNumId w:val="4"/>
  </w:num>
  <w:num w:numId="26" w16cid:durableId="1881897682">
    <w:abstractNumId w:val="8"/>
  </w:num>
  <w:num w:numId="27" w16cid:durableId="1686052903">
    <w:abstractNumId w:val="3"/>
  </w:num>
  <w:num w:numId="28" w16cid:durableId="600334301">
    <w:abstractNumId w:val="2"/>
  </w:num>
  <w:num w:numId="29" w16cid:durableId="855776670">
    <w:abstractNumId w:val="1"/>
  </w:num>
  <w:num w:numId="30" w16cid:durableId="1861967796">
    <w:abstractNumId w:val="0"/>
  </w:num>
  <w:num w:numId="31" w16cid:durableId="132992695">
    <w:abstractNumId w:val="9"/>
  </w:num>
  <w:num w:numId="32" w16cid:durableId="2017339153">
    <w:abstractNumId w:val="7"/>
  </w:num>
  <w:num w:numId="33" w16cid:durableId="1112553056">
    <w:abstractNumId w:val="6"/>
  </w:num>
  <w:num w:numId="34" w16cid:durableId="1204177420">
    <w:abstractNumId w:val="5"/>
  </w:num>
  <w:num w:numId="35" w16cid:durableId="1413433451">
    <w:abstractNumId w:val="4"/>
  </w:num>
  <w:num w:numId="36" w16cid:durableId="711537596">
    <w:abstractNumId w:val="8"/>
  </w:num>
  <w:num w:numId="37" w16cid:durableId="1289773144">
    <w:abstractNumId w:val="3"/>
  </w:num>
  <w:num w:numId="38" w16cid:durableId="1062825417">
    <w:abstractNumId w:val="2"/>
  </w:num>
  <w:num w:numId="39" w16cid:durableId="855927128">
    <w:abstractNumId w:val="1"/>
  </w:num>
  <w:num w:numId="40" w16cid:durableId="1515918919">
    <w:abstractNumId w:val="0"/>
  </w:num>
  <w:num w:numId="41" w16cid:durableId="1234774513">
    <w:abstractNumId w:val="10"/>
  </w:num>
  <w:num w:numId="42" w16cid:durableId="16859499">
    <w:abstractNumId w:val="10"/>
  </w:num>
  <w:num w:numId="43" w16cid:durableId="757334800">
    <w:abstractNumId w:val="10"/>
  </w:num>
  <w:num w:numId="44" w16cid:durableId="437256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ES"/>
    <w:docVar w:name="dvnumam" w:val="0"/>
    <w:docVar w:name="dvpe" w:val="770.093"/>
    <w:docVar w:name="dvrapporteur" w:val="Ponente: "/>
    <w:docVar w:name="dvstar" w:val="***I"/>
    <w:docVar w:name="dvtitre" w:val="Resolución legislativa del Parlamento Europeo, de x de julio de 2025, sobre la propuesta de Reglamento del Parlamento Europeo y del Consejo por el que se establece una excepción temporal a determinadas disposiciones del Reglamento (UE) 2017/2226 y del Reglamento (UE) 2016/399 en lo que respecta a la entrada en funcionamiento progresiva del Sistema de Entradas y Salidas(COM(2024)0567 – C10-0207/2024 – 2024/0315(COD))"/>
  </w:docVars>
  <w:rsids>
    <w:rsidRoot w:val="00F65854"/>
    <w:rsid w:val="00002272"/>
    <w:rsid w:val="00047B9E"/>
    <w:rsid w:val="00064002"/>
    <w:rsid w:val="000677B9"/>
    <w:rsid w:val="000831BA"/>
    <w:rsid w:val="000A42CC"/>
    <w:rsid w:val="000E7DD9"/>
    <w:rsid w:val="000F564E"/>
    <w:rsid w:val="0010095E"/>
    <w:rsid w:val="00125B37"/>
    <w:rsid w:val="00187494"/>
    <w:rsid w:val="001F32AE"/>
    <w:rsid w:val="002767FF"/>
    <w:rsid w:val="00293DC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6E78"/>
    <w:rsid w:val="006F74FA"/>
    <w:rsid w:val="00731ADD"/>
    <w:rsid w:val="00734777"/>
    <w:rsid w:val="00747932"/>
    <w:rsid w:val="00751A4A"/>
    <w:rsid w:val="00756632"/>
    <w:rsid w:val="00762C74"/>
    <w:rsid w:val="00786EC0"/>
    <w:rsid w:val="007B349B"/>
    <w:rsid w:val="007D1690"/>
    <w:rsid w:val="007E22AD"/>
    <w:rsid w:val="00817416"/>
    <w:rsid w:val="00842779"/>
    <w:rsid w:val="00865F67"/>
    <w:rsid w:val="00881A7B"/>
    <w:rsid w:val="008840E5"/>
    <w:rsid w:val="00887B3E"/>
    <w:rsid w:val="008C2AC6"/>
    <w:rsid w:val="00930C23"/>
    <w:rsid w:val="00930E47"/>
    <w:rsid w:val="0093193B"/>
    <w:rsid w:val="009509D8"/>
    <w:rsid w:val="00950B64"/>
    <w:rsid w:val="009659C2"/>
    <w:rsid w:val="00981893"/>
    <w:rsid w:val="00A137BA"/>
    <w:rsid w:val="00A1687D"/>
    <w:rsid w:val="00A43E52"/>
    <w:rsid w:val="00A4678D"/>
    <w:rsid w:val="00A778C7"/>
    <w:rsid w:val="00AB441E"/>
    <w:rsid w:val="00AB6293"/>
    <w:rsid w:val="00AE0928"/>
    <w:rsid w:val="00AF3B82"/>
    <w:rsid w:val="00B12E95"/>
    <w:rsid w:val="00B22876"/>
    <w:rsid w:val="00B558F0"/>
    <w:rsid w:val="00BC2C77"/>
    <w:rsid w:val="00BD48FE"/>
    <w:rsid w:val="00BD7BD8"/>
    <w:rsid w:val="00BE6ADC"/>
    <w:rsid w:val="00C05BFE"/>
    <w:rsid w:val="00C23CD4"/>
    <w:rsid w:val="00C61C0C"/>
    <w:rsid w:val="00C63F36"/>
    <w:rsid w:val="00C941CB"/>
    <w:rsid w:val="00CC2357"/>
    <w:rsid w:val="00CF071A"/>
    <w:rsid w:val="00D058B8"/>
    <w:rsid w:val="00D46A7E"/>
    <w:rsid w:val="00D56C11"/>
    <w:rsid w:val="00D834A0"/>
    <w:rsid w:val="00D872DF"/>
    <w:rsid w:val="00D91E21"/>
    <w:rsid w:val="00DA7FCD"/>
    <w:rsid w:val="00E365E1"/>
    <w:rsid w:val="00E820A4"/>
    <w:rsid w:val="00EB006A"/>
    <w:rsid w:val="00EB4772"/>
    <w:rsid w:val="00ED169E"/>
    <w:rsid w:val="00ED4235"/>
    <w:rsid w:val="00ED72F8"/>
    <w:rsid w:val="00F04346"/>
    <w:rsid w:val="00F075DC"/>
    <w:rsid w:val="00F149E9"/>
    <w:rsid w:val="00F47AEE"/>
    <w:rsid w:val="00F5134D"/>
    <w:rsid w:val="00F65854"/>
    <w:rsid w:val="00F74202"/>
    <w:rsid w:val="00F87713"/>
    <w:rsid w:val="00FB4360"/>
    <w:rsid w:val="00FD0C70"/>
    <w:rsid w:val="00FD1BF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0A59C"/>
  <w15:chartTrackingRefBased/>
  <w15:docId w15:val="{1A172D18-E373-4D69-93D2-4F3BA60E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47AEE"/>
    <w:pPr>
      <w:spacing w:before="480" w:after="240"/>
    </w:pPr>
  </w:style>
  <w:style w:type="paragraph" w:customStyle="1" w:styleId="NormalBold">
    <w:name w:val="NormalBold"/>
    <w:basedOn w:val="Normal"/>
    <w:rsid w:val="00F47AEE"/>
    <w:rPr>
      <w:b/>
    </w:rPr>
  </w:style>
  <w:style w:type="paragraph" w:customStyle="1" w:styleId="NormalHanging12a">
    <w:name w:val="NormalHanging12a"/>
    <w:basedOn w:val="Normal"/>
    <w:rsid w:val="00F47AEE"/>
    <w:pPr>
      <w:spacing w:after="240"/>
      <w:ind w:left="567" w:hanging="567"/>
    </w:pPr>
  </w:style>
  <w:style w:type="paragraph" w:customStyle="1" w:styleId="NormalCenter12a">
    <w:name w:val="NormalCenter12a"/>
    <w:basedOn w:val="Normal"/>
    <w:rsid w:val="00F47AEE"/>
    <w:pPr>
      <w:spacing w:after="240"/>
      <w:jc w:val="center"/>
    </w:pPr>
  </w:style>
  <w:style w:type="paragraph" w:customStyle="1" w:styleId="AmNumberTabs">
    <w:name w:val="AmNumberTabs"/>
    <w:basedOn w:val="Normal"/>
    <w:rsid w:val="00F47A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47AEE"/>
    <w:pPr>
      <w:spacing w:before="720" w:after="240"/>
      <w:jc w:val="center"/>
    </w:pPr>
  </w:style>
  <w:style w:type="character" w:styleId="Hyperlink">
    <w:name w:val="Hyperlink"/>
    <w:basedOn w:val="DefaultParagraphFont"/>
    <w:unhideWhenUsed/>
    <w:rsid w:val="00F47AEE"/>
    <w:rPr>
      <w:color w:val="0563C1" w:themeColor="hyperlink"/>
      <w:u w:val="single"/>
    </w:rPr>
  </w:style>
  <w:style w:type="paragraph" w:customStyle="1" w:styleId="Text1">
    <w:name w:val="Text 1"/>
    <w:basedOn w:val="Normal"/>
    <w:uiPriority w:val="99"/>
    <w:rsid w:val="00F47AEE"/>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F47AEE"/>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F47AEE"/>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F47AEE"/>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F47AE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F47AEE"/>
    <w:pPr>
      <w:keepNext/>
      <w:widowControl/>
      <w:spacing w:before="120" w:after="120"/>
      <w:jc w:val="both"/>
    </w:pPr>
    <w:rPr>
      <w:rFonts w:eastAsiaTheme="minorHAnsi"/>
      <w:szCs w:val="22"/>
      <w:lang w:eastAsia="en-US"/>
    </w:rPr>
  </w:style>
  <w:style w:type="paragraph" w:customStyle="1" w:styleId="ManualConsidrant">
    <w:name w:val="Manual Considérant"/>
    <w:basedOn w:val="Normal"/>
    <w:uiPriority w:val="99"/>
    <w:rsid w:val="00F47AEE"/>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F47AEE"/>
    <w:pPr>
      <w:widowControl/>
      <w:spacing w:before="360"/>
      <w:jc w:val="center"/>
    </w:pPr>
    <w:rPr>
      <w:rFonts w:eastAsiaTheme="minorHAnsi"/>
      <w:b/>
      <w:szCs w:val="22"/>
      <w:lang w:eastAsia="en-US"/>
    </w:rPr>
  </w:style>
  <w:style w:type="character" w:customStyle="1" w:styleId="normaltextrun">
    <w:name w:val="normaltextrun"/>
    <w:basedOn w:val="DefaultParagraphFont"/>
    <w:rsid w:val="00F47AEE"/>
  </w:style>
  <w:style w:type="character" w:customStyle="1" w:styleId="eop">
    <w:name w:val="eop"/>
    <w:basedOn w:val="DefaultParagraphFont"/>
    <w:rsid w:val="00F47AEE"/>
  </w:style>
  <w:style w:type="character" w:styleId="HTMLCite">
    <w:name w:val="HTML Cite"/>
    <w:basedOn w:val="DefaultParagraphFont"/>
    <w:uiPriority w:val="99"/>
    <w:unhideWhenUsed/>
    <w:rsid w:val="00F47AEE"/>
    <w:rPr>
      <w:i/>
      <w:iCs/>
    </w:rPr>
  </w:style>
  <w:style w:type="paragraph" w:customStyle="1" w:styleId="Fait">
    <w:name w:val="Fait à"/>
    <w:basedOn w:val="Normal"/>
    <w:next w:val="Normal"/>
    <w:rsid w:val="00F47AEE"/>
    <w:pPr>
      <w:keepNext/>
      <w:widowControl/>
      <w:spacing w:before="120"/>
      <w:jc w:val="both"/>
    </w:pPr>
    <w:rPr>
      <w:rFonts w:eastAsiaTheme="minorHAnsi"/>
      <w:szCs w:val="22"/>
      <w:lang w:eastAsia="en-US"/>
    </w:rPr>
  </w:style>
  <w:style w:type="paragraph" w:styleId="Revision">
    <w:name w:val="Revision"/>
    <w:hidden/>
    <w:uiPriority w:val="99"/>
    <w:semiHidden/>
    <w:rsid w:val="009659C2"/>
    <w:rPr>
      <w:sz w:val="24"/>
      <w:lang w:val="es-ES_tradnl"/>
    </w:rPr>
  </w:style>
  <w:style w:type="paragraph" w:customStyle="1" w:styleId="Normal12Hanging">
    <w:name w:val="Normal12Hanging"/>
    <w:basedOn w:val="Normal"/>
    <w:rsid w:val="00A137BA"/>
    <w:pPr>
      <w:spacing w:after="240"/>
      <w:ind w:left="357" w:hanging="357"/>
    </w:pPr>
    <w:rPr>
      <w:snapToGrid w:val="0"/>
    </w:rPr>
  </w:style>
  <w:style w:type="paragraph" w:customStyle="1" w:styleId="FootnoteTextForceStyle">
    <w:name w:val="Footnote Text ForceStyle"/>
    <w:rsid w:val="00A137BA"/>
    <w:pPr>
      <w:keepLines/>
      <w:widowControl w:val="0"/>
      <w:spacing w:line="240" w:lineRule="exact"/>
      <w:ind w:left="850" w:hanging="850"/>
    </w:pPr>
    <w:rPr>
      <w:sz w:val="24"/>
      <w:lang w:val="es-ES" w:eastAsia="en-US"/>
    </w:rPr>
  </w:style>
  <w:style w:type="paragraph" w:styleId="BalloonText">
    <w:name w:val="Balloon Text"/>
    <w:basedOn w:val="Normal"/>
    <w:link w:val="BalloonTextChar"/>
    <w:rsid w:val="00047B9E"/>
    <w:rPr>
      <w:rFonts w:ascii="Segoe UI" w:hAnsi="Segoe UI" w:cs="Segoe UI"/>
      <w:sz w:val="18"/>
      <w:szCs w:val="18"/>
    </w:rPr>
  </w:style>
  <w:style w:type="character" w:customStyle="1" w:styleId="BalloonTextChar">
    <w:name w:val="Balloon Text Char"/>
    <w:basedOn w:val="DefaultParagraphFont"/>
    <w:link w:val="BalloonText"/>
    <w:rsid w:val="00047B9E"/>
    <w:rPr>
      <w:rFonts w:ascii="Segoe UI" w:hAnsi="Segoe UI" w:cs="Segoe UI"/>
      <w:sz w:val="18"/>
      <w:szCs w:val="18"/>
      <w:lang w:val="es-ES_tradnl"/>
    </w:rPr>
  </w:style>
  <w:style w:type="paragraph" w:customStyle="1" w:styleId="normal12hanging0">
    <w:name w:val="normal12hanging"/>
    <w:basedOn w:val="Normal"/>
    <w:rsid w:val="00BC2C77"/>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DDD5A-D2EC-492E-B264-A6413C219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RODRIGUEZ ARMESTO Fernan</dc:creator>
  <cp:keywords/>
  <cp:lastModifiedBy>Fernan Rodriguez</cp:lastModifiedBy>
  <cp:revision>3</cp:revision>
  <cp:lastPrinted>2004-11-19T15:42:00Z</cp:lastPrinted>
  <dcterms:created xsi:type="dcterms:W3CDTF">2025-07-08T14:34:00Z</dcterms:created>
  <dcterms:modified xsi:type="dcterms:W3CDTF">2025-10-24T08:26:00Z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A10-0082/2025</vt:lpwstr>
  </property>
  <property fmtid="{D5CDD505-2E9C-101B-9397-08002B2CF9AE}" pid="4" name="&lt;Type&gt;">
    <vt:lpwstr>RR</vt:lpwstr>
  </property>
</Properties>
</file>