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82C80" w14:paraId="23D5812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99EBA7D" w14:textId="77777777" w:rsidR="00751A4A" w:rsidRPr="00982C80" w:rsidRDefault="00553715" w:rsidP="0010095E">
            <w:pPr>
              <w:pStyle w:val="EPName"/>
            </w:pPr>
            <w:r w:rsidRPr="00982C80">
              <w:t>Europski parlament</w:t>
            </w:r>
          </w:p>
          <w:p w14:paraId="49650B27" w14:textId="77777777" w:rsidR="00751A4A" w:rsidRPr="00982C8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82C80">
              <w:t>2024</w:t>
            </w:r>
            <w:r w:rsidR="00817416" w:rsidRPr="00982C80">
              <w:t>-202</w:t>
            </w:r>
            <w:r w:rsidRPr="00982C80">
              <w:t>9</w:t>
            </w:r>
          </w:p>
        </w:tc>
        <w:tc>
          <w:tcPr>
            <w:tcW w:w="2268" w:type="dxa"/>
            <w:shd w:val="clear" w:color="auto" w:fill="auto"/>
          </w:tcPr>
          <w:p w14:paraId="4469A46B" w14:textId="77777777" w:rsidR="00751A4A" w:rsidRPr="00982C80" w:rsidRDefault="00187494" w:rsidP="0010095E">
            <w:pPr>
              <w:pStyle w:val="EPLogo"/>
            </w:pPr>
            <w:r w:rsidRPr="00982C80">
              <w:rPr>
                <w:noProof/>
                <w:lang w:val="en-GB"/>
              </w:rPr>
              <w:drawing>
                <wp:inline distT="0" distB="0" distL="0" distR="0" wp14:anchorId="38C4FA13" wp14:editId="77BA817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C783D0" w14:textId="77777777" w:rsidR="00D058B8" w:rsidRPr="00982C80" w:rsidRDefault="00D058B8" w:rsidP="004C5D52">
      <w:pPr>
        <w:pStyle w:val="LineTop"/>
      </w:pPr>
    </w:p>
    <w:p w14:paraId="11189E94" w14:textId="77777777" w:rsidR="00680577" w:rsidRPr="00982C80" w:rsidRDefault="00553715" w:rsidP="00680577">
      <w:pPr>
        <w:pStyle w:val="EPBodyTA1"/>
      </w:pPr>
      <w:r w:rsidRPr="00982C80">
        <w:t>USVOJENI TEKSTOVI</w:t>
      </w:r>
    </w:p>
    <w:p w14:paraId="78884956" w14:textId="77777777" w:rsidR="00D058B8" w:rsidRPr="00982C80" w:rsidRDefault="00D058B8" w:rsidP="00D058B8">
      <w:pPr>
        <w:pStyle w:val="LineBottom"/>
      </w:pPr>
    </w:p>
    <w:p w14:paraId="1F726394" w14:textId="2100438E" w:rsidR="00553715" w:rsidRPr="00982C80" w:rsidRDefault="00553715" w:rsidP="00553715">
      <w:pPr>
        <w:pStyle w:val="ATHeading1"/>
      </w:pPr>
      <w:bookmarkStart w:id="0" w:name="TANumber"/>
      <w:r w:rsidRPr="00982C80">
        <w:t>P10_TA(2025)0</w:t>
      </w:r>
      <w:r w:rsidR="000A091A">
        <w:t>145</w:t>
      </w:r>
      <w:bookmarkEnd w:id="0"/>
    </w:p>
    <w:p w14:paraId="0262D7A5" w14:textId="77777777" w:rsidR="00553715" w:rsidRPr="00982C80" w:rsidRDefault="00553715" w:rsidP="00553715">
      <w:pPr>
        <w:pStyle w:val="ATHeading2"/>
      </w:pPr>
      <w:bookmarkStart w:id="1" w:name="title"/>
      <w:r w:rsidRPr="00982C80">
        <w:t>Financijske aktivnosti Europske investicijske banke – godišnje izvješće za 2024.</w:t>
      </w:r>
      <w:bookmarkEnd w:id="1"/>
    </w:p>
    <w:p w14:paraId="24F7953B" w14:textId="77777777" w:rsidR="00553715" w:rsidRPr="00982C80" w:rsidRDefault="00553715" w:rsidP="00553715">
      <w:pPr>
        <w:rPr>
          <w:i/>
          <w:vanish/>
        </w:rPr>
      </w:pPr>
      <w:r w:rsidRPr="00982C80">
        <w:rPr>
          <w:i/>
        </w:rPr>
        <w:fldChar w:fldCharType="begin"/>
      </w:r>
      <w:r w:rsidRPr="00982C80">
        <w:rPr>
          <w:i/>
        </w:rPr>
        <w:instrText xml:space="preserve"> TC"(</w:instrText>
      </w:r>
      <w:bookmarkStart w:id="2" w:name="DocNumber"/>
      <w:r w:rsidRPr="00982C80">
        <w:rPr>
          <w:i/>
        </w:rPr>
        <w:instrText>A10-0112/2025</w:instrText>
      </w:r>
      <w:bookmarkEnd w:id="2"/>
      <w:r w:rsidRPr="00982C80">
        <w:rPr>
          <w:i/>
        </w:rPr>
        <w:instrText xml:space="preserve"> - Izvjestitelj: Francisco Assis)"\l3 \n&gt; \* MERGEFORMAT </w:instrText>
      </w:r>
      <w:r w:rsidRPr="00982C80">
        <w:rPr>
          <w:i/>
        </w:rPr>
        <w:fldChar w:fldCharType="end"/>
      </w:r>
    </w:p>
    <w:p w14:paraId="4924CC6E" w14:textId="77777777" w:rsidR="00553715" w:rsidRPr="00982C80" w:rsidRDefault="00553715" w:rsidP="00553715">
      <w:pPr>
        <w:rPr>
          <w:vanish/>
        </w:rPr>
      </w:pPr>
      <w:bookmarkStart w:id="3" w:name="Commission"/>
      <w:r w:rsidRPr="00982C80">
        <w:rPr>
          <w:vanish/>
        </w:rPr>
        <w:t>Odbor za ekonomsku i monetarnu politiku</w:t>
      </w:r>
      <w:bookmarkEnd w:id="3"/>
    </w:p>
    <w:p w14:paraId="23C37A32" w14:textId="77777777" w:rsidR="00553715" w:rsidRPr="00982C80" w:rsidRDefault="00553715" w:rsidP="00553715">
      <w:pPr>
        <w:rPr>
          <w:vanish/>
        </w:rPr>
      </w:pPr>
      <w:bookmarkStart w:id="4" w:name="PE"/>
      <w:r w:rsidRPr="00982C80">
        <w:rPr>
          <w:vanish/>
        </w:rPr>
        <w:t>PE770.192</w:t>
      </w:r>
      <w:bookmarkEnd w:id="4"/>
    </w:p>
    <w:p w14:paraId="1D3388AA" w14:textId="48D64066" w:rsidR="00553715" w:rsidRPr="00982C80" w:rsidRDefault="00553715" w:rsidP="00553715">
      <w:pPr>
        <w:pStyle w:val="ATHeading3"/>
      </w:pPr>
      <w:bookmarkStart w:id="5" w:name="Sujet"/>
      <w:r w:rsidRPr="00982C80">
        <w:t xml:space="preserve">Rezolucija Europskog parlamenta od </w:t>
      </w:r>
      <w:r w:rsidR="00982C80">
        <w:t>8</w:t>
      </w:r>
      <w:r w:rsidRPr="00982C80">
        <w:t xml:space="preserve">. </w:t>
      </w:r>
      <w:r w:rsidR="00982C80">
        <w:t xml:space="preserve">srpnja </w:t>
      </w:r>
      <w:r w:rsidRPr="00982C80">
        <w:t>2025. o financijskim aktivnostima Europske investicijske banke – godišnje izvješće za 2024.</w:t>
      </w:r>
      <w:bookmarkEnd w:id="5"/>
      <w:r w:rsidRPr="00982C80">
        <w:t xml:space="preserve"> </w:t>
      </w:r>
      <w:bookmarkStart w:id="6" w:name="References"/>
      <w:r w:rsidRPr="00982C80">
        <w:t>(2024/2053(INI))</w:t>
      </w:r>
      <w:bookmarkEnd w:id="6"/>
    </w:p>
    <w:p w14:paraId="6FD461C3" w14:textId="77777777" w:rsidR="000375CF" w:rsidRPr="00982C80" w:rsidRDefault="000375CF" w:rsidP="000375CF">
      <w:pPr>
        <w:pStyle w:val="EPComma"/>
      </w:pPr>
      <w:r w:rsidRPr="00982C80">
        <w:rPr>
          <w:rStyle w:val="Italic"/>
        </w:rPr>
        <w:t>Europski parlament,</w:t>
      </w:r>
    </w:p>
    <w:p w14:paraId="41B75FB7" w14:textId="77777777" w:rsidR="000375CF" w:rsidRPr="00982C80" w:rsidRDefault="000375CF" w:rsidP="000375CF">
      <w:pPr>
        <w:pStyle w:val="NormalHanging12a"/>
      </w:pPr>
      <w:r w:rsidRPr="00982C80">
        <w:t>–</w:t>
      </w:r>
      <w:r w:rsidRPr="00982C80">
        <w:tab/>
        <w:t>uzimajući u obzir članke 2. i 3. Ugovora o Europskoj uniji,</w:t>
      </w:r>
    </w:p>
    <w:p w14:paraId="32DFBC48" w14:textId="77777777" w:rsidR="000375CF" w:rsidRPr="00982C80" w:rsidRDefault="000375CF" w:rsidP="000375CF">
      <w:pPr>
        <w:pStyle w:val="NormalHanging12a"/>
      </w:pPr>
      <w:r w:rsidRPr="00982C80">
        <w:t>–</w:t>
      </w:r>
      <w:r w:rsidRPr="00982C80">
        <w:tab/>
        <w:t>uzimajući u obzir članke 15., 126., 174., 175., 177., 208., 209., 271., 308. i 309. Ugovora o funkcioniranju Europske unije (UFEU) i Protokol br. 5 o Statutu Europske investicijske banke (EIB),</w:t>
      </w:r>
    </w:p>
    <w:p w14:paraId="4C46F6F7" w14:textId="77777777" w:rsidR="000375CF" w:rsidRPr="00982C80" w:rsidRDefault="000375CF" w:rsidP="000375CF">
      <w:pPr>
        <w:pStyle w:val="NormalHanging12a"/>
      </w:pPr>
      <w:r w:rsidRPr="00982C80">
        <w:t>–</w:t>
      </w:r>
      <w:r w:rsidRPr="00982C80">
        <w:tab/>
        <w:t>uzimajući u obzir članke od 41. do 43. Ugovora o osnivanju Europske zajednice za atomsku energiju,</w:t>
      </w:r>
    </w:p>
    <w:p w14:paraId="597D2F48" w14:textId="77777777" w:rsidR="000375CF" w:rsidRPr="00982C80" w:rsidRDefault="000375CF" w:rsidP="000375CF">
      <w:pPr>
        <w:pStyle w:val="NormalHanging12a"/>
      </w:pPr>
      <w:r w:rsidRPr="00982C80">
        <w:t>–</w:t>
      </w:r>
      <w:r w:rsidRPr="00982C80">
        <w:tab/>
        <w:t>uzimajući u obzir izvješće o radu Grupe EIB-a za 2024. od 30. siječnja 2025. naslovljeno „Prioriteti za blagostanje” („Priorities for prosperity”),</w:t>
      </w:r>
    </w:p>
    <w:p w14:paraId="328BB6EC" w14:textId="77777777" w:rsidR="000375CF" w:rsidRPr="00982C80" w:rsidRDefault="000375CF" w:rsidP="000375CF">
      <w:pPr>
        <w:pStyle w:val="NormalHanging12a"/>
      </w:pPr>
      <w:r w:rsidRPr="00982C80">
        <w:t>–</w:t>
      </w:r>
      <w:r w:rsidRPr="00982C80">
        <w:tab/>
        <w:t>uzimajući u obzir izvješće EIB-a o ulaganjima za razdoblje 2024. – 2025. od 5. ožujka 2025. naslovljeno „Inovacije, integracija i pojednostavnjenje u Europi” („Innovation, integration and simplification in Europe”),</w:t>
      </w:r>
    </w:p>
    <w:p w14:paraId="34F54670" w14:textId="77777777" w:rsidR="000375CF" w:rsidRPr="00982C80" w:rsidRDefault="000375CF" w:rsidP="000375CF">
      <w:pPr>
        <w:pStyle w:val="NormalHanging12a"/>
      </w:pPr>
      <w:r w:rsidRPr="00982C80">
        <w:t>–</w:t>
      </w:r>
      <w:r w:rsidRPr="00982C80">
        <w:tab/>
        <w:t>uzimajući u obzir Strateški plan Grupe EIB-a za razdoblje 2024. – 2027. od 21. lipnja 2024.,</w:t>
      </w:r>
    </w:p>
    <w:p w14:paraId="409C1433" w14:textId="77777777" w:rsidR="000375CF" w:rsidRPr="00982C80" w:rsidRDefault="000375CF" w:rsidP="000375CF">
      <w:pPr>
        <w:pStyle w:val="NormalHanging12a"/>
      </w:pPr>
      <w:r w:rsidRPr="00982C80">
        <w:t>–</w:t>
      </w:r>
      <w:r w:rsidRPr="00982C80">
        <w:tab/>
        <w:t>uzimajući u obzir Operativni plan Grupe EIB-a za razdoblje 2024. – 2026. od 9. veljače 2024. i Operativni plan Grupe EIB-a za razdoblje 2025. – 2027. od 30. siječnja 2025.,</w:t>
      </w:r>
    </w:p>
    <w:p w14:paraId="3EBFB661" w14:textId="77777777" w:rsidR="000375CF" w:rsidRPr="00982C80" w:rsidRDefault="000375CF" w:rsidP="000375CF">
      <w:pPr>
        <w:pStyle w:val="NormalHanging12a"/>
      </w:pPr>
      <w:r w:rsidRPr="00982C80">
        <w:t>–</w:t>
      </w:r>
      <w:r w:rsidRPr="00982C80">
        <w:tab/>
        <w:t>uzimajući u obzir preispitivanje okvira adekvatnosti kapitala multilateralnih razvojnih banaka („preispitivanje OAK-a”) koju je naručila skupina G20,</w:t>
      </w:r>
    </w:p>
    <w:p w14:paraId="5BC47683" w14:textId="77777777" w:rsidR="000375CF" w:rsidRPr="00982C80" w:rsidRDefault="000375CF" w:rsidP="000375CF">
      <w:pPr>
        <w:pStyle w:val="NormalHanging12a"/>
      </w:pPr>
      <w:r w:rsidRPr="00982C80">
        <w:lastRenderedPageBreak/>
        <w:t>–</w:t>
      </w:r>
      <w:r w:rsidRPr="00982C80">
        <w:tab/>
        <w:t>uzimajući u obzir Odluku Vijeća (EU) 2025/504 od 11. ožujka 2025. o izmjeni Protokola br. 5 o Statutu Europske investicijske banke</w:t>
      </w:r>
      <w:r w:rsidRPr="00982C80">
        <w:rPr>
          <w:rStyle w:val="FootnoteReference"/>
        </w:rPr>
        <w:footnoteReference w:id="1"/>
      </w:r>
      <w:r w:rsidRPr="00982C80">
        <w:t>,</w:t>
      </w:r>
    </w:p>
    <w:p w14:paraId="1B03602D" w14:textId="77777777" w:rsidR="000375CF" w:rsidRPr="00982C80" w:rsidRDefault="000375CF" w:rsidP="000375CF">
      <w:pPr>
        <w:pStyle w:val="NormalHanging12a"/>
        <w:snapToGrid w:val="0"/>
      </w:pPr>
      <w:r w:rsidRPr="00982C80">
        <w:t>–</w:t>
      </w:r>
      <w:r w:rsidRPr="00982C80">
        <w:tab/>
        <w:t>uzimajući u obzir odluku Upravnog vijeća EIB-a od 21. ožujka 2025.,</w:t>
      </w:r>
    </w:p>
    <w:p w14:paraId="6B8D56FE" w14:textId="77777777" w:rsidR="000375CF" w:rsidRPr="00982C80" w:rsidRDefault="000375CF" w:rsidP="000375CF">
      <w:pPr>
        <w:pStyle w:val="NormalHanging12a"/>
      </w:pPr>
      <w:r w:rsidRPr="00982C80">
        <w:t>–</w:t>
      </w:r>
      <w:r w:rsidRPr="00982C80">
        <w:tab/>
        <w:t>uzimajući u obzir dokument od 13. listopada 2021. naslovljen „Usmjerenost EIB-a na koheziju za razdoblje 2021. – 2027.” („EIB Cohesion Orientation 2021 – 2027”),</w:t>
      </w:r>
    </w:p>
    <w:p w14:paraId="284F3467" w14:textId="77777777" w:rsidR="000375CF" w:rsidRPr="00982C80" w:rsidRDefault="000375CF" w:rsidP="000375CF">
      <w:pPr>
        <w:pStyle w:val="NormalHanging12a"/>
      </w:pPr>
      <w:r w:rsidRPr="00982C80">
        <w:t>–</w:t>
      </w:r>
      <w:r w:rsidRPr="00982C80">
        <w:tab/>
        <w:t>uzimajući u obzir pokretanje EIB-ove inicijative europskih tehnoloških predvodnika (ETCI) 13. veljače 2023.,</w:t>
      </w:r>
    </w:p>
    <w:p w14:paraId="019A1D14" w14:textId="77777777" w:rsidR="000375CF" w:rsidRPr="00982C80" w:rsidRDefault="000375CF" w:rsidP="000375CF">
      <w:pPr>
        <w:pStyle w:val="NormalHanging12a"/>
      </w:pPr>
      <w:r w:rsidRPr="00982C80">
        <w:t>–</w:t>
      </w:r>
      <w:r w:rsidRPr="00982C80">
        <w:tab/>
        <w:t>uzimajući u obzir treće godišnje izvješće Grupe EIB-a o aktivnostima Grupe EIB-a u kohezijskim regijama EU-a od 15. srpnja 2024.,</w:t>
      </w:r>
    </w:p>
    <w:p w14:paraId="105A2A96" w14:textId="77777777" w:rsidR="000375CF" w:rsidRPr="00982C80" w:rsidRDefault="000375CF" w:rsidP="000375CF">
      <w:pPr>
        <w:pStyle w:val="NormalHanging12a"/>
      </w:pPr>
      <w:r w:rsidRPr="00982C80">
        <w:t>–</w:t>
      </w:r>
      <w:r w:rsidRPr="00982C80">
        <w:rPr>
          <w:b/>
          <w:i/>
        </w:rPr>
        <w:tab/>
      </w:r>
      <w:r w:rsidRPr="00982C80">
        <w:t>uzimajući u obzir EIB-ov dokument od 2. veljače 2022. naslovljen „Okolišni i socijalni standardi”,</w:t>
      </w:r>
    </w:p>
    <w:p w14:paraId="6E20774F" w14:textId="77777777" w:rsidR="000375CF" w:rsidRPr="00982C80" w:rsidRDefault="000375CF" w:rsidP="000375CF">
      <w:pPr>
        <w:pStyle w:val="NormalHanging12a"/>
      </w:pPr>
      <w:r w:rsidRPr="00982C80">
        <w:t>–</w:t>
      </w:r>
      <w:r w:rsidRPr="00982C80">
        <w:tab/>
        <w:t>uzimajući u obzir izvješće o napretku Plana djelovanja klimatske banke Grupe EIB-a za 2023. od 25. srpnja 2024.,</w:t>
      </w:r>
    </w:p>
    <w:p w14:paraId="6E8E0D97" w14:textId="77777777" w:rsidR="000375CF" w:rsidRPr="00982C80" w:rsidRDefault="000375CF" w:rsidP="000375CF">
      <w:pPr>
        <w:pStyle w:val="NormalHanging12a"/>
      </w:pPr>
      <w:r w:rsidRPr="00982C80">
        <w:t>–</w:t>
      </w:r>
      <w:r w:rsidRPr="00982C80">
        <w:tab/>
        <w:t>uzimajući u obzir europski stup socijalnih prava,</w:t>
      </w:r>
    </w:p>
    <w:p w14:paraId="5AAC5410" w14:textId="77777777" w:rsidR="000375CF" w:rsidRPr="00982C80" w:rsidRDefault="000375CF" w:rsidP="000375CF">
      <w:pPr>
        <w:pStyle w:val="NormalHanging12a"/>
      </w:pPr>
      <w:r w:rsidRPr="00982C80">
        <w:t>–</w:t>
      </w:r>
      <w:r w:rsidRPr="00982C80">
        <w:tab/>
        <w:t>uzimajući u obzir glavne rezultate analize Grupe EIB-a i savjetovanja s dionicima predstavljene 18. srpnja 2024. na seminaru EIB-a o stanovanju,</w:t>
      </w:r>
    </w:p>
    <w:p w14:paraId="2021CD8B" w14:textId="77777777" w:rsidR="000375CF" w:rsidRPr="00982C80" w:rsidRDefault="000375CF" w:rsidP="000375CF">
      <w:pPr>
        <w:pStyle w:val="NormalHanging12a"/>
      </w:pPr>
      <w:r w:rsidRPr="00982C80">
        <w:t>–</w:t>
      </w:r>
      <w:r w:rsidRPr="00982C80">
        <w:tab/>
        <w:t>uzimajući u obzir priopćenje EIB-a za medije od 6. ožujka 2025. naslovljeno „Europska komisija i Grupa EIB-a postavljaju temelje za novu paneuropsku platformu za ulaganja za priuštivo i održivo stanovanje” („European Commission and EIB group lay foundations for a new pan-European investment platform for affordable and sustainable housing”),</w:t>
      </w:r>
    </w:p>
    <w:p w14:paraId="4BD71E45" w14:textId="77777777" w:rsidR="000375CF" w:rsidRPr="00982C80" w:rsidRDefault="000375CF" w:rsidP="000375CF">
      <w:pPr>
        <w:pStyle w:val="NormalHanging12a"/>
      </w:pPr>
      <w:r w:rsidRPr="00982C80">
        <w:t>–</w:t>
      </w:r>
      <w:r w:rsidRPr="00982C80">
        <w:tab/>
        <w:t>uzimajući u obzir pismo predsjednice EIB-a Nadije Calviño čelnicima EU-a od 4. ožujka 2025.,</w:t>
      </w:r>
    </w:p>
    <w:p w14:paraId="16B10F91" w14:textId="77777777" w:rsidR="000375CF" w:rsidRPr="00982C80" w:rsidRDefault="000375CF" w:rsidP="000375CF">
      <w:pPr>
        <w:pStyle w:val="NormalHanging12a"/>
      </w:pPr>
      <w:r w:rsidRPr="00982C80">
        <w:t>–</w:t>
      </w:r>
      <w:r w:rsidRPr="00982C80">
        <w:tab/>
        <w:t>uzimajući u obzir Akcijski plan Grupe EIB-a za sigurnosnu i obrambenu industriju predstavljen 12. travnja 2024. na sastanku Vijeća za ekonomske i financijske poslove u Luxembourgu,</w:t>
      </w:r>
    </w:p>
    <w:p w14:paraId="21AEE0A1" w14:textId="77777777" w:rsidR="000375CF" w:rsidRPr="00982C80" w:rsidRDefault="000375CF" w:rsidP="000375CF">
      <w:pPr>
        <w:pStyle w:val="NormalHanging12a"/>
      </w:pPr>
      <w:r w:rsidRPr="00982C80">
        <w:t>–</w:t>
      </w:r>
      <w:r w:rsidRPr="00982C80">
        <w:tab/>
        <w:t>uzimajući u obzir ažurirani EIB-ov popis prihvatljivosti, isključenih aktivnosti i isključenih sektora od 14. srpnja 2022.,</w:t>
      </w:r>
    </w:p>
    <w:p w14:paraId="4CEC47BF" w14:textId="77777777" w:rsidR="000375CF" w:rsidRPr="00982C80" w:rsidRDefault="000375CF" w:rsidP="000375CF">
      <w:pPr>
        <w:pStyle w:val="NormalHanging12a"/>
      </w:pPr>
      <w:r w:rsidRPr="00982C80">
        <w:t>–</w:t>
      </w:r>
      <w:r w:rsidRPr="00982C80">
        <w:tab/>
        <w:t>uzimajući u obzir izvješće EIB-a o globalnom učinku za razdoblje 2023. – 2024. od 13. lipnja 2024.,</w:t>
      </w:r>
    </w:p>
    <w:p w14:paraId="1F893A43" w14:textId="77777777" w:rsidR="000375CF" w:rsidRPr="00982C80" w:rsidRDefault="000375CF" w:rsidP="000375CF">
      <w:pPr>
        <w:pStyle w:val="NormalHanging12a"/>
      </w:pPr>
      <w:r w:rsidRPr="00982C80">
        <w:t>–</w:t>
      </w:r>
      <w:r w:rsidRPr="00982C80">
        <w:tab/>
        <w:t>uzimajući u obzir Trostrani sporazum između Europske komisije, Europskog revizorskog suda i Europske investicijske banke, potpisan 11. studenoga 2021.,</w:t>
      </w:r>
    </w:p>
    <w:p w14:paraId="6E8CE7F1" w14:textId="77777777" w:rsidR="000375CF" w:rsidRPr="00982C80" w:rsidRDefault="000375CF" w:rsidP="000375CF">
      <w:pPr>
        <w:pStyle w:val="NormalHanging12a"/>
      </w:pPr>
      <w:r w:rsidRPr="00982C80">
        <w:t>–</w:t>
      </w:r>
      <w:r w:rsidRPr="00982C80">
        <w:tab/>
        <w:t>uzimajući u obzir postupke pritužbenog mehanizma Grupe EIB-a od 13. studenoga 2018.,</w:t>
      </w:r>
    </w:p>
    <w:p w14:paraId="2EAAECF5" w14:textId="77777777" w:rsidR="000375CF" w:rsidRPr="00982C80" w:rsidRDefault="000375CF" w:rsidP="000375CF">
      <w:pPr>
        <w:pStyle w:val="NormalHanging12a"/>
      </w:pPr>
      <w:r w:rsidRPr="00982C80">
        <w:lastRenderedPageBreak/>
        <w:t>–</w:t>
      </w:r>
      <w:r w:rsidRPr="00982C80">
        <w:tab/>
        <w:t>uzimajući u obzir dokument od 14. listopada 2024. naslovljen „Raznolikost, pravednost i uključivost u Grupi EIB-a” („Diversity, Equity and Inclusion at the EIB Group”),</w:t>
      </w:r>
    </w:p>
    <w:p w14:paraId="6E5135C3" w14:textId="77777777" w:rsidR="000375CF" w:rsidRPr="00982C80" w:rsidRDefault="000375CF" w:rsidP="000375CF">
      <w:pPr>
        <w:pStyle w:val="NormalHanging12a"/>
      </w:pPr>
      <w:r w:rsidRPr="00982C80">
        <w:t>–</w:t>
      </w:r>
      <w:r w:rsidRPr="00982C80">
        <w:tab/>
        <w:t>uzimajući u obzir studiju Službe Europskog parlamenta za istraživanja naslovljenu „Povećanje europske dodane vrijednosti u dobu globalnih izazova: Pregled cijene nedjelovanja na europskoj razini, 2022. – 2032.” objavljenu u veljači 2023.,</w:t>
      </w:r>
    </w:p>
    <w:p w14:paraId="3C8873F9" w14:textId="77777777" w:rsidR="000375CF" w:rsidRPr="00982C80" w:rsidRDefault="000375CF" w:rsidP="000375CF">
      <w:pPr>
        <w:pStyle w:val="NormalHanging12a"/>
      </w:pPr>
      <w:r w:rsidRPr="00982C80">
        <w:t>–</w:t>
      </w:r>
      <w:r w:rsidRPr="00982C80">
        <w:tab/>
        <w:t>uzimajući u obzir zajedničku komunikaciju Komisije i Visokog predstavnika Unije za vanjske poslove i sigurnosnu politiku od 1. prosinca 2021. naslovljenu „Global Gateway” (JOIN(2021)0030),</w:t>
      </w:r>
    </w:p>
    <w:p w14:paraId="59D5F44B" w14:textId="4044AD58" w:rsidR="000375CF" w:rsidRPr="00982C80" w:rsidRDefault="000375CF" w:rsidP="000375CF">
      <w:pPr>
        <w:pStyle w:val="NormalHanging12a"/>
        <w:rPr>
          <w:b/>
          <w:i/>
        </w:rPr>
      </w:pPr>
      <w:r w:rsidRPr="00982C80">
        <w:t>–</w:t>
      </w:r>
      <w:r w:rsidRPr="00982C80">
        <w:tab/>
        <w:t>uzimajući u obzir studiju Europske komisije naslovljenu „Pristup financiranju vlasničkim kapitalom za europske MSP-ove u području obrane” objavljenu 11. siječnja 2024.</w:t>
      </w:r>
      <w:r w:rsidRPr="00982C80">
        <w:rPr>
          <w:rStyle w:val="FootnoteReference"/>
        </w:rPr>
        <w:footnoteReference w:id="2"/>
      </w:r>
      <w:r w:rsidRPr="00982C80">
        <w:t>,</w:t>
      </w:r>
    </w:p>
    <w:p w14:paraId="0009BD1D" w14:textId="77777777" w:rsidR="000375CF" w:rsidRPr="00982C80" w:rsidRDefault="000375CF" w:rsidP="000375CF">
      <w:pPr>
        <w:pStyle w:val="NormalHanging12a"/>
      </w:pPr>
      <w:r w:rsidRPr="00982C80">
        <w:t>–</w:t>
      </w:r>
      <w:r w:rsidRPr="00982C80">
        <w:tab/>
        <w:t>uzimajući u obzir izvješće Enrica Lette od 17. travnja 2024. naslovljeno „Više od tržišta” („Much more than a market”),</w:t>
      </w:r>
    </w:p>
    <w:p w14:paraId="10A8A92D" w14:textId="77777777" w:rsidR="000375CF" w:rsidRPr="00982C80" w:rsidRDefault="000375CF" w:rsidP="000375CF">
      <w:pPr>
        <w:pStyle w:val="NormalHanging12a"/>
      </w:pPr>
      <w:r w:rsidRPr="00982C80">
        <w:t>–</w:t>
      </w:r>
      <w:r w:rsidRPr="00982C80">
        <w:tab/>
        <w:t>uzimajući u obzir izvješće Christiana Noyera od 25. travnja 2024. naslovljeno „Razvoj europskih tržišta kapitala radi financiranja budućnosti” („Developing European capital markets to finance the future”),</w:t>
      </w:r>
    </w:p>
    <w:p w14:paraId="316EDA33" w14:textId="77777777" w:rsidR="000375CF" w:rsidRPr="00982C80" w:rsidRDefault="000375CF" w:rsidP="000375CF">
      <w:pPr>
        <w:pStyle w:val="NormalHanging12a"/>
      </w:pPr>
      <w:r w:rsidRPr="00982C80">
        <w:t>–</w:t>
      </w:r>
      <w:r w:rsidRPr="00982C80">
        <w:tab/>
        <w:t>uzimajući u obzir izvješće Marija Draghija od 9. rujna 2024. naslovljeno „Budućnost europske konkurentnosti” („The future of European competitiveness”),</w:t>
      </w:r>
    </w:p>
    <w:p w14:paraId="04B5962A" w14:textId="77777777" w:rsidR="000375CF" w:rsidRPr="00982C80" w:rsidRDefault="000375CF" w:rsidP="000375CF">
      <w:pPr>
        <w:pStyle w:val="NormalHanging12a"/>
      </w:pPr>
      <w:r w:rsidRPr="00982C80">
        <w:t>–</w:t>
      </w:r>
      <w:r w:rsidRPr="00982C80">
        <w:tab/>
        <w:t>uzimajući u obzir izvješće Saulija Niinistöa od 30. listopada 2024. naslovljeno „Sigurniji zajedno – jačanje europske civilne i vojne spremnosti i pripravnosti” („Safer Together – Strengthening Europe’s Civilian and Military Preparedness and Readiness”),</w:t>
      </w:r>
    </w:p>
    <w:p w14:paraId="454E7D09" w14:textId="77777777" w:rsidR="000375CF" w:rsidRPr="00982C80" w:rsidRDefault="000375CF" w:rsidP="000375CF">
      <w:pPr>
        <w:pStyle w:val="NormalHanging12a"/>
      </w:pPr>
      <w:r w:rsidRPr="00982C80">
        <w:t>–</w:t>
      </w:r>
      <w:r w:rsidRPr="00982C80">
        <w:tab/>
        <w:t>uzimajući u obzir komunikaciju Komisije od 29. siječnja 2025. naslovljenu „Kompas konkurentnosti za EU” (</w:t>
      </w:r>
      <w:hyperlink r:id="rId9" w:history="1">
        <w:r w:rsidRPr="00982C80">
          <w:rPr>
            <w:rStyle w:val="Hyperlink"/>
          </w:rPr>
          <w:t>COM(2025)0030</w:t>
        </w:r>
      </w:hyperlink>
      <w:r w:rsidRPr="00982C80">
        <w:t>),</w:t>
      </w:r>
    </w:p>
    <w:p w14:paraId="6F1F8973" w14:textId="77777777" w:rsidR="000375CF" w:rsidRPr="00982C80" w:rsidRDefault="000375CF" w:rsidP="000375CF">
      <w:pPr>
        <w:pStyle w:val="NormalHanging12a"/>
      </w:pPr>
      <w:r w:rsidRPr="00982C80">
        <w:t>–</w:t>
      </w:r>
      <w:r w:rsidRPr="00982C80">
        <w:tab/>
        <w:t>uzimajući u obzir komunikaciju Komisije od 11. veljače 2025. naslovljenu „Program rada Komisije za 2025.” (</w:t>
      </w:r>
      <w:hyperlink r:id="rId10" w:history="1">
        <w:r w:rsidRPr="00982C80">
          <w:rPr>
            <w:rStyle w:val="Hyperlink"/>
          </w:rPr>
          <w:t>COM(2025)0045</w:t>
        </w:r>
      </w:hyperlink>
      <w:r w:rsidRPr="00982C80">
        <w:t>),</w:t>
      </w:r>
    </w:p>
    <w:p w14:paraId="27E8F00C" w14:textId="77777777" w:rsidR="000375CF" w:rsidRPr="00982C80" w:rsidRDefault="000375CF" w:rsidP="000375CF">
      <w:pPr>
        <w:pStyle w:val="NormalHanging12a"/>
      </w:pPr>
      <w:r w:rsidRPr="00982C80">
        <w:t>–</w:t>
      </w:r>
      <w:r w:rsidRPr="00982C80">
        <w:tab/>
        <w:t>uzimajući u obzir komunikaciju Komisije od 11. veljače 2025. naslovljenu „Put prema sljedećem višegodišnjem financijskom okviru” (</w:t>
      </w:r>
      <w:hyperlink r:id="rId11" w:history="1">
        <w:r w:rsidRPr="00982C80">
          <w:rPr>
            <w:rStyle w:val="Hyperlink"/>
          </w:rPr>
          <w:t>COM(2025)0046</w:t>
        </w:r>
      </w:hyperlink>
      <w:r w:rsidRPr="00982C80">
        <w:t>),</w:t>
      </w:r>
    </w:p>
    <w:p w14:paraId="2E4DCC29" w14:textId="77777777" w:rsidR="000375CF" w:rsidRPr="00982C80" w:rsidRDefault="000375CF" w:rsidP="000375CF">
      <w:pPr>
        <w:pStyle w:val="NormalHanging12a"/>
      </w:pPr>
      <w:r w:rsidRPr="00982C80">
        <w:t>–</w:t>
      </w:r>
      <w:r w:rsidRPr="00982C80">
        <w:tab/>
        <w:t>uzimajući u obzir komunikaciju Komisije od 26. veljače 2025. naslovljenu „Plan za čistu industriju: zajednički plan za dekarbonizaciju i konkurentnost” (</w:t>
      </w:r>
      <w:hyperlink r:id="rId12" w:history="1">
        <w:r w:rsidRPr="00982C80">
          <w:rPr>
            <w:rStyle w:val="Hyperlink"/>
          </w:rPr>
          <w:t>COM(2025)0085</w:t>
        </w:r>
      </w:hyperlink>
      <w:r w:rsidRPr="00982C80">
        <w:t>),</w:t>
      </w:r>
    </w:p>
    <w:p w14:paraId="799E0587" w14:textId="77777777" w:rsidR="000375CF" w:rsidRPr="00982C80" w:rsidRDefault="000375CF" w:rsidP="000375CF">
      <w:pPr>
        <w:pStyle w:val="NormalHanging12a"/>
      </w:pPr>
      <w:r w:rsidRPr="00982C80">
        <w:t>–</w:t>
      </w:r>
      <w:r w:rsidRPr="00982C80">
        <w:tab/>
        <w:t>uzimajući u obzir Komunikaciju Komisije od 26. veljače 2025. naslovljenu „Akcijski plan za priuštivu energiju: Oslobađanje stvarne vrijednosti naše energetske unije za osiguravanje cjenovno pristupačne, učinkovite i čiste energije za sve Europljane” („Action Plan for Affordable Energy: Unlocking the true value of our Energy Union to secure affordable, efficient and clean energy for all Europeans”) (</w:t>
      </w:r>
      <w:hyperlink r:id="rId13" w:history="1">
        <w:r w:rsidRPr="00982C80">
          <w:rPr>
            <w:rStyle w:val="Hyperlink"/>
          </w:rPr>
          <w:t>COM(2025)0079</w:t>
        </w:r>
      </w:hyperlink>
      <w:r w:rsidRPr="00982C80">
        <w:t>),</w:t>
      </w:r>
    </w:p>
    <w:p w14:paraId="3E46F492" w14:textId="77777777" w:rsidR="000375CF" w:rsidRPr="00982C80" w:rsidRDefault="000375CF" w:rsidP="000375CF">
      <w:pPr>
        <w:pStyle w:val="NormalHanging12a"/>
      </w:pPr>
      <w:r w:rsidRPr="00982C80">
        <w:lastRenderedPageBreak/>
        <w:t>–</w:t>
      </w:r>
      <w:r w:rsidRPr="00982C80">
        <w:tab/>
        <w:t>uzimajući u obzir izjavu za medije predsjednice Komisije, Ursule von der Leyen, od 4. ožujka 2025. o obrambenom paketu (plan „ReArm Europe”),</w:t>
      </w:r>
    </w:p>
    <w:p w14:paraId="43214780" w14:textId="77777777" w:rsidR="000375CF" w:rsidRPr="00982C80" w:rsidRDefault="000375CF" w:rsidP="000375CF">
      <w:pPr>
        <w:pStyle w:val="NormalHanging12a"/>
      </w:pPr>
      <w:r w:rsidRPr="00982C80">
        <w:t>–</w:t>
      </w:r>
      <w:r w:rsidRPr="00982C80">
        <w:tab/>
        <w:t>uzimajući u obzir komunikaciju Komisije od 19. ožujka 2025. naslovljenu „Unija za štednju i ulaganja – Strategija za povećanje bogatstva građana i gospodarske konkurentnosti EU-a” (</w:t>
      </w:r>
      <w:hyperlink r:id="rId14" w:history="1">
        <w:r w:rsidRPr="00982C80">
          <w:rPr>
            <w:rStyle w:val="Hyperlink"/>
          </w:rPr>
          <w:t>COM(2025)0124</w:t>
        </w:r>
      </w:hyperlink>
      <w:r w:rsidRPr="00982C80">
        <w:t>),</w:t>
      </w:r>
    </w:p>
    <w:p w14:paraId="6EC0D7C2" w14:textId="77777777" w:rsidR="000375CF" w:rsidRPr="00982C80" w:rsidRDefault="000375CF" w:rsidP="000375CF">
      <w:pPr>
        <w:pStyle w:val="NormalHanging12a"/>
      </w:pPr>
      <w:r w:rsidRPr="00982C80">
        <w:t>–</w:t>
      </w:r>
      <w:r w:rsidRPr="00982C80">
        <w:tab/>
        <w:t>uzimajući u obzir Uredbu (EU) 2021/241 Europskog parlamenta i Vijeća od 12. veljače 2021. o uspostavi Mehanizma za oporavak i otpornost</w:t>
      </w:r>
      <w:r w:rsidRPr="00982C80">
        <w:rPr>
          <w:rStyle w:val="FootnoteReference"/>
        </w:rPr>
        <w:footnoteReference w:id="3"/>
      </w:r>
      <w:r w:rsidRPr="00982C80">
        <w:t>,</w:t>
      </w:r>
    </w:p>
    <w:p w14:paraId="77221AA5" w14:textId="77777777" w:rsidR="000375CF" w:rsidRPr="00982C80" w:rsidRDefault="000375CF" w:rsidP="000375CF">
      <w:pPr>
        <w:pStyle w:val="NormalHanging12a"/>
      </w:pPr>
      <w:r w:rsidRPr="00982C80">
        <w:t>–</w:t>
      </w:r>
      <w:r w:rsidRPr="00982C80">
        <w:tab/>
        <w:t>uzimajući u obzir Uredbu (EU) 2021/523 Europskog parlamenta i Vijeća od 24. ožujka 2021. o uspostavi programa InvestEU i izmjeni Uredbe (EU) 2015/1017</w:t>
      </w:r>
      <w:r w:rsidRPr="00982C80">
        <w:rPr>
          <w:rStyle w:val="FootnoteReference"/>
        </w:rPr>
        <w:footnoteReference w:id="4"/>
      </w:r>
      <w:r w:rsidRPr="00982C80">
        <w:t>,</w:t>
      </w:r>
    </w:p>
    <w:p w14:paraId="72651ECE" w14:textId="77777777" w:rsidR="000375CF" w:rsidRPr="00982C80" w:rsidRDefault="000375CF" w:rsidP="000375CF">
      <w:pPr>
        <w:pStyle w:val="NormalHanging12a"/>
      </w:pPr>
      <w:r w:rsidRPr="00982C80">
        <w:t>–</w:t>
      </w:r>
      <w:r w:rsidRPr="00982C80">
        <w:tab/>
        <w:t>uzimajući u obzir Uredbu (EU) 2021/947 Europskog parlamenta i Vijeća od 9. lipnja 2021. o uspostavi Instrumenta za susjedstvo, razvoj i međunarodnu suradnju – Globalna Europa, izmjeni i stavljanju izvan snage Odluke br. 466/2014/EU Europskog parlamenta i Vijeća te stavljanju izvan snage Uredbe (EU) 2017/1601 Europskog parlamenta i Vijeća i Uredbe Vijeća (EZ, Euratom) br. 480/2009</w:t>
      </w:r>
      <w:r w:rsidRPr="00982C80">
        <w:rPr>
          <w:rStyle w:val="FootnoteReference"/>
        </w:rPr>
        <w:footnoteReference w:id="5"/>
      </w:r>
      <w:r w:rsidRPr="00982C80">
        <w:t>,</w:t>
      </w:r>
    </w:p>
    <w:p w14:paraId="2C5BB036" w14:textId="77777777" w:rsidR="000375CF" w:rsidRPr="00982C80" w:rsidRDefault="000375CF" w:rsidP="000375CF">
      <w:pPr>
        <w:pStyle w:val="NormalHanging12a"/>
      </w:pPr>
      <w:r w:rsidRPr="00982C80">
        <w:t>–</w:t>
      </w:r>
      <w:r w:rsidRPr="00982C80">
        <w:tab/>
        <w:t>uzimajući u obzir Uredbu (EU) 2021/1056 Europskog parlamenta i Vijeća od 24. lipnja 2021. o uspostavi Fonda za pravednu tranziciju</w:t>
      </w:r>
      <w:r w:rsidRPr="00982C80">
        <w:rPr>
          <w:rStyle w:val="FootnoteReference"/>
        </w:rPr>
        <w:footnoteReference w:id="6"/>
      </w:r>
      <w:r w:rsidRPr="00982C80">
        <w:t>,</w:t>
      </w:r>
    </w:p>
    <w:p w14:paraId="5483C655" w14:textId="77777777" w:rsidR="000375CF" w:rsidRPr="00982C80" w:rsidRDefault="000375CF" w:rsidP="000375CF">
      <w:pPr>
        <w:pStyle w:val="NormalHanging12a"/>
      </w:pPr>
      <w:r w:rsidRPr="00982C80">
        <w:t>–</w:t>
      </w:r>
      <w:r w:rsidRPr="00982C80">
        <w:tab/>
        <w:t>uzimajući u obzir Uredbu (EU) 2021/1229 Europskog parlamenta i Vijeća od 14. srpnja 2021. o instrumentu za kreditiranje u javnom sektoru u okviru mehanizma za pravednu tranziciju</w:t>
      </w:r>
      <w:r w:rsidRPr="00982C80">
        <w:rPr>
          <w:vertAlign w:val="superscript"/>
        </w:rPr>
        <w:footnoteReference w:id="7"/>
      </w:r>
      <w:r w:rsidRPr="00982C80">
        <w:t>,</w:t>
      </w:r>
    </w:p>
    <w:p w14:paraId="5E5C85FD" w14:textId="77777777" w:rsidR="000375CF" w:rsidRPr="00982C80" w:rsidRDefault="000375CF" w:rsidP="000375CF">
      <w:pPr>
        <w:pStyle w:val="NormalHanging12a"/>
      </w:pPr>
      <w:r w:rsidRPr="00982C80">
        <w:t>–</w:t>
      </w:r>
      <w:r w:rsidRPr="00982C80">
        <w:tab/>
        <w:t>uzimajući u obzir Uredbu (EU) 2024/795 Europskog parlamenta i Vijeća od 29. veljače 2024. o uspostavi Platforme za strateške tehnologije za Europu</w:t>
      </w:r>
      <w:r w:rsidRPr="00982C80">
        <w:rPr>
          <w:rStyle w:val="FootnoteReference"/>
        </w:rPr>
        <w:footnoteReference w:id="8"/>
      </w:r>
    </w:p>
    <w:p w14:paraId="1E8D3652" w14:textId="77777777" w:rsidR="000375CF" w:rsidRPr="00982C80" w:rsidRDefault="000375CF" w:rsidP="000375CF">
      <w:pPr>
        <w:pStyle w:val="NormalHanging12a"/>
      </w:pPr>
      <w:r w:rsidRPr="00982C80">
        <w:t>–</w:t>
      </w:r>
      <w:r w:rsidRPr="00982C80">
        <w:tab/>
        <w:t>uzimajući u obzir Komisijin Prijedlog uredbe Europskog parlamenta i Vijeća od 26. veljače 2025. o izmjeni uredaba (EU) 2015/1017, (EU) 2021/523, (EU) 2021/695 i (EU) 2021/1153 u pogledu povećanja učinkovitosti jamstva EU-a na temelju Uredbe (EU) 2021/523 i pojednostavnjenja zahtjeva za izvješćivanje (</w:t>
      </w:r>
      <w:hyperlink r:id="rId15" w:history="1">
        <w:r w:rsidRPr="00982C80">
          <w:rPr>
            <w:rStyle w:val="Hyperlink"/>
          </w:rPr>
          <w:t>COM(2025)0084</w:t>
        </w:r>
      </w:hyperlink>
      <w:r w:rsidRPr="00982C80">
        <w:t>),</w:t>
      </w:r>
    </w:p>
    <w:p w14:paraId="2A69A17C" w14:textId="77777777" w:rsidR="000375CF" w:rsidRPr="00982C80" w:rsidRDefault="000375CF" w:rsidP="000375CF">
      <w:pPr>
        <w:widowControl/>
        <w:spacing w:after="240"/>
        <w:ind w:left="567" w:hanging="567"/>
        <w:rPr>
          <w:szCs w:val="24"/>
        </w:rPr>
      </w:pPr>
      <w:r w:rsidRPr="00982C80">
        <w:t>–</w:t>
      </w:r>
      <w:r w:rsidRPr="00982C80">
        <w:tab/>
        <w:t>uzimajući u obzir svoju Rezoluciju od 12. ožujka 2025. o Bijeloj knjizi o budućnosti europske obrane</w:t>
      </w:r>
      <w:r w:rsidRPr="00982C80">
        <w:rPr>
          <w:rStyle w:val="FootnoteReference"/>
        </w:rPr>
        <w:footnoteReference w:id="9"/>
      </w:r>
      <w:r w:rsidRPr="00982C80">
        <w:t>,</w:t>
      </w:r>
    </w:p>
    <w:p w14:paraId="3164E6A4" w14:textId="77777777" w:rsidR="000375CF" w:rsidRPr="00982C80" w:rsidRDefault="000375CF" w:rsidP="000375CF">
      <w:pPr>
        <w:pStyle w:val="NormalHanging12a"/>
      </w:pPr>
      <w:r w:rsidRPr="00982C80">
        <w:t>–</w:t>
      </w:r>
      <w:r w:rsidRPr="00982C80">
        <w:tab/>
        <w:t>uzimajući u obzir članak 55. Poslovnika,</w:t>
      </w:r>
    </w:p>
    <w:p w14:paraId="06F0FE31" w14:textId="77777777" w:rsidR="000375CF" w:rsidRPr="00982C80" w:rsidRDefault="000375CF" w:rsidP="000375CF">
      <w:pPr>
        <w:pStyle w:val="NormalHanging12a"/>
      </w:pPr>
      <w:r w:rsidRPr="00982C80">
        <w:t>–</w:t>
      </w:r>
      <w:r w:rsidRPr="00982C80">
        <w:tab/>
        <w:t>uzimajući u obzir mišljenje Odbora za proračune,</w:t>
      </w:r>
    </w:p>
    <w:p w14:paraId="665464C2" w14:textId="77777777" w:rsidR="000375CF" w:rsidRPr="00982C80" w:rsidRDefault="000375CF" w:rsidP="000375CF">
      <w:pPr>
        <w:pStyle w:val="NormalHanging12a"/>
      </w:pPr>
      <w:r w:rsidRPr="00982C80">
        <w:t>–</w:t>
      </w:r>
      <w:r w:rsidRPr="00982C80">
        <w:tab/>
        <w:t>uzimajući u obzir izvješće Odbora za ekonomsku i monetarnu politiku (A10</w:t>
      </w:r>
      <w:r w:rsidRPr="00982C80">
        <w:noBreakHyphen/>
        <w:t>0112/2025),</w:t>
      </w:r>
    </w:p>
    <w:p w14:paraId="4EAA40D7" w14:textId="77777777" w:rsidR="000375CF" w:rsidRPr="00982C80" w:rsidRDefault="000375CF" w:rsidP="000375CF">
      <w:pPr>
        <w:pStyle w:val="NormalHanging12a"/>
      </w:pPr>
      <w:r w:rsidRPr="00982C80">
        <w:lastRenderedPageBreak/>
        <w:t>A.</w:t>
      </w:r>
      <w:r w:rsidRPr="00982C80">
        <w:tab/>
        <w:t>budući da Grupa EIB-a uključuje EIB i Europski investicijski fond (EIF); budući da je EIB, u potpunom vlasništvu država članica, najveća multilateralna financijska institucija u svijetu koja djeluje na međunarodnim tržištima kapitala i nudi konkurentne i povoljne uvjete kako bi doprinijela postizanju ciljeva EU-a te podržala politike i projekte EU-a unutar i izvan Unije, u skladu s člankom 309. UFEU-a; budući da je EIF u vlasništvu EIB-a (59,8 %), EU-a (29,7 %) i financijskih institucija (10,5 %) iz država članica, Ujedinjene Kraljevine i Turske;</w:t>
      </w:r>
    </w:p>
    <w:p w14:paraId="74865431" w14:textId="77777777" w:rsidR="000375CF" w:rsidRPr="00982C80" w:rsidRDefault="000375CF" w:rsidP="000375CF">
      <w:pPr>
        <w:pStyle w:val="NormalHanging12a"/>
      </w:pPr>
      <w:r w:rsidRPr="00982C80">
        <w:t>B.</w:t>
      </w:r>
      <w:r w:rsidRPr="00982C80">
        <w:tab/>
        <w:t xml:space="preserve">budući da bilanca Grupe EIB-a iznosi gotovo 600 milijardi EUR; budući da EIB navodi da su njegova ukupna ulaganja 2024. dosegnula rekordnu razinu od 88,8 milijardi EUR, od čega se 50,7 milijardi EUR odnosilo na klimu i okoliš, </w:t>
      </w:r>
      <w:r w:rsidRPr="00982C80">
        <w:rPr>
          <w:rStyle w:val="normaltextrun"/>
          <w:color w:val="000000"/>
          <w:shd w:val="clear" w:color="auto" w:fill="FFFFFF"/>
        </w:rPr>
        <w:t>16,2 milijarde na mala i srednja poduzeća te poduzeća srednje tržišne kapitalizacije, 14,4 milijarde EUR na digitalizaciju i tehnološke inovacije te 1 milijarda EUR na poboljšanje europske sigurnosti i obrane</w:t>
      </w:r>
      <w:r w:rsidRPr="00982C80">
        <w:t>; budući da je omjer financijske poluge EIB-a povećan na 290 %, čime se EIB-u pruža dodatni prostor za ulaganje i podupiranje postizanja ciljeva EU-a te podupiranje politika EU-a; budući da se očekuje da će se ukupna ulaganja Grupe EIB-a 2025. povećati na 95 milijardi EUR;</w:t>
      </w:r>
    </w:p>
    <w:p w14:paraId="6058BEB4" w14:textId="77777777" w:rsidR="000375CF" w:rsidRPr="00982C80" w:rsidRDefault="000375CF" w:rsidP="000375CF">
      <w:pPr>
        <w:pStyle w:val="NormalHanging12a"/>
      </w:pPr>
      <w:r w:rsidRPr="00982C80">
        <w:t>C.</w:t>
      </w:r>
      <w:r w:rsidRPr="00982C80">
        <w:tab/>
        <w:t>budući da EIB održava čvrste financijske temelje i ima rejting AAA, temelj njegove financijske vjerodostojnosti i sposobnosti kreditiranja, što je ključno za očuvanje povjerenja ulagača i osiguravanje niskih troškova zaduživanja;</w:t>
      </w:r>
    </w:p>
    <w:p w14:paraId="4798F69A" w14:textId="77777777" w:rsidR="000375CF" w:rsidRPr="00982C80" w:rsidRDefault="000375CF" w:rsidP="000375CF">
      <w:pPr>
        <w:pStyle w:val="NormalHanging12a"/>
        <w:rPr>
          <w:rStyle w:val="normaltextrun"/>
          <w:bCs/>
          <w:iCs/>
          <w:color w:val="000000"/>
          <w:shd w:val="clear" w:color="auto" w:fill="FFFFFF"/>
        </w:rPr>
      </w:pPr>
      <w:r w:rsidRPr="00982C80">
        <w:rPr>
          <w:rStyle w:val="normaltextrun"/>
          <w:color w:val="000000"/>
          <w:shd w:val="clear" w:color="auto" w:fill="FFFFFF"/>
        </w:rPr>
        <w:t>D.</w:t>
      </w:r>
      <w:r w:rsidRPr="00982C80">
        <w:rPr>
          <w:rStyle w:val="normaltextrun"/>
          <w:color w:val="000000"/>
          <w:shd w:val="clear" w:color="auto" w:fill="FFFFFF"/>
        </w:rPr>
        <w:tab/>
        <w:t>budući da EIB podupire politike i projekte EU-a te da je glavni provedbeni partner odgovoran za korištenje mandata i jamstava proračuna EU-a, čime se mobiliziraju velika javna i privatna ulaganja; budući da EIB navodi da je otprilike 90 % njegovih godišnjih ulaganja namijenjeno projektima unutar EU-a, a 10 % se odnosi na ulaganja izvan EU-a;</w:t>
      </w:r>
    </w:p>
    <w:p w14:paraId="52394B69" w14:textId="77777777" w:rsidR="000375CF" w:rsidRPr="00982C80" w:rsidRDefault="000375CF" w:rsidP="000375CF">
      <w:pPr>
        <w:pStyle w:val="NormalHanging12a"/>
      </w:pPr>
      <w:r w:rsidRPr="00982C80">
        <w:t>E.</w:t>
      </w:r>
      <w:r w:rsidRPr="00982C80">
        <w:tab/>
        <w:t xml:space="preserve">budući da je EIF, kao dio Grupe EIB-a, subjekt specijaliziran za podupiranje ciljeva politike EU-a, među ostalim u područjima poduzetništva, otvaranja radnih mjesta i gospodarske kohezije, te ima ključnu ulogu u podupiranju malih i srednjih poduzeća poboljšanjem njihova pristupa financijskim tržištima, od poduzetničkog kapitala do mikrofinanciranja; </w:t>
      </w:r>
      <w:r w:rsidRPr="00982C80">
        <w:rPr>
          <w:rStyle w:val="normaltextrun"/>
          <w:color w:val="000000"/>
          <w:shd w:val="clear" w:color="auto" w:fill="FFFFFF"/>
        </w:rPr>
        <w:t>ističe činjenicu da Grupa EIB-a podupire poduzeća u svim fazama razvoja;</w:t>
      </w:r>
    </w:p>
    <w:p w14:paraId="7B0ED056" w14:textId="77777777" w:rsidR="000375CF" w:rsidRPr="00982C80" w:rsidRDefault="000375CF" w:rsidP="000375CF">
      <w:pPr>
        <w:pStyle w:val="NormalHanging12a"/>
      </w:pPr>
      <w:r w:rsidRPr="00982C80">
        <w:t>F.</w:t>
      </w:r>
      <w:r w:rsidRPr="00982C80">
        <w:tab/>
        <w:t>budući da se procjenjuje da je od lipnja 2024. InvestEU mobilizirao oko 280 milijardi EUR dodatnih ulaganja, od čega 201 milijarda EUR potječe iz privatnog sektora; budući da je omotnica programa InvestEU gotovo iscrpljena;</w:t>
      </w:r>
    </w:p>
    <w:p w14:paraId="025B613E" w14:textId="77777777" w:rsidR="000375CF" w:rsidRPr="00982C80" w:rsidRDefault="000375CF" w:rsidP="000375CF">
      <w:pPr>
        <w:pStyle w:val="NormalHanging12a"/>
      </w:pPr>
      <w:r w:rsidRPr="00982C80">
        <w:t>G.</w:t>
      </w:r>
      <w:r w:rsidRPr="00982C80">
        <w:tab/>
        <w:t>budući da se u najnovijim izvješćima o budućnosti EU-a traži jačanje konkurentnosti i produktivnosti EU-a, naglašava ključna uloga integracije tržišta i ističe potreba za ubrzanjem javnih i privatnih ulaganja kako bi se izgradila snažnija, sigurnija, autonomnija i pravednija Europa;</w:t>
      </w:r>
    </w:p>
    <w:p w14:paraId="06AE2D84" w14:textId="77777777" w:rsidR="000375CF" w:rsidRPr="00982C80" w:rsidRDefault="000375CF" w:rsidP="000375CF">
      <w:pPr>
        <w:pStyle w:val="NormalHanging12a"/>
      </w:pPr>
      <w:r w:rsidRPr="00982C80">
        <w:t>H.</w:t>
      </w:r>
      <w:r w:rsidRPr="00982C80">
        <w:tab/>
        <w:t>budući da se u Draghijevu izvješću o konkurentnosti Europe procjenjuje da će ukupne potrebe za dodatnim ulaganjima u Europi do 2030. iznositi 750 – 800 milijardi EUR godišnje; budući da Grupa EIB-a ima ključnu ulogu u premošćivanju jaza zahvaljujući vlastitim kapacitetima za kreditiranje i privlačenju privatnog kapitala za financiranje tih potreba za ulaganjima;</w:t>
      </w:r>
    </w:p>
    <w:p w14:paraId="6314D7F3" w14:textId="77777777" w:rsidR="000375CF" w:rsidRPr="00982C80" w:rsidRDefault="000375CF" w:rsidP="000375CF">
      <w:pPr>
        <w:pStyle w:val="NormalHanging12a"/>
      </w:pPr>
      <w:r w:rsidRPr="00982C80">
        <w:t>I.</w:t>
      </w:r>
      <w:r w:rsidRPr="00982C80">
        <w:tab/>
        <w:t xml:space="preserve">budući da, prema Draghijevu izvješću, poduzeća iz EU-a troše manje na istraživanje i inovacije nego poduzeća u SAD-u, a Europa i dalje ne uspijeva komercijalizirati </w:t>
      </w:r>
      <w:r w:rsidRPr="00982C80">
        <w:lastRenderedPageBreak/>
        <w:t>istraživanja i inovacije, posebno u sektorima kao što su biotehnologija, umjetna inteligencija i obnovljiva energija, zbog malih razmjera i nedovršenosti jedinstvenog tržišta, bankovne unije i unije tržišta kapitala; budući da je u Draghijevu izvješću istaknuto da je 2023. razlika u produktivnosti između EU-a i SAD-a iznosila 30 % te je navedeno da je glavni čimbenik koji je uzrokovao taj jaz činjenica da je Europa uz digitalnu revoluciju, koju pokreću internet i povezano povećanje produktivnosti, pri čemu su samo 4 od 50 vodećih tehnoloških poduzeća u svijetu europska;</w:t>
      </w:r>
    </w:p>
    <w:p w14:paraId="31AD828D" w14:textId="77777777" w:rsidR="000375CF" w:rsidRPr="00982C80" w:rsidRDefault="000375CF" w:rsidP="000375CF">
      <w:pPr>
        <w:pStyle w:val="NormalHanging12a"/>
      </w:pPr>
      <w:r w:rsidRPr="00982C80">
        <w:t>J.</w:t>
      </w:r>
      <w:r w:rsidRPr="00982C80">
        <w:tab/>
        <w:t>budući da se u Lettinu izvješću procjenjuje da se 300 milijardi EUR europske štednje ne ulaže u Europu, već uglavnom u Sjedinjene Američke Države, zbog nepostojanja integrirane unije tržišta kapitala; budući da predsjednica Europske središnje banke procjenjuje da bi poduzeća u EU-u mogla prikupiti financiranja od otprilike 470 milijardi EUR godišnje s tržišta kapitala ako se unija tržišta kapitala dovrši</w:t>
      </w:r>
      <w:r w:rsidRPr="00982C80">
        <w:rPr>
          <w:rStyle w:val="FootnoteReference"/>
        </w:rPr>
        <w:footnoteReference w:id="10"/>
      </w:r>
      <w:r w:rsidRPr="00982C80">
        <w:t>; budući da Služba Europskog parlamenta za istraživanja procjenjuje potencijalne dugoročne koristi od potpuno integriranog i učinkovitije reguliranog financijskog tržišta EU-a u vrijednosti do 159 milijardi EUR godišnje, kao i koristi od daljnjeg napretka u integraciji bankarskog sektora EU-a u vrijednosti do 114 milijardi EUR godišnje;</w:t>
      </w:r>
    </w:p>
    <w:p w14:paraId="68761A63" w14:textId="77777777" w:rsidR="000375CF" w:rsidRPr="00982C80" w:rsidRDefault="000375CF" w:rsidP="000375CF">
      <w:pPr>
        <w:pStyle w:val="NormalHanging12a"/>
      </w:pPr>
      <w:r w:rsidRPr="00982C80">
        <w:t>K.</w:t>
      </w:r>
      <w:r w:rsidRPr="00982C80">
        <w:tab/>
      </w:r>
      <w:r w:rsidRPr="00982C80">
        <w:rPr>
          <w:color w:val="000000"/>
        </w:rPr>
        <w:t xml:space="preserve">budući da bi poslovanje EIB-a trebalo doprinijeti postizanju klimatske neutralnosti najkasnije do 2050., u skladu s Pariškim sporazumom i UN-ovim ciljevima održivog razvoja, te podupirati provedbu europskog stupa socijalnih prava; </w:t>
      </w:r>
      <w:r w:rsidRPr="00982C80">
        <w:t>budući da se EIB sam profilirao kao klimatska banka EU-a, s obzirom na ulaganja potrebna za ostvarenje pravedne zelene tranzicije; budući da Komisija procjenjuje da EU treba povećati svoja godišnja ulaganja u energetiku, industrijske inovacije i rast te prometne sustave za oko 480 milijardi EUR u usporedbi s prethodnim desetljećem</w:t>
      </w:r>
      <w:r w:rsidRPr="00982C80">
        <w:rPr>
          <w:rStyle w:val="FootnoteReference"/>
        </w:rPr>
        <w:footnoteReference w:id="11"/>
      </w:r>
      <w:r w:rsidRPr="00982C80">
        <w:t>;</w:t>
      </w:r>
    </w:p>
    <w:p w14:paraId="15DF2687" w14:textId="77777777" w:rsidR="000375CF" w:rsidRPr="00982C80" w:rsidRDefault="000375CF" w:rsidP="000375CF">
      <w:pPr>
        <w:pStyle w:val="NormalHanging12a"/>
      </w:pPr>
      <w:r w:rsidRPr="00982C80">
        <w:t>L.</w:t>
      </w:r>
      <w:r w:rsidRPr="00982C80">
        <w:tab/>
        <w:t>budući da, s obzirom na postojeće geopolitičko okruženje, razvoj europske obrambene tehnološke i industrijske baze ima sve važniju ulogu na unutarnjem tržištu; budući da se u Bijeloj knjizi Komisije o budućnosti europske obrane navodi da su potrebna dodatna ulaganja u obrambeni sektor u iznosu od 800 milijardi EUR tijekom četverogodišnjeg razdoblja; budući da je EIB najavio da će udvostručiti financiranje za sigurnost i obranu s 1 milijarde EUR 2024. na 2 milijarde EUR 2025., uz istodobno održavanje kreditnog rejtinga „AAA”;</w:t>
      </w:r>
    </w:p>
    <w:p w14:paraId="2CD5C55D" w14:textId="77777777" w:rsidR="000375CF" w:rsidRPr="00982C80" w:rsidRDefault="000375CF" w:rsidP="000375CF">
      <w:pPr>
        <w:pStyle w:val="NormalHanging12a"/>
      </w:pPr>
      <w:r w:rsidRPr="00982C80">
        <w:t>M.</w:t>
      </w:r>
      <w:r w:rsidRPr="00982C80">
        <w:tab/>
        <w:t>budući da su cijene stanovanja u EU-u između 2015. i 2023. u prosjeku porasle za 48 %, a stambena kriza pogađa gotovo cijelu Europu i sve više utječe na srednju klasu, a ne samo na najranjivije; budući da podaci EIB-a upućuju na potrebu za izgradnjom 1,5 milijuna novih domova godišnje i obnovom dodatnih pet milijuna domova, za što su potrebna ulaganja u iznosu od 300 do 400 milijardi EUR godišnje; budući da je stambeni sektor područje od općeg interesa, ali su se javna ulaganja u njega smanjila, zbog čega su kontinuirana ulaganja EIB-a ključna za taj sektor; budući da se novim akcijskim planom EIB-a predviđaju ulaganja u iznosu od 10 milijardi EUR tijekom sljedeće dvije godine;</w:t>
      </w:r>
    </w:p>
    <w:p w14:paraId="20013CBB" w14:textId="77777777" w:rsidR="000375CF" w:rsidRPr="00982C80" w:rsidRDefault="000375CF" w:rsidP="000375CF">
      <w:pPr>
        <w:pStyle w:val="NormalHanging12a"/>
      </w:pPr>
      <w:r w:rsidRPr="00982C80">
        <w:t>N.</w:t>
      </w:r>
      <w:r w:rsidRPr="00982C80">
        <w:tab/>
        <w:t xml:space="preserve">budući da je globalni EIB-ov instrument za kreditiranje (EIB Global), pokrenut 2022., od ključne važnosti za položaj Europe u svijetu; budući da se očekuje da će EIB Global </w:t>
      </w:r>
      <w:r w:rsidRPr="00982C80">
        <w:lastRenderedPageBreak/>
        <w:t>omogućiti najmanje trećinu od 300 milijardi EUR ulaganja koja se nastoje ostvariti u okviru strategije Global Gateway do kraja 2027.;</w:t>
      </w:r>
    </w:p>
    <w:p w14:paraId="6A839165" w14:textId="77777777" w:rsidR="000375CF" w:rsidRPr="00982C80" w:rsidRDefault="000375CF" w:rsidP="000375CF">
      <w:pPr>
        <w:pStyle w:val="NormalHanging12a"/>
        <w:rPr>
          <w:rStyle w:val="normaltextrun"/>
          <w:bCs/>
          <w:iCs/>
          <w:color w:val="000000"/>
          <w:shd w:val="clear" w:color="auto" w:fill="FFFFFF"/>
        </w:rPr>
      </w:pPr>
      <w:r w:rsidRPr="00982C80">
        <w:t>O.</w:t>
      </w:r>
      <w:r w:rsidRPr="00982C80">
        <w:tab/>
        <w:t>budući da je Parlament u više navrata pozivao na sklapanje međuinstitucijskog sporazuma između Parlamenta i EIB-a; budući da je Parlament potpisao sporazume s raznim tijelima EU-a; budući da Parlament i EIB već dugo blisko surađuju, uključujući interakciju i dijalog o zakonodavnim i nezakonodavnim pitanjima;</w:t>
      </w:r>
    </w:p>
    <w:p w14:paraId="546DCA20" w14:textId="77777777" w:rsidR="000375CF" w:rsidRPr="00982C80" w:rsidRDefault="000375CF" w:rsidP="000375CF">
      <w:pPr>
        <w:pStyle w:val="Normal12a24b"/>
      </w:pPr>
      <w:r w:rsidRPr="00982C80">
        <w:rPr>
          <w:rStyle w:val="BoldItalic"/>
        </w:rPr>
        <w:t>Opće napomene</w:t>
      </w:r>
    </w:p>
    <w:p w14:paraId="12EFFFD3" w14:textId="77777777" w:rsidR="000375CF" w:rsidRPr="00982C80" w:rsidRDefault="000375CF" w:rsidP="000375CF">
      <w:pPr>
        <w:pStyle w:val="NormalHanging12a"/>
      </w:pPr>
      <w:r w:rsidRPr="00982C80">
        <w:t>1.</w:t>
      </w:r>
      <w:r w:rsidRPr="00982C80">
        <w:tab/>
        <w:t>cijeni spremnost EIB-a na prilagodbu promjenjivim zahtjevima politike EU-a, pri čemu poštuje svoje dugoročne ciljeve; pozdravlja strateški plan Grupe EIB-a za razdoblje 2024. – 2027., koji odražava političke prioritete EU-a; ističe da je u Strateškom planu utvrđeno sljedećih osam prioritetnih područja: uloga EIB-a kao klimatske banke, digitalizacija i uvođenje novih tehnologija, sigurnosna i obrambena industrija, moderna kohezijska politika, poljoprivreda i biogospodarstvo, europska socijalna infrastruktura, ulaganja s velikim učinkom izvan EU-a i unija tržišta kapitala;</w:t>
      </w:r>
    </w:p>
    <w:p w14:paraId="1C35FF19" w14:textId="77777777" w:rsidR="000375CF" w:rsidRPr="00982C80" w:rsidRDefault="000375CF" w:rsidP="000375CF">
      <w:pPr>
        <w:pStyle w:val="NormalHanging12a"/>
      </w:pPr>
      <w:r w:rsidRPr="00982C80">
        <w:t>2.</w:t>
      </w:r>
      <w:r w:rsidRPr="00982C80">
        <w:tab/>
        <w:t>ističe hitan zahtjev EIB-u da preuzme još veću ulogu u premošćivanju investicijskog jaza u Europi, koji je Mario Draghi procijenio na 800 milijardi EUR, od čega je 450 milijardi EUR potrebno samo za energetsku tranziciju; poziva Komisiju i EIB da u potpunosti iskoriste potencijal EIB-a za pružanje financijske potpore zajedničkim prioritetima EU-a i da ispune svoju ključnu ulogu u poticanju potrebnih ulaganja za pravedan i uključiv održivi rast, uz istodobno maksimalno povećanje inovativnosti u ključnim područjima politika EU-a; traži da se doprinos Grupe EIB-a dodatno poveća u sljedećem višegodišnjem financijskom okviru, posebno s pomoću financijskih instrumenata i proračunskih jamstava koji su se pokazali vrlo učinkovitima u promicanju ključnih ciljeva politika EU-a; apelira na države članice da dodjelom mandata EIB-u i mogućim povećanjem kapitala osiguraju dostatna sredstva u tu svrhu, čime bi se EIB-u omogućilo da mobilizira ulaganja kojima se zaista zadovoljavaju paneuropske potrebe i jača važnost EU-a kao globalnog aktera; podsjeća da je cilj nove Komisije da bude „Komisija koja ulaže”;</w:t>
      </w:r>
    </w:p>
    <w:p w14:paraId="5E881375" w14:textId="77777777" w:rsidR="000375CF" w:rsidRPr="00982C80" w:rsidRDefault="000375CF" w:rsidP="000375CF">
      <w:pPr>
        <w:pStyle w:val="NormalHanging12a"/>
        <w:rPr>
          <w:szCs w:val="24"/>
        </w:rPr>
      </w:pPr>
      <w:r w:rsidRPr="00982C80">
        <w:t>3.</w:t>
      </w:r>
      <w:r w:rsidRPr="00982C80">
        <w:tab/>
        <w:t>naglašava da EIB-ov rejting „AAA” bitan adut koji se, zbog te ključne važnosti, mora održati;</w:t>
      </w:r>
      <w:r w:rsidRPr="00982C80">
        <w:rPr>
          <w:rStyle w:val="normaltextrun"/>
          <w:color w:val="000000"/>
        </w:rPr>
        <w:t xml:space="preserve"> potiče sve relevantne aktere da pri prilagodbi kreditne politike i mandata EIB-a zaštite i zajamče taj rejting</w:t>
      </w:r>
      <w:r w:rsidRPr="00982C80">
        <w:t xml:space="preserve">; ističe da se rejting, među ostalim čimbenicima, temelji na </w:t>
      </w:r>
      <w:r w:rsidRPr="00982C80">
        <w:rPr>
          <w:rStyle w:val="normaltextrun"/>
          <w:color w:val="000000"/>
          <w:shd w:val="clear" w:color="auto" w:fill="FFFFFF"/>
        </w:rPr>
        <w:t xml:space="preserve">stabilnom kapitalnom položaju, izvrsnoj kvaliteti imovine i uspješnosti, </w:t>
      </w:r>
      <w:r w:rsidRPr="00982C80">
        <w:t>kreditnoj sposobnosti država članica kao krajnjih jamca i</w:t>
      </w:r>
      <w:r w:rsidRPr="00982C80">
        <w:rPr>
          <w:rStyle w:val="normaltextrun"/>
          <w:color w:val="000000"/>
          <w:shd w:val="clear" w:color="auto" w:fill="FFFFFF"/>
        </w:rPr>
        <w:t xml:space="preserve"> </w:t>
      </w:r>
      <w:r w:rsidRPr="00982C80">
        <w:t xml:space="preserve">činjenici da EIB reagira na ciljeve politike EU-a; napominje da uz solidan rejting „AAA” i snažan okvir za upravljanje rizicima Grupa EIB-a ima financijsku snagu potrebnu za stalno povećanje godišnjih ulaganja; ističe činjenicu da rejting i financijski položaj EIB-a također omogućuju EIB-u da </w:t>
      </w:r>
      <w:r w:rsidRPr="00982C80">
        <w:rPr>
          <w:rStyle w:val="normaltextrun"/>
          <w:color w:val="000000"/>
          <w:shd w:val="clear" w:color="auto" w:fill="FFFFFF"/>
        </w:rPr>
        <w:t xml:space="preserve">osigura povoljne uvjete financiranja za projekte od javnog interesa u usporedbi s privatnim komercijalnim bankama, osiguravajući sigurnost i troškovnu učinkovitost, te mu omogućuju da </w:t>
      </w:r>
      <w:r w:rsidRPr="00982C80">
        <w:t xml:space="preserve">apsorbira potencijalne fluktuacije u povratu, zadrži povjerenje ulagača i ograniči troškove zaduživanja; </w:t>
      </w:r>
      <w:r w:rsidRPr="00982C80">
        <w:rPr>
          <w:rStyle w:val="normaltextrun"/>
          <w:color w:val="000000"/>
          <w:shd w:val="clear" w:color="auto" w:fill="FFFFFF"/>
        </w:rPr>
        <w:t xml:space="preserve">ističe da bi EIB trebao u većoj mjeri iskoristiti svoj povlašteni status kako bi preuzeo veći rizik u financiranju europskih javnih dobara </w:t>
      </w:r>
      <w:r w:rsidRPr="00982C80">
        <w:t xml:space="preserve">i strateških ulaganja; </w:t>
      </w:r>
      <w:r w:rsidRPr="00982C80">
        <w:rPr>
          <w:rStyle w:val="normaltextrun"/>
          <w:color w:val="000000"/>
          <w:shd w:val="clear" w:color="auto" w:fill="FFFFFF"/>
        </w:rPr>
        <w:t>prima na znanje odluku Vijeća guvernera EIB-a o povećanju ograničenja omjera financijske poluge EIB-a s 250 % na 290 %;</w:t>
      </w:r>
      <w:r w:rsidRPr="00982C80">
        <w:t xml:space="preserve"> n</w:t>
      </w:r>
      <w:r w:rsidRPr="00982C80">
        <w:rPr>
          <w:rStyle w:val="normaltextrun"/>
          <w:color w:val="000000"/>
          <w:shd w:val="clear" w:color="auto" w:fill="FFFFFF"/>
        </w:rPr>
        <w:t>aglašava da bi EIB trebao na odgovarajući način prilagoditi svoju intervenciju kako bi osigurao da ne istiskuje privatna ulaganja;</w:t>
      </w:r>
    </w:p>
    <w:p w14:paraId="255F643E" w14:textId="77777777" w:rsidR="000375CF" w:rsidRPr="00982C80" w:rsidRDefault="000375CF" w:rsidP="000375CF">
      <w:pPr>
        <w:pStyle w:val="NormalHanging12a"/>
        <w:rPr>
          <w:rStyle w:val="normaltextrun"/>
          <w:bCs/>
          <w:iCs/>
          <w:color w:val="000000"/>
          <w:shd w:val="clear" w:color="auto" w:fill="FFFFFF"/>
        </w:rPr>
      </w:pPr>
      <w:r w:rsidRPr="00982C80">
        <w:rPr>
          <w:rStyle w:val="normaltextrun"/>
          <w:color w:val="000000"/>
          <w:shd w:val="clear" w:color="auto" w:fill="FFFFFF"/>
        </w:rPr>
        <w:lastRenderedPageBreak/>
        <w:t>4.</w:t>
      </w:r>
      <w:r w:rsidRPr="00982C80">
        <w:rPr>
          <w:rStyle w:val="tabchar"/>
          <w:color w:val="000000"/>
          <w:shd w:val="clear" w:color="auto" w:fill="FFFFFF"/>
        </w:rPr>
        <w:tab/>
      </w:r>
      <w:r w:rsidRPr="00982C80">
        <w:rPr>
          <w:rStyle w:val="normaltextrun"/>
          <w:color w:val="000000"/>
          <w:shd w:val="clear" w:color="auto" w:fill="FFFFFF"/>
        </w:rPr>
        <w:t>napominje da se obujam ulaganja EIB-a u odnosu na BDP među europskim zemljama kreće od 0,1 %</w:t>
      </w:r>
      <w:r w:rsidRPr="00982C80">
        <w:rPr>
          <w:rStyle w:val="FootnoteReference"/>
          <w:bCs/>
          <w:iCs/>
          <w:color w:val="000000"/>
          <w:szCs w:val="24"/>
          <w:shd w:val="clear" w:color="auto" w:fill="FFFFFF"/>
        </w:rPr>
        <w:footnoteReference w:id="12"/>
      </w:r>
      <w:r w:rsidRPr="00982C80">
        <w:rPr>
          <w:rStyle w:val="normaltextrun"/>
          <w:color w:val="000000"/>
          <w:shd w:val="clear" w:color="auto" w:fill="FFFFFF"/>
        </w:rPr>
        <w:t xml:space="preserve"> do 1,4 % za 2024.; poziva Grupu EIB-a da osigura ravnomjernije geografsko raspoređivanje ulaganja kako bi se ostvario najveći mogući učinak u svim regijama EU-a i tako promicao kohezivan i uključiv rast u cijelom EU-u, s posebnim osvrtom na slabije zastupljena i manje razvijena područja;</w:t>
      </w:r>
      <w:r w:rsidRPr="00982C80">
        <w:rPr>
          <w:rStyle w:val="eop"/>
          <w:color w:val="000000"/>
          <w:shd w:val="clear" w:color="auto" w:fill="FFFFFF"/>
        </w:rPr>
        <w:t> </w:t>
      </w:r>
      <w:r w:rsidRPr="00982C80">
        <w:t>poziva EIB da obrati posebnu pozornost na planove ulaganja usmjerene na smanjenje jaza između razvijenijih regija i otočnih područja EU-a, unutarnjih područja, najudaljenijih regija, gospodarski siromašnih područja i svih dijelova EU-a koji su u nepovoljnom položaju zbog prirodnih čimbenika;</w:t>
      </w:r>
    </w:p>
    <w:p w14:paraId="57957836" w14:textId="77777777" w:rsidR="000375CF" w:rsidRPr="00982C80" w:rsidRDefault="000375CF" w:rsidP="000375CF">
      <w:pPr>
        <w:pStyle w:val="NormalHanging12a"/>
      </w:pPr>
      <w:r w:rsidRPr="00982C80">
        <w:t>5.</w:t>
      </w:r>
      <w:r w:rsidRPr="00982C80">
        <w:tab/>
        <w:t xml:space="preserve">naglašava potrebu za pojednostavnjenjem, racionalizacijom, optimizacijom i konsolidacijom sadašnjih i budućih postupaka i mandata EIB-a kako bi se poboljšale sinergije, djelotvornost i učinkovitost; </w:t>
      </w:r>
      <w:r w:rsidRPr="00982C80">
        <w:rPr>
          <w:rStyle w:val="normaltextrun"/>
          <w:color w:val="000000"/>
          <w:shd w:val="clear" w:color="auto" w:fill="FFFFFF"/>
        </w:rPr>
        <w:t>predlaže razvoj i uvođenje jedinstvenog pravilnika, s ujednačenim skupom financijskih pravila,</w:t>
      </w:r>
      <w:r w:rsidRPr="00982C80">
        <w:t xml:space="preserve"> </w:t>
      </w:r>
      <w:r w:rsidRPr="00982C80">
        <w:rPr>
          <w:rStyle w:val="normaltextrun"/>
          <w:color w:val="000000"/>
          <w:shd w:val="clear" w:color="auto" w:fill="FFFFFF"/>
        </w:rPr>
        <w:t>koji bi služio kao jedinstveni okvir za mnoge programe EU-a i pojednostavnio provedbu za partnere, čime bi se doprinijelo poboljšanju poslovanja EIB-a;</w:t>
      </w:r>
    </w:p>
    <w:p w14:paraId="1C3199B8" w14:textId="77777777" w:rsidR="000375CF" w:rsidRPr="00982C80" w:rsidRDefault="000375CF" w:rsidP="000375CF">
      <w:pPr>
        <w:pStyle w:val="NormalHanging12a"/>
        <w:rPr>
          <w:rStyle w:val="normaltextrun"/>
          <w:bCs/>
          <w:iCs/>
          <w:color w:val="000000"/>
          <w:szCs w:val="24"/>
          <w:shd w:val="clear" w:color="auto" w:fill="FFFFFF"/>
        </w:rPr>
      </w:pPr>
      <w:r w:rsidRPr="00982C80">
        <w:rPr>
          <w:rStyle w:val="normaltextrun"/>
          <w:color w:val="000000"/>
          <w:shd w:val="clear" w:color="auto" w:fill="FFFFFF"/>
        </w:rPr>
        <w:t>6.</w:t>
      </w:r>
      <w:r w:rsidRPr="00982C80">
        <w:rPr>
          <w:rStyle w:val="normaltextrun"/>
          <w:color w:val="000000"/>
          <w:shd w:val="clear" w:color="auto" w:fill="FFFFFF"/>
        </w:rPr>
        <w:tab/>
        <w:t>naglašava da je važno smanjiti administrativno opterećenje i troškove izvješćivanja, kao i pojednostavniti postupke za projekte koje financira EIB, posebno za mala i srednja poduzeća i manje inicijative koje se temelje na inovacijama; ističe da bi pojednostavnjeni postupak mogao povećati učinak i sposobnost reagiranja EIB-a;</w:t>
      </w:r>
      <w:r w:rsidRPr="00982C80">
        <w:t xml:space="preserve"> u tom pogledu podržava uspostavu jedinstvenih kontaktnih točaka kako bi se ponudila koordinirana financijska potpora i tehničke smjernice;</w:t>
      </w:r>
    </w:p>
    <w:p w14:paraId="35E2E31D" w14:textId="77777777" w:rsidR="000375CF" w:rsidRPr="00982C80" w:rsidRDefault="000375CF" w:rsidP="000375CF">
      <w:pPr>
        <w:pStyle w:val="NormalHanging12a"/>
        <w:rPr>
          <w:rStyle w:val="BoldItalic"/>
        </w:rPr>
      </w:pPr>
      <w:r w:rsidRPr="00982C80">
        <w:rPr>
          <w:rStyle w:val="normaltextrun"/>
          <w:color w:val="000000"/>
          <w:shd w:val="clear" w:color="auto" w:fill="FFFFFF"/>
        </w:rPr>
        <w:t>7.</w:t>
      </w:r>
      <w:r w:rsidRPr="00982C80">
        <w:rPr>
          <w:rStyle w:val="tabchar"/>
          <w:color w:val="000000"/>
          <w:shd w:val="clear" w:color="auto" w:fill="FFFFFF"/>
        </w:rPr>
        <w:tab/>
      </w:r>
      <w:r w:rsidRPr="00982C80">
        <w:rPr>
          <w:rStyle w:val="normaltextrun"/>
          <w:color w:val="000000"/>
          <w:shd w:val="clear" w:color="auto" w:fill="FFFFFF"/>
        </w:rPr>
        <w:t>prima na znanje predanost EIB-a reformama kako bi se skratilo vrijeme potrebno za odobravanje financiranja, s ciljem smanjenja od 30 % do kraja 2024. i smanjenja od 50 % u razdoblju od 2024. do 2026.; napominje da se provedba tih reformi ubrzava kako bi se smanjila birokracija, povećale sinergije unutar Grupe, automatizirali i racionalizirali unutarnji postupci i poboljšala troškovna učinkovitost; poziva Komisiju i EIB da dodatno procijene kako se može ubrzati EIB-ov ulazak na tržište te da pojednostavne financijske mandate bez ugrožavanja revizijskih standarda ili transparentnosti; poziva EIB da uloži veće napore u digitalizaciju</w:t>
      </w:r>
      <w:r w:rsidRPr="00982C80">
        <w:t xml:space="preserve"> </w:t>
      </w:r>
      <w:r w:rsidRPr="00982C80">
        <w:rPr>
          <w:rStyle w:val="normaltextrun"/>
          <w:color w:val="000000"/>
          <w:shd w:val="clear" w:color="auto" w:fill="FFFFFF"/>
        </w:rPr>
        <w:t xml:space="preserve">poslovanja; </w:t>
      </w:r>
    </w:p>
    <w:p w14:paraId="5C2F9D02" w14:textId="77777777" w:rsidR="000375CF" w:rsidRPr="00982C80" w:rsidRDefault="000375CF" w:rsidP="000375CF">
      <w:pPr>
        <w:pStyle w:val="Normal12a24b"/>
      </w:pPr>
      <w:r w:rsidRPr="00982C80">
        <w:rPr>
          <w:rStyle w:val="BoldItalic"/>
        </w:rPr>
        <w:t>Premošćivanje investicijskog jaza i poticanje konkurentnosti</w:t>
      </w:r>
    </w:p>
    <w:p w14:paraId="29A74EE3" w14:textId="77777777" w:rsidR="000375CF" w:rsidRPr="00982C80" w:rsidRDefault="000375CF" w:rsidP="000375CF">
      <w:pPr>
        <w:pStyle w:val="NormalHanging12a"/>
      </w:pPr>
      <w:r w:rsidRPr="00982C80">
        <w:t>8.</w:t>
      </w:r>
      <w:r w:rsidRPr="00982C80">
        <w:tab/>
        <w:t>naglašava važnu ulogu Grupe EIB-a kao paneuropskog i međunarodnog tijela za ulaganja u mobilizaciji javnog i privatnog financiranja za prioritete EU-a i u podupiranju država članica u financiranju ključnih i strateških ulaganja te ciljeva politike EU-a;</w:t>
      </w:r>
    </w:p>
    <w:p w14:paraId="128A294B" w14:textId="77777777" w:rsidR="000375CF" w:rsidRPr="00982C80" w:rsidRDefault="000375CF" w:rsidP="000375CF">
      <w:pPr>
        <w:pStyle w:val="NormalHanging12a"/>
      </w:pPr>
      <w:r w:rsidRPr="00982C80">
        <w:t>9.</w:t>
      </w:r>
      <w:r w:rsidRPr="00982C80">
        <w:tab/>
        <w:t xml:space="preserve">međutim, podsjeća da je poslovanje EIB-a po prirodi ograničeno i da može imati samo potpornu ulogu u rješavanju znatnog investicijskog jaza; ponavlja da bi integriranija ekonomska i monetarna unija, ojačana gospodarska struktura i učinkovita koordinacija doprinijele poslovanju EIB-a; stoga traži brz i znatan napredak u pogledu unije tržišta kapitala, </w:t>
      </w:r>
      <w:r w:rsidRPr="00982C80">
        <w:rPr>
          <w:rStyle w:val="normaltextrun"/>
          <w:color w:val="000000"/>
          <w:shd w:val="clear" w:color="auto" w:fill="FFFFFF"/>
        </w:rPr>
        <w:t>posebno konkretnim koracima u vezi s nedavno pokrenutom unijom štednje i ulaganja,</w:t>
      </w:r>
      <w:r w:rsidRPr="00982C80">
        <w:t xml:space="preserve"> dovršetkom bankovne unije, kao i, prema potrebi, uspostavom investicijskih instrumenata i alata na razini EU-a osmišljenih kako bi se troškovi za porezne obveznike EU-a sveli na najmanju moguću mjeru i kako bi se maksimalno povećala učinkovitost u pružanju europskih javnih dobara;</w:t>
      </w:r>
    </w:p>
    <w:p w14:paraId="595ED904" w14:textId="77777777" w:rsidR="000375CF" w:rsidRPr="00982C80" w:rsidRDefault="000375CF" w:rsidP="000375CF">
      <w:pPr>
        <w:pStyle w:val="NormalHanging12a"/>
        <w:rPr>
          <w:rStyle w:val="normaltextrun"/>
          <w:bCs/>
          <w:iCs/>
          <w:color w:val="000000"/>
          <w:szCs w:val="24"/>
          <w:shd w:val="clear" w:color="auto" w:fill="FFFFFF"/>
        </w:rPr>
      </w:pPr>
      <w:r w:rsidRPr="00982C80">
        <w:rPr>
          <w:rStyle w:val="normaltextrun"/>
          <w:color w:val="000000"/>
          <w:shd w:val="clear" w:color="auto" w:fill="FFFFFF"/>
        </w:rPr>
        <w:lastRenderedPageBreak/>
        <w:t>10.</w:t>
      </w:r>
      <w:r w:rsidRPr="00982C80">
        <w:rPr>
          <w:rStyle w:val="normaltextrun"/>
          <w:color w:val="000000"/>
          <w:shd w:val="clear" w:color="auto" w:fill="FFFFFF"/>
        </w:rPr>
        <w:tab/>
      </w:r>
      <w:r w:rsidRPr="00982C80">
        <w:t>potvrđuje da su integriranija tržišta kapitala i dublje jedinstveno tržište također važni temelji za poslovanje EIB-a</w:t>
      </w:r>
      <w:r w:rsidRPr="00982C80">
        <w:rPr>
          <w:rStyle w:val="normaltextrun"/>
          <w:color w:val="000000"/>
          <w:shd w:val="clear" w:color="auto" w:fill="FFFFFF"/>
        </w:rPr>
        <w:t>; podržava strateški plan EIB-a kojim se unija tržišta kapitala stavlja među prioritete; smatra da će primjereno dovršena unija štednje i ulaganja koristiti potrošačima i malim i srednjim poduzećima jer će nuditi mogućnosti ulaganja s visokim povratom u realno gospodarstvo te će u konačnici ojačati tržište poduzetničkog kapitala, koje se smatra rizičnijim od drugih oblika ulaganja, olakšavanjem pristupa raznovrsnijim izvorima financiranja; ističe da bi svaki relevantni europski javni akter trebao doprinositi uniji štednje i ulaganja te podržava spremnost EIB-a da pokrene pilot-projekte i druge konkretne inicijative u tom području;</w:t>
      </w:r>
    </w:p>
    <w:p w14:paraId="26B86631" w14:textId="77777777" w:rsidR="000375CF" w:rsidRPr="00982C80" w:rsidRDefault="000375CF" w:rsidP="000375CF">
      <w:pPr>
        <w:pStyle w:val="NormalHanging12a"/>
      </w:pPr>
      <w:r w:rsidRPr="00982C80">
        <w:t>11.</w:t>
      </w:r>
      <w:r w:rsidRPr="00982C80">
        <w:tab/>
        <w:t xml:space="preserve">poziva Komisiju i Grupu EIB-a da ulože više napora za </w:t>
      </w:r>
      <w:r w:rsidRPr="00982C80">
        <w:rPr>
          <w:rStyle w:val="normaltextrun"/>
          <w:color w:val="000000"/>
          <w:shd w:val="clear" w:color="auto" w:fill="FFFFFF"/>
        </w:rPr>
        <w:t>ostvarivanje programa Kompasa konkurentnosti i unije štednje i ulaganja mobilizacijom</w:t>
      </w:r>
      <w:r w:rsidRPr="00982C80">
        <w:t xml:space="preserve"> privatnog kapitala za produktivna ulaganja, podupiranjem inovacija tijekom cijelog životnog ciklusa poduzeća, financiranjem poduzetničkog kapitala i rizičnijim financiranjem vlasničkog kapitala za rastuća i </w:t>
      </w:r>
      <w:r w:rsidRPr="00982C80">
        <w:rPr>
          <w:i/>
          <w:iCs/>
        </w:rPr>
        <w:t>start-up</w:t>
      </w:r>
      <w:r w:rsidRPr="00982C80">
        <w:t xml:space="preserve"> poduzeća; </w:t>
      </w:r>
      <w:r w:rsidRPr="00982C80">
        <w:rPr>
          <w:rStyle w:val="normaltextrun"/>
          <w:color w:val="000000"/>
        </w:rPr>
        <w:t>ističe da se rizičniji instrumenti, kao što su vlasnički i poduzetnički dug, moraju upotrebljavati uz jasne okvire rizika i mjerljive pokazatelje uspješnosti</w:t>
      </w:r>
      <w:r w:rsidRPr="00982C80">
        <w:rPr>
          <w:rStyle w:val="normaltextrun"/>
          <w:color w:val="000000"/>
          <w:shd w:val="clear" w:color="auto" w:fill="FFFFFF"/>
        </w:rPr>
        <w:t>; potiče EIB da poveća financiranje za poduzeća u vlasništvu žena</w:t>
      </w:r>
      <w:r w:rsidRPr="00982C80">
        <w:t>;</w:t>
      </w:r>
    </w:p>
    <w:p w14:paraId="0B352352" w14:textId="77777777" w:rsidR="000375CF" w:rsidRPr="00982C80" w:rsidRDefault="000375CF" w:rsidP="000375CF">
      <w:pPr>
        <w:pStyle w:val="NormalHanging12a"/>
        <w:rPr>
          <w:rStyle w:val="eop"/>
          <w:color w:val="000000"/>
          <w:szCs w:val="24"/>
          <w:shd w:val="clear" w:color="auto" w:fill="FFFFFF"/>
        </w:rPr>
      </w:pPr>
      <w:r w:rsidRPr="00982C80">
        <w:rPr>
          <w:rStyle w:val="normaltextrun"/>
          <w:color w:val="000000"/>
          <w:shd w:val="clear" w:color="auto" w:fill="FFFFFF"/>
        </w:rPr>
        <w:t>12.</w:t>
      </w:r>
      <w:r w:rsidRPr="00982C80">
        <w:rPr>
          <w:rStyle w:val="tabchar"/>
          <w:color w:val="000000"/>
          <w:shd w:val="clear" w:color="auto" w:fill="FFFFFF"/>
        </w:rPr>
        <w:tab/>
      </w:r>
      <w:r w:rsidRPr="00982C80">
        <w:rPr>
          <w:rStyle w:val="tabchar"/>
          <w:color w:val="000000" w:themeColor="text1"/>
          <w:shd w:val="clear" w:color="auto" w:fill="FFFFFF"/>
        </w:rPr>
        <w:t>p</w:t>
      </w:r>
      <w:r w:rsidRPr="00982C80">
        <w:t>repoznaje središnju ulogu malih i srednjih poduzeća kao okosnice europskog gospodarstva u poticanju gospodarskog rasta i inovacija, otvaranju radnih mjesta i promicanju teritorijalne kohezije;</w:t>
      </w:r>
      <w:r w:rsidRPr="00982C80">
        <w:rPr>
          <w:rStyle w:val="normaltextrun"/>
          <w:color w:val="000000" w:themeColor="text1"/>
          <w:shd w:val="clear" w:color="auto" w:fill="FFFFFF"/>
        </w:rPr>
        <w:t xml:space="preserve"> u tom pogledu podsjeća da u EU-u ima 24 milijuna malih i srednjih poduzeća te da oni čine 99 % svih poduzeća, omogućuju oko dvije trećine svih radnih mjesta i ostvaruju više od 50 % ukupne dodane vrijednosti koju proizvode poduzeća u EU-u; </w:t>
      </w:r>
      <w:r w:rsidRPr="00982C80">
        <w:rPr>
          <w:rStyle w:val="normaltextrun"/>
          <w:shd w:val="clear" w:color="auto" w:fill="FFFFFF"/>
        </w:rPr>
        <w:t xml:space="preserve">naglašava da je potpora malim i srednjim poduzećima jedan od ključnih ciljeva Grupe EIB-a i da </w:t>
      </w:r>
      <w:r w:rsidRPr="00982C80">
        <w:t>bolji pristup kreditima, stvaranje prilagođenih financijskih instrumenata i ciljana ulaganja u mala i srednja poduzeća mogu imati dalekosežan pozitivan učinak jer doprinose gospodarskoj otpornosti Unije, konkurentnosti lokalnih proizvodnih lanaca te digitalnoj i održivoj tranziciji u regionalnim gospodarstvima</w:t>
      </w:r>
      <w:r w:rsidRPr="00982C80">
        <w:rPr>
          <w:rStyle w:val="normaltextrun"/>
          <w:shd w:val="clear" w:color="auto" w:fill="FFFFFF"/>
        </w:rPr>
        <w:t>;</w:t>
      </w:r>
      <w:r w:rsidRPr="00982C80">
        <w:rPr>
          <w:rStyle w:val="normaltextrun"/>
          <w:color w:val="000000" w:themeColor="text1"/>
          <w:shd w:val="clear" w:color="auto" w:fill="FFFFFF"/>
        </w:rPr>
        <w:t xml:space="preserve"> </w:t>
      </w:r>
    </w:p>
    <w:p w14:paraId="1098B923" w14:textId="77777777" w:rsidR="000375CF" w:rsidRPr="00982C80" w:rsidRDefault="000375CF" w:rsidP="000375CF">
      <w:pPr>
        <w:pStyle w:val="NormalHanging12a"/>
        <w:rPr>
          <w:rStyle w:val="eop"/>
          <w:color w:val="000000"/>
          <w:szCs w:val="24"/>
          <w:shd w:val="clear" w:color="auto" w:fill="FFFFFF"/>
        </w:rPr>
      </w:pPr>
      <w:r w:rsidRPr="00982C80">
        <w:rPr>
          <w:rStyle w:val="normaltextrun"/>
          <w:color w:val="000000"/>
          <w:shd w:val="clear" w:color="auto" w:fill="FFFFFF"/>
        </w:rPr>
        <w:t>13.</w:t>
      </w:r>
      <w:r w:rsidRPr="00982C80">
        <w:rPr>
          <w:rStyle w:val="normaltextrun"/>
          <w:color w:val="000000"/>
          <w:shd w:val="clear" w:color="auto" w:fill="FFFFFF"/>
        </w:rPr>
        <w:tab/>
        <w:t xml:space="preserve">potiče EIB da zadrži i ojača ulogu u olakšavanju pristupa financiranju za mala i srednja poduzeća te za </w:t>
      </w:r>
      <w:r w:rsidRPr="00982C80">
        <w:rPr>
          <w:rStyle w:val="normaltextrun"/>
          <w:i/>
          <w:iCs/>
          <w:color w:val="000000"/>
          <w:shd w:val="clear" w:color="auto" w:fill="FFFFFF"/>
        </w:rPr>
        <w:t>start-up</w:t>
      </w:r>
      <w:r w:rsidRPr="00982C80">
        <w:rPr>
          <w:rStyle w:val="normaltextrun"/>
          <w:color w:val="000000"/>
          <w:shd w:val="clear" w:color="auto" w:fill="FFFFFF"/>
        </w:rPr>
        <w:t xml:space="preserve"> poduzeća, koja često nailaze na prepreke kad traže financiranje od tradicionalnih financijskih institucija, pružanjem ciljanog financiranja kako bi se osiguralo da imaju dovoljne količine sredstava za rast i napredak; ističe da se mala i srednja poduzeća i dalje suočavaju s izazovima zbog visokih kamatnih stopa te cijena sirovina i energije;</w:t>
      </w:r>
      <w:r w:rsidRPr="00982C80">
        <w:rPr>
          <w:rStyle w:val="eop"/>
          <w:color w:val="000000"/>
          <w:shd w:val="clear" w:color="auto" w:fill="FFFFFF"/>
        </w:rPr>
        <w:t xml:space="preserve"> </w:t>
      </w:r>
    </w:p>
    <w:p w14:paraId="4E033DF8" w14:textId="77777777" w:rsidR="000375CF" w:rsidRPr="00982C80" w:rsidRDefault="000375CF" w:rsidP="000375CF">
      <w:pPr>
        <w:pStyle w:val="NormalHanging12a"/>
        <w:rPr>
          <w:rStyle w:val="normaltextrun"/>
          <w:bCs/>
          <w:iCs/>
        </w:rPr>
      </w:pPr>
      <w:r w:rsidRPr="00982C80">
        <w:rPr>
          <w:rStyle w:val="normaltextrun"/>
          <w:color w:val="000000"/>
          <w:shd w:val="clear" w:color="auto" w:fill="FFFFFF"/>
        </w:rPr>
        <w:t>14.</w:t>
      </w:r>
      <w:r w:rsidRPr="00982C80">
        <w:rPr>
          <w:rStyle w:val="normaltextrun"/>
          <w:color w:val="000000"/>
          <w:shd w:val="clear" w:color="auto" w:fill="FFFFFF"/>
        </w:rPr>
        <w:tab/>
        <w:t xml:space="preserve">podržava ulogu EIF-a u financiranju rastućih i </w:t>
      </w:r>
      <w:r w:rsidRPr="00982C80">
        <w:rPr>
          <w:rStyle w:val="normaltextrun"/>
          <w:i/>
          <w:iCs/>
          <w:color w:val="000000"/>
          <w:shd w:val="clear" w:color="auto" w:fill="FFFFFF"/>
        </w:rPr>
        <w:t>start-up</w:t>
      </w:r>
      <w:r w:rsidRPr="00982C80">
        <w:rPr>
          <w:rStyle w:val="normaltextrun"/>
          <w:color w:val="000000"/>
          <w:shd w:val="clear" w:color="auto" w:fill="FFFFFF"/>
        </w:rPr>
        <w:t xml:space="preserve"> poduzeća u Europi, među ostalim putem njegovih aktivnosti na europskom tržištu poduzetničkog kapitala; naglašava da instrumenti EIF-a moraju ostati lako dostupni manjim podnositeljima zahtjeva te poziva EIF da u skladu s time pojednostavni svoje postupke podnošenja zahtjeva; traži povećanje proračuna EIF-a namijenjenog ekosustavu poduzetničkog kapitala EU-a, u skladu s preporukom iz Draghijeva izvješća; također traži uvođenje jamstava za prvi gubitak i konvertibilnih instrumenata usmjerenih na rastuća i </w:t>
      </w:r>
      <w:r w:rsidRPr="00982C80">
        <w:rPr>
          <w:rStyle w:val="normaltextrun"/>
          <w:i/>
          <w:iCs/>
          <w:color w:val="000000"/>
          <w:shd w:val="clear" w:color="auto" w:fill="FFFFFF"/>
        </w:rPr>
        <w:t>start-up</w:t>
      </w:r>
      <w:r w:rsidRPr="00982C80">
        <w:rPr>
          <w:rStyle w:val="normaltextrun"/>
          <w:color w:val="000000"/>
          <w:shd w:val="clear" w:color="auto" w:fill="FFFFFF"/>
        </w:rPr>
        <w:t xml:space="preserve"> poduzeća;</w:t>
      </w:r>
    </w:p>
    <w:p w14:paraId="6D6D2D28" w14:textId="77777777" w:rsidR="000375CF" w:rsidRPr="00982C80" w:rsidRDefault="000375CF" w:rsidP="000375CF">
      <w:pPr>
        <w:pStyle w:val="NormalHanging12a"/>
      </w:pPr>
      <w:r w:rsidRPr="00982C80">
        <w:rPr>
          <w:rStyle w:val="normaltextrun"/>
          <w:color w:val="000000"/>
          <w:shd w:val="clear" w:color="auto" w:fill="FFFFFF"/>
        </w:rPr>
        <w:t>15.</w:t>
      </w:r>
      <w:r w:rsidRPr="00982C80">
        <w:rPr>
          <w:rStyle w:val="normaltextrun"/>
          <w:color w:val="000000"/>
          <w:shd w:val="clear" w:color="auto" w:fill="FFFFFF"/>
        </w:rPr>
        <w:tab/>
        <w:t xml:space="preserve">ističe da Grupa EIB-a najviše doprinosi razvoju europskog ekosustava poduzetničkog kapitala i privatnog vlasničkog kapitala, ali napominje da treba činiti više za potporu europskim inovacijama kako bi se </w:t>
      </w:r>
      <w:r w:rsidRPr="00982C80">
        <w:rPr>
          <w:rStyle w:val="normaltextrun"/>
          <w:i/>
          <w:iCs/>
          <w:color w:val="000000"/>
          <w:shd w:val="clear" w:color="auto" w:fill="FFFFFF"/>
        </w:rPr>
        <w:t>start-up</w:t>
      </w:r>
      <w:r w:rsidRPr="00982C80">
        <w:rPr>
          <w:rStyle w:val="normaltextrun"/>
          <w:color w:val="000000"/>
          <w:shd w:val="clear" w:color="auto" w:fill="FFFFFF"/>
        </w:rPr>
        <w:t xml:space="preserve"> poduzećima pružilo više mogućnosti za rast i pristup financiranju tijekom njihova životnog ciklusa;</w:t>
      </w:r>
      <w:r w:rsidRPr="00982C80">
        <w:rPr>
          <w:rStyle w:val="tabchar"/>
          <w:color w:val="000000"/>
          <w:shd w:val="clear" w:color="auto" w:fill="FFFFFF"/>
        </w:rPr>
        <w:t xml:space="preserve"> </w:t>
      </w:r>
      <w:r w:rsidRPr="00982C80">
        <w:rPr>
          <w:rStyle w:val="normaltextrun"/>
          <w:color w:val="000000"/>
          <w:shd w:val="clear" w:color="auto" w:fill="FFFFFF"/>
        </w:rPr>
        <w:t xml:space="preserve">napominje da, iako udio privatnih ulaganja već dolazi kroz fondove poduzetničkog kapitala, on nije dovoljan i nije </w:t>
      </w:r>
      <w:r w:rsidRPr="00982C80">
        <w:rPr>
          <w:rStyle w:val="normaltextrun"/>
          <w:color w:val="000000"/>
          <w:shd w:val="clear" w:color="auto" w:fill="FFFFFF"/>
        </w:rPr>
        <w:lastRenderedPageBreak/>
        <w:t>ravnomjerno raspoređen među državama članicama; ističe da bi unija tržišta kapitala mogla pomoći u rješavanju te neravnoteže i poboljšati pristup financiranju u svim državama članicama;</w:t>
      </w:r>
    </w:p>
    <w:p w14:paraId="106A3E1C" w14:textId="77777777" w:rsidR="000375CF" w:rsidRPr="00982C80" w:rsidRDefault="000375CF" w:rsidP="000375CF">
      <w:pPr>
        <w:pStyle w:val="NormalHanging12a"/>
        <w:rPr>
          <w:rStyle w:val="normaltextrun"/>
          <w:b/>
          <w:bCs/>
          <w:iCs/>
          <w:color w:val="000000"/>
          <w:szCs w:val="24"/>
          <w:shd w:val="clear" w:color="auto" w:fill="FFFFFF"/>
        </w:rPr>
      </w:pPr>
      <w:r w:rsidRPr="00982C80">
        <w:t>16.</w:t>
      </w:r>
      <w:r w:rsidRPr="00982C80">
        <w:tab/>
        <w:t xml:space="preserve">naglašava da se pokazalo da su instrumenti za smanjenje rizika i proračunska jamstva koje pruža EU moćna sredstva; </w:t>
      </w:r>
      <w:r w:rsidRPr="00982C80">
        <w:rPr>
          <w:rStyle w:val="normaltextrun"/>
          <w:color w:val="000000"/>
          <w:shd w:val="clear" w:color="auto" w:fill="FFFFFF"/>
        </w:rPr>
        <w:t xml:space="preserve">smatra da bi se smanjenje rizika trebalo nastaviti učinkovito, posebno za ulaganja u inovativne i strateške sektore; </w:t>
      </w:r>
      <w:r w:rsidRPr="00982C80">
        <w:t xml:space="preserve">zabrinut je zbog toga što bi, prema privremenoj evaluaciji programa InvestEU, bez povećanja proračunskih sredstava omotnice za mnoge financijske proizvode mogle biti iscrpljene do kraja 2025.; </w:t>
      </w:r>
      <w:r w:rsidRPr="00982C80">
        <w:rPr>
          <w:rStyle w:val="normaltextrun"/>
          <w:color w:val="000000"/>
          <w:shd w:val="clear" w:color="auto" w:fill="FFFFFF"/>
        </w:rPr>
        <w:t>u tom pogledu podržava prijedlog Komisije od 26. veljače 2025. o osiguravanju dodatnih sredstava za program InvestEU; traži da se financiranje u okviru programa InvestEU geografski ravnomjerno rasporedi, posebno u pogledu manjih država članica;</w:t>
      </w:r>
    </w:p>
    <w:p w14:paraId="56DD8546" w14:textId="77777777" w:rsidR="000375CF" w:rsidRPr="00982C80" w:rsidRDefault="000375CF" w:rsidP="000375CF">
      <w:pPr>
        <w:pStyle w:val="NormalHanging12a"/>
        <w:rPr>
          <w:rStyle w:val="normaltextrun"/>
          <w:bCs/>
          <w:iCs/>
          <w:color w:val="000000"/>
          <w:szCs w:val="24"/>
          <w:shd w:val="clear" w:color="auto" w:fill="FFFFFF"/>
        </w:rPr>
      </w:pPr>
      <w:r w:rsidRPr="00982C80">
        <w:t>17.</w:t>
      </w:r>
      <w:r w:rsidRPr="00982C80">
        <w:tab/>
        <w:t>podsjeća da se proračunska jamstva EU-a temelje na sredstvima poreznih obveznika i da bi neispunjavanje obveza u vezi s projektima koje podupire EIB moglo izravno utjecati na proračun EU-a;</w:t>
      </w:r>
    </w:p>
    <w:p w14:paraId="0B4EA4C0" w14:textId="77777777" w:rsidR="000375CF" w:rsidRPr="00982C80" w:rsidRDefault="000375CF" w:rsidP="000375CF">
      <w:pPr>
        <w:pStyle w:val="NormalHanging12a"/>
        <w:rPr>
          <w:rStyle w:val="normaltextrun"/>
          <w:bCs/>
          <w:iCs/>
          <w:color w:val="000000"/>
          <w:szCs w:val="24"/>
        </w:rPr>
      </w:pPr>
      <w:r w:rsidRPr="00982C80">
        <w:t>18.</w:t>
      </w:r>
      <w:r w:rsidRPr="00982C80">
        <w:tab/>
        <w:t xml:space="preserve">podržava kontinuirano širenje EIB-ove mreže </w:t>
      </w:r>
      <w:r w:rsidRPr="00982C80">
        <w:rPr>
          <w:rStyle w:val="normaltextrun"/>
          <w:color w:val="000000"/>
          <w:shd w:val="clear" w:color="auto" w:fill="FFFFFF"/>
        </w:rPr>
        <w:t>europskih razvojnih banaka i drugih međunarodnih financijskih institucija kako bi se dodatno potaknula javna i privatna ulaganja te</w:t>
      </w:r>
      <w:r w:rsidRPr="00982C80">
        <w:t xml:space="preserve"> osigurala široka geografska i sektorska pokrivenost</w:t>
      </w:r>
      <w:r w:rsidRPr="00982C80">
        <w:rPr>
          <w:rStyle w:val="normaltextrun"/>
          <w:color w:val="000000"/>
          <w:shd w:val="clear" w:color="auto" w:fill="FFFFFF"/>
        </w:rPr>
        <w:t xml:space="preserve">; podsjeća da EIB provodi 75 % programa InvestEU; </w:t>
      </w:r>
      <w:r w:rsidRPr="00982C80">
        <w:t xml:space="preserve">traži da se u okviru komponente financijskog instrumenta </w:t>
      </w:r>
      <w:r w:rsidRPr="00982C80">
        <w:rPr>
          <w:rStyle w:val="normaltextrun"/>
          <w:color w:val="000000"/>
          <w:shd w:val="clear" w:color="auto" w:fill="FFFFFF"/>
        </w:rPr>
        <w:t xml:space="preserve">Europskog fonda za konkurentnost </w:t>
      </w:r>
      <w:r w:rsidRPr="00982C80">
        <w:t xml:space="preserve">iskoristi </w:t>
      </w:r>
      <w:r w:rsidRPr="00982C80">
        <w:rPr>
          <w:rStyle w:val="normaltextrun"/>
          <w:color w:val="000000"/>
          <w:shd w:val="clear" w:color="auto" w:fill="FFFFFF"/>
        </w:rPr>
        <w:t xml:space="preserve">stručno znanje </w:t>
      </w:r>
      <w:r w:rsidRPr="00982C80">
        <w:t>nacionalnih razvojnih banaka i institucija, posebno njihova znanja o lokalnim i regionalnim akterima;</w:t>
      </w:r>
      <w:r w:rsidRPr="00982C80">
        <w:rPr>
          <w:rStyle w:val="normaltextrun"/>
          <w:color w:val="000000"/>
          <w:shd w:val="clear" w:color="auto" w:fill="FFFFFF"/>
        </w:rPr>
        <w:t xml:space="preserve"> </w:t>
      </w:r>
      <w:r w:rsidRPr="00982C80">
        <w:rPr>
          <w:rStyle w:val="normaltextrun"/>
          <w:color w:val="000000"/>
        </w:rPr>
        <w:t>u tom pogledu traži da se dodatno istraže mogućnosti kombiniranja instrumenata EIB-a i nacionalnih razvojnih banaka i institucija</w:t>
      </w:r>
      <w:r w:rsidRPr="00982C80">
        <w:t xml:space="preserve"> kako bi se osiguralo da se takvim instrumentima ne ugrožavaju sredstva koja su već namijenjena nacionalnim razvojnim bankama i institucijama</w:t>
      </w:r>
      <w:r w:rsidRPr="00982C80">
        <w:rPr>
          <w:rStyle w:val="normaltextrun"/>
          <w:color w:val="000000"/>
        </w:rPr>
        <w:t>;</w:t>
      </w:r>
    </w:p>
    <w:p w14:paraId="631316D1" w14:textId="77777777" w:rsidR="000375CF" w:rsidRPr="00982C80" w:rsidRDefault="000375CF" w:rsidP="000375CF">
      <w:pPr>
        <w:pStyle w:val="NormalHanging12a"/>
        <w:rPr>
          <w:color w:val="808080" w:themeColor="background1" w:themeShade="80"/>
        </w:rPr>
      </w:pPr>
      <w:r w:rsidRPr="00982C80">
        <w:t>19.</w:t>
      </w:r>
      <w:r w:rsidRPr="00982C80">
        <w:tab/>
        <w:t>poziva EIB da poveća svoje povlaštene zajmove lokalnim i nacionalnim financijskim posrednicima, uključujući konzorcije za kreditna jamstva, institucije za mikrofinanciranje, etičke banke i kolektivna tijela za jamstva, koji rade na olakšavanju pristupa kreditiranju za mala i srednja poduzeća, s posebnim naglaskom na ruralnim područjima, područjima u unutrašnjosti i otočnim područjima, najudaljenijim regijama i područjima koja prolaze kroz gospodarsku i ekološku tranziciju</w:t>
      </w:r>
      <w:r w:rsidRPr="00982C80">
        <w:rPr>
          <w:rStyle w:val="normaltextrun"/>
          <w:shd w:val="clear" w:color="auto" w:fill="FFFFFF"/>
        </w:rPr>
        <w:t>;</w:t>
      </w:r>
    </w:p>
    <w:p w14:paraId="6E5F2B30" w14:textId="77777777" w:rsidR="000375CF" w:rsidRPr="00982C80" w:rsidRDefault="000375CF" w:rsidP="000375CF">
      <w:pPr>
        <w:pStyle w:val="Normal12a24b"/>
      </w:pPr>
      <w:r w:rsidRPr="00982C80">
        <w:rPr>
          <w:rStyle w:val="BoldItalic"/>
        </w:rPr>
        <w:t>Učvršćivanje uloge EIB-a kao klimatske banke EU-a</w:t>
      </w:r>
    </w:p>
    <w:p w14:paraId="5408B36B" w14:textId="77777777" w:rsidR="000375CF" w:rsidRPr="00982C80" w:rsidRDefault="000375CF" w:rsidP="000375CF">
      <w:pPr>
        <w:pStyle w:val="NormalHanging12a"/>
        <w:rPr>
          <w:szCs w:val="24"/>
        </w:rPr>
      </w:pPr>
      <w:r w:rsidRPr="00982C80">
        <w:t>20.</w:t>
      </w:r>
      <w:r w:rsidRPr="00982C80">
        <w:tab/>
        <w:t>prepoznaje ulogu EIB-a kao klimatske banke i njegovo usklađivanje s okvirom EU-a za održivo financiranje, uključujući, prema potrebi, integraciju kriterija taksonomije</w:t>
      </w:r>
      <w:r w:rsidRPr="00982C80">
        <w:rPr>
          <w:rStyle w:val="FootnoteReference"/>
          <w:szCs w:val="24"/>
        </w:rPr>
        <w:footnoteReference w:id="13"/>
      </w:r>
      <w:r w:rsidRPr="00982C80">
        <w:rPr>
          <w:rStyle w:val="normaltextrun"/>
        </w:rPr>
        <w:t>, podupiranje tranzicije osiguravanjem financiranja održivih i čistih tehnologija te podupiranje nastojanja Unije za dekarbonizaciju gospodarstva EU-a</w:t>
      </w:r>
      <w:r w:rsidRPr="00982C80">
        <w:t xml:space="preserve">; podsjeća da financijski tokovi EIB-a moraju biti usklađeni s ciljem klimatske neutralnosti EU-a do 2050. i klimatskim ciljevima za 2030.; napominje </w:t>
      </w:r>
      <w:r w:rsidRPr="00982C80">
        <w:rPr>
          <w:rStyle w:val="normaltextrun"/>
          <w:color w:val="000000"/>
          <w:shd w:val="clear" w:color="auto" w:fill="FFFFFF"/>
        </w:rPr>
        <w:t xml:space="preserve">da su svi korporativni klijenti </w:t>
      </w:r>
      <w:r w:rsidRPr="00982C80">
        <w:rPr>
          <w:rStyle w:val="normaltextrun"/>
          <w:color w:val="000000"/>
          <w:shd w:val="clear" w:color="auto" w:fill="FFFFFF"/>
        </w:rPr>
        <w:lastRenderedPageBreak/>
        <w:t>financiranja EIB-a ugovorno obvezni objaviti vjerodostojnu strategiju za usklađivanje s Pariškim sporazumom („planovi dekarbonizacije”)</w:t>
      </w:r>
      <w:r w:rsidRPr="00982C80">
        <w:rPr>
          <w:rStyle w:val="FootnoteReference"/>
          <w:bCs/>
          <w:iCs/>
          <w:color w:val="000000"/>
          <w:szCs w:val="24"/>
          <w:shd w:val="clear" w:color="auto" w:fill="FFFFFF"/>
        </w:rPr>
        <w:footnoteReference w:id="14"/>
      </w:r>
      <w:r w:rsidRPr="00982C80">
        <w:rPr>
          <w:rStyle w:val="normaltextrun"/>
          <w:color w:val="000000"/>
          <w:shd w:val="clear" w:color="auto" w:fill="FFFFFF"/>
        </w:rPr>
        <w:t>;</w:t>
      </w:r>
    </w:p>
    <w:p w14:paraId="6CD7E7C2" w14:textId="77777777" w:rsidR="000375CF" w:rsidRPr="00982C80" w:rsidRDefault="000375CF" w:rsidP="000375CF">
      <w:pPr>
        <w:pStyle w:val="NormalHanging12a"/>
        <w:rPr>
          <w:szCs w:val="24"/>
        </w:rPr>
      </w:pPr>
      <w:r w:rsidRPr="00982C80">
        <w:t>21.</w:t>
      </w:r>
      <w:r w:rsidRPr="00982C80">
        <w:tab/>
        <w:t>pozdravlja ulaganja EIB-a u klimu i okoliš, koja su 2024. ukupno iznosila 50,7 milijardi EUR, čime je premašen cilj da se najmanje 50 % ukupnog financiranja usmjeri na djelovanje u području klime i okolišnu održivost; poziva EIB da zadrži svoje ambiciozne ciljeve, naglašavajući pritom da ta obveza povećava konkurentnost, energetsku sigurnost i industrijsku otpornost Unije;</w:t>
      </w:r>
    </w:p>
    <w:p w14:paraId="31E30027" w14:textId="77777777" w:rsidR="000375CF" w:rsidRPr="00982C80" w:rsidRDefault="000375CF" w:rsidP="000375CF">
      <w:pPr>
        <w:pStyle w:val="NormalHanging12a"/>
        <w:rPr>
          <w:rStyle w:val="normaltextrun"/>
          <w:bCs/>
          <w:iCs/>
          <w:color w:val="000000"/>
          <w:shd w:val="clear" w:color="auto" w:fill="FFFFFF"/>
        </w:rPr>
      </w:pPr>
      <w:r w:rsidRPr="00982C80">
        <w:rPr>
          <w:rStyle w:val="normaltextrun"/>
          <w:color w:val="000000"/>
          <w:shd w:val="clear" w:color="auto" w:fill="FFFFFF"/>
        </w:rPr>
        <w:t>22.</w:t>
      </w:r>
      <w:r w:rsidRPr="00982C80">
        <w:rPr>
          <w:rStyle w:val="normaltextrun"/>
          <w:color w:val="000000"/>
          <w:shd w:val="clear" w:color="auto" w:fill="FFFFFF"/>
        </w:rPr>
        <w:tab/>
        <w:t xml:space="preserve">podsjeća da zelena tranzicija mora biti uključiva, pravedna i konkurentna te da zelena ulaganja moraju biti održiva; stoga očekuje od EIB-a da iskoristi svoje zajmove, financijske instrumente, tehničku pomoć i savjetodavne usluge kako bi se pružila potpora građanima i poduzećima suočenima sa socioekonomskim izazovima koji su nastali zbog nastojanja da postignu klimatsku neutralnost do 2050.; </w:t>
      </w:r>
      <w:r w:rsidRPr="00982C80">
        <w:t>naglašava da treba podupirati industrijsko restrukturiranje, prekvalificiranje radne snage i stvaranje novih mogućnosti zapošljavanja u pogođenim regijama; poziva EIB da podupre projekte kojima se osiguravaju priuštiva obnovljiva energija, stanovanje i javne usluge, inicijative pod vodstvom zajednice, kao i male projekte koji su u prvom redu usmjereni na borbu protiv energetskog siromaštva;</w:t>
      </w:r>
    </w:p>
    <w:p w14:paraId="6C89A99D" w14:textId="77777777" w:rsidR="000375CF" w:rsidRPr="00982C80" w:rsidRDefault="000375CF" w:rsidP="000375CF">
      <w:pPr>
        <w:pStyle w:val="NormalHanging12a"/>
      </w:pPr>
      <w:r w:rsidRPr="00982C80">
        <w:t>23.</w:t>
      </w:r>
      <w:r w:rsidRPr="00982C80">
        <w:tab/>
        <w:t xml:space="preserve">podržava ulaganja EIB-a u obnovljivu energiju, energetsku učinkovitost, interkonekcijske vodove te elektroenergetske mreže i skladištenje, uključujući njegovu potporu planu REPowerEU; </w:t>
      </w:r>
      <w:r w:rsidRPr="00982C80">
        <w:rPr>
          <w:rStyle w:val="normaltextrun"/>
          <w:color w:val="000000"/>
          <w:shd w:val="clear" w:color="auto" w:fill="FFFFFF"/>
        </w:rPr>
        <w:t>naglašava važnost usmjeravanja na projekte s velikim gospodarskim učinkom i mjerljivim koristima za klimu;</w:t>
      </w:r>
      <w:r w:rsidRPr="00982C80">
        <w:t xml:space="preserve"> </w:t>
      </w:r>
      <w:r w:rsidRPr="00982C80">
        <w:rPr>
          <w:rStyle w:val="normaltextrun"/>
          <w:color w:val="000000"/>
          <w:shd w:val="clear" w:color="auto" w:fill="FFFFFF"/>
        </w:rPr>
        <w:t>poziva EIB da preuzme ulogu u mobilizaciji privatnog kapitala za ulaganja u mrežu radi potpore smanjenju cijena energije; posebno skreće pozornost na povećana ulaganja u</w:t>
      </w:r>
      <w:r w:rsidRPr="00982C80">
        <w:rPr>
          <w:color w:val="000000"/>
        </w:rPr>
        <w:t xml:space="preserve"> tehnologije u nastajanju za elektrifikaciju i dekarbonizaciju industrije i </w:t>
      </w:r>
      <w:r w:rsidRPr="00982C80">
        <w:rPr>
          <w:rStyle w:val="normaltextrun"/>
          <w:color w:val="000000"/>
          <w:shd w:val="clear" w:color="auto" w:fill="FFFFFF"/>
        </w:rPr>
        <w:t>prepoznaje njihovu ulogu u podupiranju prelaska na klimatsku neutralnost smanjenjem emisija iz industrijskih sektora u kojima je teško smanjiti emisije te istovremeno izražava zabrinutost zbog njihova mogućeg učinka na opskrbu vodom u određenim regijama;</w:t>
      </w:r>
    </w:p>
    <w:p w14:paraId="783CD6E1" w14:textId="77777777" w:rsidR="000375CF" w:rsidRDefault="000375CF" w:rsidP="000375CF">
      <w:pPr>
        <w:pStyle w:val="NormalHanging12a"/>
      </w:pPr>
      <w:r w:rsidRPr="00982C80">
        <w:t>24.</w:t>
      </w:r>
      <w:r w:rsidRPr="00982C80">
        <w:tab/>
        <w:t xml:space="preserve">naglašava da je važno riješiti problem visokih troškova energije u EU-u kako bi se povećala konkurentnost europskih poduzeća; </w:t>
      </w:r>
      <w:r w:rsidRPr="00982C80">
        <w:rPr>
          <w:rStyle w:val="normaltextrun"/>
          <w:color w:val="000000"/>
          <w:shd w:val="clear" w:color="auto" w:fill="FFFFFF"/>
        </w:rPr>
        <w:t xml:space="preserve">ističe da je stabilna opskrba energijom po konkurentnim cijenama jedan od temelja uspješne industrijske politike; poziva Grupu EIB-a da pruži potporu posebno malim i srednjim poduzećima koja su pod pritiskom zbog energetskih troškova, među ostalim ciljanim financiranjem i savjetodavnim uslugama radi poboljšanja energetske učinkovitosti i otpornosti; </w:t>
      </w:r>
      <w:r w:rsidRPr="00982C80">
        <w:t xml:space="preserve">poziva EIB da nastavi podupirati energetski intenzivne industrije kako bi se osiguralo da se taj izrazito strateški važan sektor može uspješno nositi s energetskom tranzicijom; </w:t>
      </w:r>
    </w:p>
    <w:p w14:paraId="1BAD5E32" w14:textId="21605F93" w:rsidR="0031309E" w:rsidRPr="0031309E" w:rsidRDefault="0031309E" w:rsidP="000375CF">
      <w:pPr>
        <w:pStyle w:val="NormalHanging12a"/>
        <w:rPr>
          <w:rStyle w:val="normaltextrun"/>
          <w:bCs/>
          <w:iCs/>
          <w:color w:val="000000"/>
          <w:shd w:val="clear" w:color="auto" w:fill="FFFFFF"/>
        </w:rPr>
      </w:pPr>
      <w:r w:rsidRPr="007C4A52">
        <w:rPr>
          <w:bCs/>
          <w:iCs/>
        </w:rPr>
        <w:t>2</w:t>
      </w:r>
      <w:r>
        <w:rPr>
          <w:bCs/>
          <w:iCs/>
        </w:rPr>
        <w:t>5.</w:t>
      </w:r>
      <w:r w:rsidRPr="0031309E">
        <w:rPr>
          <w:bCs/>
          <w:iCs/>
        </w:rPr>
        <w:tab/>
      </w:r>
      <w:r w:rsidRPr="007C4A52">
        <w:rPr>
          <w:bCs/>
          <w:iCs/>
        </w:rPr>
        <w:t xml:space="preserve">prima na znanje ulogu unutarnjeg nadzora koju provodi Revizijski odbor EIB-a; ističe da se vanjski bonitetni nadzor ne provodi u skladu s međunarodno prihvaćenim nadzornim standardima, osim u području upravljanja likvidnošću; potiče svoje Vijeće guvernera da, s obzirom na veličinu, složenost i posebnosti poslovnog modela EIB-a, uspostavi odgovarajuće mehanizme za usklađivanje s najvišim standardima vanjskog </w:t>
      </w:r>
      <w:r w:rsidRPr="007C4A52">
        <w:rPr>
          <w:bCs/>
          <w:iCs/>
        </w:rPr>
        <w:lastRenderedPageBreak/>
        <w:t>bonitetnog nadzora, uzimajući pritom u obzir potrebne prilagodbe koje proizlaze iz jedinstvenog poslovnog modela EIB-a;</w:t>
      </w:r>
    </w:p>
    <w:p w14:paraId="510C76D7" w14:textId="1F0A5D60" w:rsidR="000375CF" w:rsidRPr="00982C80" w:rsidRDefault="00DE31B2" w:rsidP="000375CF">
      <w:pPr>
        <w:pStyle w:val="NormalHanging12a"/>
        <w:rPr>
          <w:rStyle w:val="normaltextrun"/>
          <w:bCs/>
          <w:iCs/>
          <w:color w:val="000000"/>
          <w:szCs w:val="24"/>
          <w:shd w:val="clear" w:color="auto" w:fill="FFFFFF"/>
        </w:rPr>
      </w:pPr>
      <w:r>
        <w:t>26</w:t>
      </w:r>
      <w:r w:rsidR="000375CF" w:rsidRPr="00982C80">
        <w:t>.</w:t>
      </w:r>
      <w:r w:rsidR="000375CF" w:rsidRPr="00982C80">
        <w:tab/>
      </w:r>
      <w:r w:rsidR="000375CF" w:rsidRPr="00982C80">
        <w:rPr>
          <w:rStyle w:val="normaltextrun"/>
          <w:color w:val="000000"/>
          <w:shd w:val="clear" w:color="auto" w:fill="FFFFFF"/>
        </w:rPr>
        <w:t>napominje da bi u svijetu prepunom neizvjesnosti, ulaganja trebala biti usmjerena na pripravnost EU-a za suočavanje sa šokovima;</w:t>
      </w:r>
      <w:r w:rsidR="000375CF" w:rsidRPr="00982C80">
        <w:rPr>
          <w:rStyle w:val="normaltextrun"/>
          <w:b/>
          <w:i/>
          <w:color w:val="000000"/>
          <w:shd w:val="clear" w:color="auto" w:fill="FFFFFF"/>
        </w:rPr>
        <w:t xml:space="preserve"> </w:t>
      </w:r>
      <w:r w:rsidR="000375CF" w:rsidRPr="00982C80">
        <w:t xml:space="preserve">naglašava potrebu za povećanim ulaganjima u prilagodbu klimatskim promjenama i otpornost na njih; potiče daljnja istraživanja i razvoj, među ostalim inovativnih tehnologija, kako bismo bili spremni za klimatske promjene; </w:t>
      </w:r>
      <w:r w:rsidR="000375CF" w:rsidRPr="00982C80">
        <w:rPr>
          <w:rStyle w:val="normaltextrun"/>
          <w:color w:val="000000"/>
          <w:shd w:val="clear" w:color="auto" w:fill="FFFFFF"/>
        </w:rPr>
        <w:t>traži da se poboljša pristup financiranju za mala i srednja poduzeća u području inovativnih zelenih tehnologija; podsjeća da se čistom tehnologijom jača suverenitet EU-a i da je ona ključna za konkurentnost, ali da joj zbog zelene premije ipak prijete još veći izazovi kada je riječ o financiranju u odnosu na postojeće tehnologije; ističe da se u Draghijevu izvješću traži više programa javnih jamstava i protujamstava kako bi se pokrili rizici ulaganja u projekte proizvodnje čistih tehnologija;</w:t>
      </w:r>
    </w:p>
    <w:p w14:paraId="6637EEBE" w14:textId="6BACFDD8" w:rsidR="000375CF" w:rsidRPr="00982C80" w:rsidRDefault="00DE31B2" w:rsidP="000375CF">
      <w:pPr>
        <w:pStyle w:val="NormalHanging12a"/>
        <w:rPr>
          <w:rStyle w:val="normaltextrun"/>
          <w:bCs/>
          <w:iCs/>
          <w:color w:val="000000"/>
          <w:szCs w:val="24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>27</w:t>
      </w:r>
      <w:r w:rsidR="000375CF" w:rsidRPr="00982C80">
        <w:rPr>
          <w:rStyle w:val="normaltextrun"/>
          <w:color w:val="000000"/>
          <w:shd w:val="clear" w:color="auto" w:fill="FFFFFF"/>
        </w:rPr>
        <w:t>.</w:t>
      </w:r>
      <w:r w:rsidR="000375CF" w:rsidRPr="00982C80">
        <w:rPr>
          <w:rStyle w:val="normaltextrun"/>
          <w:color w:val="000000"/>
          <w:shd w:val="clear" w:color="auto" w:fill="FFFFFF"/>
        </w:rPr>
        <w:tab/>
        <w:t>podsjeća da je EIB bio prvi izdavatelj zelenih obveznica i da je sada najveći izdavatelj zelenih obveznica u više valuta; podržava činjenicu da je EIB 2. travnja 2025. izdao svoju prvu obveznicu za klimatsku osviještenost usklađenu s Uredbom EU-a o standardu za zelene obveznice</w:t>
      </w:r>
      <w:r w:rsidR="000375CF" w:rsidRPr="00982C80">
        <w:rPr>
          <w:rStyle w:val="FootnoteReference"/>
          <w:bCs/>
          <w:iCs/>
          <w:color w:val="000000"/>
          <w:szCs w:val="24"/>
          <w:shd w:val="clear" w:color="auto" w:fill="FFFFFF"/>
        </w:rPr>
        <w:footnoteReference w:id="15"/>
      </w:r>
      <w:r w:rsidR="000375CF" w:rsidRPr="00982C80">
        <w:rPr>
          <w:rStyle w:val="normaltextrun"/>
          <w:color w:val="000000"/>
          <w:shd w:val="clear" w:color="auto" w:fill="FFFFFF"/>
        </w:rPr>
        <w:t>; ističe ključnu ulogu EIB-a u razvoju tržišta zelenih obveznica i pružanju financijskih rješenja za održiva poduzeća;</w:t>
      </w:r>
      <w:r w:rsidR="000375CF" w:rsidRPr="00982C80">
        <w:t xml:space="preserve"> poziva Komisiju i Grupu EIB-a da zadrže vodeći položaj EU-a u pogledu zelenih i digitalnih obveznica;</w:t>
      </w:r>
    </w:p>
    <w:p w14:paraId="0ACEEAA9" w14:textId="2D164BDF" w:rsidR="000375CF" w:rsidRPr="00982C80" w:rsidRDefault="00DE31B2" w:rsidP="000375CF">
      <w:pPr>
        <w:pStyle w:val="NormalHanging12a"/>
        <w:rPr>
          <w:rStyle w:val="normaltextrun"/>
          <w:bCs/>
          <w:iCs/>
          <w:color w:val="000000"/>
          <w:szCs w:val="24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>28</w:t>
      </w:r>
      <w:r w:rsidR="000375CF" w:rsidRPr="00982C80">
        <w:rPr>
          <w:rStyle w:val="normaltextrun"/>
          <w:color w:val="000000"/>
          <w:shd w:val="clear" w:color="auto" w:fill="FFFFFF"/>
        </w:rPr>
        <w:t>.</w:t>
      </w:r>
      <w:r w:rsidR="000375CF" w:rsidRPr="00982C80">
        <w:rPr>
          <w:rStyle w:val="normaltextrun"/>
          <w:color w:val="000000"/>
          <w:shd w:val="clear" w:color="auto" w:fill="FFFFFF"/>
        </w:rPr>
        <w:tab/>
        <w:t>podsjeća na predanost EIB-a poštovanju Konvencije o biološkoj raznolikosti i globalnog okvira za biološku raznolikost nakon 2020., te podupire ulaganja EIB-a u zaštitu biološke raznolikosti i očuvanje prirodnih resursa; pozdravlja sporazum EIB-a i Europske agencije za okoliš o produbljivanju suradnje u području biološke raznolikosti i djelovanja u području klime; ističe da bi, kako bi se ostvarile dugoročne koristi od obnove, očuvanja i zaštite biološke raznolikosti i prirode, potencijalnim korisnicima trebalo staviti na raspolaganje privlačne programe financiranja radi njihova dobrovoljnog sudjelovanja u takvim praksama;</w:t>
      </w:r>
    </w:p>
    <w:p w14:paraId="3F0CFDA2" w14:textId="77777777" w:rsidR="000375CF" w:rsidRPr="00982C80" w:rsidRDefault="000375CF" w:rsidP="000375CF">
      <w:pPr>
        <w:pStyle w:val="Normal12a24b"/>
      </w:pPr>
      <w:r w:rsidRPr="00982C80">
        <w:rPr>
          <w:rStyle w:val="BoldItalic"/>
        </w:rPr>
        <w:t xml:space="preserve">Financiranje mira, sigurnosti i obrane </w:t>
      </w:r>
    </w:p>
    <w:p w14:paraId="706AF814" w14:textId="4B696FD8" w:rsidR="000375CF" w:rsidRPr="00982C80" w:rsidRDefault="00DE31B2" w:rsidP="000375CF">
      <w:pPr>
        <w:pStyle w:val="NormalHanging12a"/>
      </w:pPr>
      <w:r>
        <w:t>29</w:t>
      </w:r>
      <w:r w:rsidR="000375CF" w:rsidRPr="00982C80">
        <w:t>.</w:t>
      </w:r>
      <w:r w:rsidR="000375CF" w:rsidRPr="00982C80">
        <w:tab/>
        <w:t xml:space="preserve">pozdravlja proaktivan pristup EIB-a u području sigurnosti i obrane; ističe činjenicu da su se ulaganja u taj sektor 2024. udvostručila i dosegla milijardu EUR, a da bi se prema planu EIB-a za 2025. trebala ponovno udvostručiti na rekordne dvije milijarde EUR; </w:t>
      </w:r>
      <w:r w:rsidR="000375CF" w:rsidRPr="00982C80">
        <w:rPr>
          <w:rStyle w:val="normaltextrun"/>
          <w:color w:val="000000"/>
          <w:shd w:val="clear" w:color="auto" w:fill="FFFFFF"/>
        </w:rPr>
        <w:t>naglašava da se većim ulaganjima EIB-a u obrambeni sektor mogu potaknuti ulaganja komercijalnih banaka u taj sektor;</w:t>
      </w:r>
      <w:r w:rsidR="000375CF" w:rsidRPr="00982C80">
        <w:t xml:space="preserve"> </w:t>
      </w:r>
      <w:r w:rsidR="000375CF" w:rsidRPr="00982C80">
        <w:rPr>
          <w:rStyle w:val="normaltextrun"/>
          <w:color w:val="000000"/>
        </w:rPr>
        <w:t xml:space="preserve">napominje, međutim, da ti iznosi čine manje od 1,1 % ulaganja EIB-a za 2024. (88,8 milijardi EUR) i 2,2 % njegovih ciljeva financiranja za 2025. (95 milijardi EUR) </w:t>
      </w:r>
      <w:r w:rsidR="000375CF" w:rsidRPr="00982C80">
        <w:t xml:space="preserve">te naglašava da oni mogu imati samo komplementarnu ulogu u pokrivanju očekivanih novih potreba za financiranjem u procijenjenom iznosu od 33,6 milijardi EUR do 48 milijardi EUR za poduzeća iz obrambenog sektora </w:t>
      </w:r>
      <w:r w:rsidR="000375CF" w:rsidRPr="00982C80">
        <w:rPr>
          <w:rStyle w:val="normaltextrun"/>
          <w:color w:val="000000"/>
        </w:rPr>
        <w:t xml:space="preserve">kako bi se zadovoljilo očekivano povećanje zahtjeva u okviru plana </w:t>
      </w:r>
      <w:r w:rsidR="000375CF" w:rsidRPr="00982C80">
        <w:rPr>
          <w:rStyle w:val="normaltextrun"/>
          <w:color w:val="000000"/>
          <w:shd w:val="clear" w:color="auto" w:fill="FFFFFF"/>
        </w:rPr>
        <w:t>„ReArm Europe”</w:t>
      </w:r>
      <w:r w:rsidR="000375CF" w:rsidRPr="00982C80">
        <w:rPr>
          <w:rStyle w:val="normaltextrun"/>
          <w:color w:val="000000"/>
        </w:rPr>
        <w:t>;</w:t>
      </w:r>
      <w:r w:rsidR="000375CF" w:rsidRPr="0001364F">
        <w:rPr>
          <w:rStyle w:val="normaltextrun"/>
          <w:bCs/>
          <w:iCs/>
          <w:color w:val="000000"/>
        </w:rPr>
        <w:t xml:space="preserve"> </w:t>
      </w:r>
      <w:r w:rsidR="000375CF" w:rsidRPr="00982C80">
        <w:t xml:space="preserve">naglašava da je financiranje na europskoj razini ključno za zadovoljavanje znatnih potreba država članica za financiranjem; </w:t>
      </w:r>
      <w:r w:rsidR="000375CF" w:rsidRPr="00982C80">
        <w:rPr>
          <w:rStyle w:val="normaltextrun"/>
          <w:color w:val="000000"/>
          <w:shd w:val="clear" w:color="auto" w:fill="FFFFFF"/>
        </w:rPr>
        <w:t xml:space="preserve">naglašava da svako </w:t>
      </w:r>
      <w:r w:rsidR="000375CF" w:rsidRPr="00982C80">
        <w:rPr>
          <w:rStyle w:val="normaltextrun"/>
          <w:color w:val="000000"/>
          <w:shd w:val="clear" w:color="auto" w:fill="FFFFFF"/>
        </w:rPr>
        <w:lastRenderedPageBreak/>
        <w:t>buduće strukturno europsko financiranje obrane mora biti osmišljeno uz snažan nadzor i postavljanje jasnih uvjeta, oslanjajući se na iskustva stečena iz postojećih instrumenata</w:t>
      </w:r>
      <w:r w:rsidR="000375CF" w:rsidRPr="00982C80">
        <w:t>;</w:t>
      </w:r>
    </w:p>
    <w:p w14:paraId="52BC1B5D" w14:textId="26F49666" w:rsidR="000375CF" w:rsidRPr="00982C80" w:rsidRDefault="00DE31B2" w:rsidP="000375CF">
      <w:pPr>
        <w:pStyle w:val="NormalHanging12a"/>
      </w:pPr>
      <w:r>
        <w:rPr>
          <w:rStyle w:val="normaltextrun"/>
          <w:color w:val="000000"/>
          <w:shd w:val="clear" w:color="auto" w:fill="FFFFFF"/>
        </w:rPr>
        <w:t>30</w:t>
      </w:r>
      <w:r w:rsidR="000375CF" w:rsidRPr="00982C80">
        <w:rPr>
          <w:rStyle w:val="normaltextrun"/>
          <w:color w:val="000000"/>
          <w:shd w:val="clear" w:color="auto" w:fill="FFFFFF"/>
        </w:rPr>
        <w:t>.</w:t>
      </w:r>
      <w:r w:rsidR="000375CF" w:rsidRPr="00982C80">
        <w:rPr>
          <w:rStyle w:val="normaltextrun"/>
          <w:color w:val="000000"/>
          <w:shd w:val="clear" w:color="auto" w:fill="FFFFFF"/>
        </w:rPr>
        <w:tab/>
        <w:t xml:space="preserve">podržava kontinuiranu i ojačanu ulogu EIB-a u jačanju sigurnosti Europe ciljanim ulaganjima u obrambenu i civilnu infrastrukturu te </w:t>
      </w:r>
      <w:r w:rsidR="000375CF" w:rsidRPr="00982C80">
        <w:rPr>
          <w:rStyle w:val="normaltextrun"/>
          <w:color w:val="000000"/>
        </w:rPr>
        <w:t xml:space="preserve">naglašava potrebu za usmjeravanjem </w:t>
      </w:r>
      <w:r w:rsidR="000375CF" w:rsidRPr="00982C80">
        <w:rPr>
          <w:rStyle w:val="normaltextrun"/>
          <w:color w:val="000000"/>
          <w:shd w:val="clear" w:color="auto" w:fill="FFFFFF"/>
        </w:rPr>
        <w:t>strateških ulaganja</w:t>
      </w:r>
      <w:r w:rsidR="000375CF" w:rsidRPr="00982C80">
        <w:rPr>
          <w:rStyle w:val="normaltextrun"/>
          <w:color w:val="000000"/>
        </w:rPr>
        <w:t xml:space="preserve"> u projekte kojima se ostvaruje europska dodana vrijednost i </w:t>
      </w:r>
      <w:r w:rsidR="000375CF" w:rsidRPr="00982C80">
        <w:rPr>
          <w:rStyle w:val="normaltextrun"/>
          <w:color w:val="000000"/>
          <w:shd w:val="clear" w:color="auto" w:fill="FFFFFF"/>
        </w:rPr>
        <w:t>u tehnologije s dvojnom namjenom kojima se doprinosi i civilnim i obrambenim ciljevima, u skladu s općim ciljevima EU-a u pogledu poticanja inovacija i jačanja sigurnosti i otpornosti Unije;</w:t>
      </w:r>
      <w:r w:rsidR="000375CF" w:rsidRPr="00982C80">
        <w:rPr>
          <w:rStyle w:val="normaltextrun"/>
          <w:color w:val="000000"/>
        </w:rPr>
        <w:t xml:space="preserve"> </w:t>
      </w:r>
      <w:r w:rsidR="000375CF" w:rsidRPr="00982C80">
        <w:rPr>
          <w:rStyle w:val="normaltextrun"/>
          <w:color w:val="000000"/>
          <w:shd w:val="clear" w:color="auto" w:fill="FFFFFF"/>
        </w:rPr>
        <w:t>naglašava da učinkovite inovacije u području obrane ovise o bliskoj suradnji između akademske zajednice, istraživačkih institucija i privatne industrije</w:t>
      </w:r>
      <w:r w:rsidR="000375CF" w:rsidRPr="00982C80">
        <w:t xml:space="preserve"> te potiče EIB da djeluje kao katalizator u strukturiranju dugoročnih javno-privatnih partnerstava s pomoću ciljanih financijskih instrumenata;</w:t>
      </w:r>
    </w:p>
    <w:p w14:paraId="1572A19E" w14:textId="103A943C" w:rsidR="000375CF" w:rsidRPr="00982C80" w:rsidRDefault="00DE31B2" w:rsidP="000375CF">
      <w:pPr>
        <w:pStyle w:val="NormalHanging12a"/>
      </w:pPr>
      <w:r>
        <w:t>31</w:t>
      </w:r>
      <w:r w:rsidR="000375CF" w:rsidRPr="00982C80">
        <w:t>.</w:t>
      </w:r>
      <w:r w:rsidR="000375CF" w:rsidRPr="00982C80">
        <w:tab/>
        <w:t>pozdravlja plan EIB-a da revidira svoj operativni okvir, uspostavljanjem namjenskog transverzalnog cilja javne politike za poboljšanje mira i sigurnosti u Europi, uz ambicioznu dodjelu financijskih sredstava i kapitala</w:t>
      </w:r>
      <w:r w:rsidR="000375CF" w:rsidRPr="00982C80">
        <w:rPr>
          <w:rStyle w:val="FootnoteReference"/>
        </w:rPr>
        <w:footnoteReference w:id="16"/>
      </w:r>
      <w:r w:rsidR="000375CF" w:rsidRPr="00982C80">
        <w:t xml:space="preserve">; </w:t>
      </w:r>
      <w:r w:rsidR="000375CF" w:rsidRPr="00982C80">
        <w:rPr>
          <w:rStyle w:val="normaltextrun"/>
          <w:color w:val="000000"/>
          <w:shd w:val="clear" w:color="auto" w:fill="FFFFFF"/>
        </w:rPr>
        <w:t>stoga podržava odluku Upravnog vijeća EIB-a od 21. ožujka 2025. o integraciji EIB-ove strateške europske sigurnosne inicijative iz 2022. u trajni, međusektorski cilj javne politike kojim se dopunjuju postojeći ciljevi javne politike;</w:t>
      </w:r>
      <w:r w:rsidR="000375CF" w:rsidRPr="00982C80">
        <w:t xml:space="preserve"> naglašava, međutim, da sve aktivnosti u području obrane moraju podlijegati odgovarajućim financijskim parametrima, redovitoj procjeni rizika i transparentnom nadzoru te da moraju biti popraćene strogim postupcima upravljanja rizikom;</w:t>
      </w:r>
    </w:p>
    <w:p w14:paraId="69AEF447" w14:textId="325578B8" w:rsidR="000375CF" w:rsidRPr="00982C80" w:rsidRDefault="00DE31B2" w:rsidP="000375CF">
      <w:pPr>
        <w:pStyle w:val="NormalHanging12a"/>
        <w:rPr>
          <w:rStyle w:val="normaltextrun"/>
          <w:bCs/>
          <w:iCs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>32</w:t>
      </w:r>
      <w:r w:rsidR="000375CF" w:rsidRPr="00982C80">
        <w:rPr>
          <w:rStyle w:val="normaltextrun"/>
          <w:color w:val="000000"/>
          <w:shd w:val="clear" w:color="auto" w:fill="FFFFFF"/>
        </w:rPr>
        <w:t>.</w:t>
      </w:r>
      <w:r w:rsidR="000375CF" w:rsidRPr="00982C80">
        <w:rPr>
          <w:rStyle w:val="normaltextrun"/>
          <w:color w:val="000000"/>
          <w:shd w:val="clear" w:color="auto" w:fill="FFFFFF"/>
        </w:rPr>
        <w:tab/>
        <w:t>podržava zajedničku inicijativu Komisije i Grupe EIB-a da preko EIF-a, društva kćeri Grupe EIB, uspostave fond fondova pod nazivom „instrument vlasničkog kapitala u području obrane”, s proračunom od 175 milijuna EUR za razdoblje od 2024. do 2027., radi pružanja potpore privatnim ulaganjima u europska mala i srednja poduzeća koja razvijaju inovativne obrambene tehnologije dvojne namjene te kako bi se odgovorilo na potrebe poduzeća za financiranjem vlasničkim kapitalom u tehnološkoj i industrijskoj bazi EU-a u području obrane, koje se procjenjuju na iznos između 6,8 milijardi EUR i 20 milijardi EUR do 2030., kako bi se odgovorilo na povećanje očekivanih narudžbi u okviru plana ReArm Europe;</w:t>
      </w:r>
    </w:p>
    <w:p w14:paraId="77DE2560" w14:textId="304DF60B" w:rsidR="000375CF" w:rsidRPr="00982C80" w:rsidRDefault="00DE31B2" w:rsidP="000375CF">
      <w:pPr>
        <w:pStyle w:val="NormalHanging12a"/>
        <w:rPr>
          <w:rStyle w:val="normaltextrun"/>
          <w:bCs/>
          <w:iCs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>33</w:t>
      </w:r>
      <w:r w:rsidR="000375CF" w:rsidRPr="00982C80">
        <w:rPr>
          <w:rStyle w:val="normaltextrun"/>
          <w:color w:val="000000"/>
          <w:shd w:val="clear" w:color="auto" w:fill="FFFFFF"/>
        </w:rPr>
        <w:t>.</w:t>
      </w:r>
      <w:r w:rsidR="000375CF" w:rsidRPr="00982C80">
        <w:rPr>
          <w:rStyle w:val="normaltextrun"/>
          <w:color w:val="000000"/>
          <w:shd w:val="clear" w:color="auto" w:fill="FFFFFF"/>
        </w:rPr>
        <w:tab/>
        <w:t>prepoznaje odluku Upravnog vijeća EIB-a od 21. ožujka 2025. u skladu s kojom se proširuju kriteriji prihvatljivosti Grupe EIB-a za ulaganja u sigurnost i obranu te se ograničavaju isključene aktivnosti, na temelju prijedloga koje su odobrili čelnici EU-a na sastanku Europskog vijeća 6. ožujka</w:t>
      </w:r>
      <w:r w:rsidR="002A4D51">
        <w:rPr>
          <w:rStyle w:val="normaltextrun"/>
          <w:color w:val="000000"/>
          <w:shd w:val="clear" w:color="auto" w:fill="FFFFFF"/>
        </w:rPr>
        <w:t xml:space="preserve"> 2025.</w:t>
      </w:r>
      <w:bookmarkStart w:id="7" w:name="_GoBack"/>
      <w:bookmarkEnd w:id="7"/>
      <w:r w:rsidR="000375CF" w:rsidRPr="00982C80">
        <w:rPr>
          <w:rStyle w:val="normaltextrun"/>
          <w:color w:val="000000"/>
          <w:shd w:val="clear" w:color="auto" w:fill="FFFFFF"/>
        </w:rPr>
        <w:t xml:space="preserve">, kao i odobrenje Akcijskog plana Grupe EIB-a za sigurnost i obranu iz svibnja 2024., čiji je cilj jačanje potpore sigurnosnoj i obrambenoj industriji EU-a; napominje da u okviru tog plana Grupa EIB-a osigurava financiranje malih i srednjih poduzeća i inovativnih </w:t>
      </w:r>
      <w:r w:rsidR="000375CF" w:rsidRPr="00982C80">
        <w:rPr>
          <w:rStyle w:val="normaltextrun"/>
          <w:i/>
          <w:iCs/>
          <w:color w:val="000000"/>
          <w:shd w:val="clear" w:color="auto" w:fill="FFFFFF"/>
        </w:rPr>
        <w:t>start-up</w:t>
      </w:r>
      <w:r w:rsidR="000375CF" w:rsidRPr="00982C80">
        <w:rPr>
          <w:rStyle w:val="normaltextrun"/>
          <w:color w:val="000000"/>
          <w:shd w:val="clear" w:color="auto" w:fill="FFFFFF"/>
        </w:rPr>
        <w:t xml:space="preserve"> poduzeća koja posluju u sigurnosnom i obrambenom sektoru u skladu s načelom „dvojne namjene”, pri čemu se zadržava zahtjev za „uvjerljivu civilnu namjenu” te se ukida ispitivanje prihoda;</w:t>
      </w:r>
    </w:p>
    <w:p w14:paraId="204CCF0F" w14:textId="206355CF" w:rsidR="000375CF" w:rsidRPr="00982C80" w:rsidRDefault="00DE31B2" w:rsidP="000375CF">
      <w:pPr>
        <w:pStyle w:val="NormalHanging12a"/>
        <w:rPr>
          <w:rStyle w:val="normaltextrun"/>
          <w:bCs/>
          <w:iCs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>34</w:t>
      </w:r>
      <w:r w:rsidR="000375CF" w:rsidRPr="00982C80">
        <w:rPr>
          <w:rStyle w:val="normaltextrun"/>
          <w:color w:val="000000"/>
          <w:shd w:val="clear" w:color="auto" w:fill="FFFFFF"/>
        </w:rPr>
        <w:t>.</w:t>
      </w:r>
      <w:r w:rsidR="000375CF" w:rsidRPr="00982C80">
        <w:rPr>
          <w:rStyle w:val="normaltextrun"/>
          <w:color w:val="000000"/>
          <w:shd w:val="clear" w:color="auto" w:fill="FFFFFF"/>
        </w:rPr>
        <w:tab/>
        <w:t xml:space="preserve">prima na znanje odluku Upravnog vijeća EIB-a od 21. ožujka 2025. u skladu s kojom neće postojati fiksna gornja granica za ulaganja u sigurnost i obranu, pri čemu će se iznosi financiranja utvrditi svake godine u operativnom planu Grupe EIB-a; </w:t>
      </w:r>
      <w:r w:rsidR="000375CF" w:rsidRPr="00982C80">
        <w:rPr>
          <w:rStyle w:val="normaltextrun"/>
          <w:shd w:val="clear" w:color="auto" w:fill="FFFFFF"/>
        </w:rPr>
        <w:t>traži od EIB-a da razjasni moguće posljedice te odluke na druga područja politika i cjelokupno poslovanje EIB-a;</w:t>
      </w:r>
    </w:p>
    <w:p w14:paraId="3DB03D9A" w14:textId="1DDF9F4C" w:rsidR="000375CF" w:rsidRDefault="00DE31B2" w:rsidP="000375CF">
      <w:pPr>
        <w:pStyle w:val="NormalHanging12a"/>
      </w:pPr>
      <w:r>
        <w:lastRenderedPageBreak/>
        <w:t>35</w:t>
      </w:r>
      <w:r w:rsidR="000375CF" w:rsidRPr="00982C80">
        <w:t>.</w:t>
      </w:r>
      <w:r w:rsidR="000375CF" w:rsidRPr="00982C80">
        <w:tab/>
      </w:r>
      <w:r w:rsidR="000375CF" w:rsidRPr="00982C80">
        <w:rPr>
          <w:rStyle w:val="normaltextrun"/>
          <w:color w:val="000000"/>
          <w:shd w:val="clear" w:color="auto" w:fill="FFFFFF"/>
        </w:rPr>
        <w:t>p</w:t>
      </w:r>
      <w:r w:rsidR="000375CF" w:rsidRPr="00982C80">
        <w:t>redlaže da EIB kontinuirano razmatra i ocjenjuje svoju ulogu i opseg prihvatljivih ulaganja u doprinošenju miru i sigurnosti u Europi, kako je navedeno u Bijeloj knjizi Komisije o budućnosti europske obrane, s obzirom na hitnu potrebu za jačanjem europskog obrambenog sektora i osiguravanjem dugoročne sigurnosti i strateške autonomije;</w:t>
      </w:r>
      <w:r w:rsidR="000375CF" w:rsidRPr="00982C80">
        <w:rPr>
          <w:b/>
          <w:i/>
        </w:rPr>
        <w:t xml:space="preserve"> </w:t>
      </w:r>
      <w:r w:rsidR="000375CF" w:rsidRPr="00982C80">
        <w:t xml:space="preserve">upozorava da se pri svakoj prilagodbi kriterija prihvatljivosti ili financiranja Grupe EIB-a radi usklađivanja s novim prioritetima mora očuvati financijski položaj Grupe i osigurati učinkovito financiranje drugih strateških prioriteta EU-a; </w:t>
      </w:r>
    </w:p>
    <w:p w14:paraId="176C5073" w14:textId="4BC9D338" w:rsidR="0031309E" w:rsidRPr="0031309E" w:rsidRDefault="0031309E" w:rsidP="000375CF">
      <w:pPr>
        <w:pStyle w:val="NormalHanging12a"/>
        <w:rPr>
          <w:bCs/>
          <w:iCs/>
        </w:rPr>
      </w:pPr>
      <w:r w:rsidRPr="007C4A52">
        <w:rPr>
          <w:bCs/>
          <w:iCs/>
        </w:rPr>
        <w:t>3</w:t>
      </w:r>
      <w:r>
        <w:rPr>
          <w:bCs/>
          <w:iCs/>
        </w:rPr>
        <w:t>6.</w:t>
      </w:r>
      <w:r w:rsidRPr="0031309E">
        <w:rPr>
          <w:bCs/>
          <w:iCs/>
        </w:rPr>
        <w:tab/>
      </w:r>
      <w:r w:rsidRPr="007C4A52">
        <w:rPr>
          <w:bCs/>
          <w:iCs/>
        </w:rPr>
        <w:t>poziva države članice da izmijene EIB-ov popis isključenja kako bi se omogućilo financiranje oružja i streljiva izvan okvira isključivo tehnologija dvojne namjene, čime bi se doprinijelo razvoju europske obrambene industrije;</w:t>
      </w:r>
    </w:p>
    <w:p w14:paraId="2D381DE7" w14:textId="77777777" w:rsidR="000375CF" w:rsidRPr="00982C80" w:rsidRDefault="000375CF" w:rsidP="000375CF">
      <w:pPr>
        <w:pStyle w:val="Normal12a24b"/>
      </w:pPr>
      <w:r w:rsidRPr="00982C80">
        <w:rPr>
          <w:rStyle w:val="BoldItalic"/>
        </w:rPr>
        <w:t xml:space="preserve">Prevladavanje izazova u području socijalne infrastrukture, kohezijske politike i stanovanja </w:t>
      </w:r>
    </w:p>
    <w:p w14:paraId="5CE00267" w14:textId="26EEE9D2" w:rsidR="000375CF" w:rsidRPr="00982C80" w:rsidRDefault="00DE31B2" w:rsidP="000375CF">
      <w:pPr>
        <w:pStyle w:val="NormalHanging12a"/>
      </w:pPr>
      <w:r>
        <w:t>37</w:t>
      </w:r>
      <w:r w:rsidR="000375CF" w:rsidRPr="00982C80">
        <w:t>.</w:t>
      </w:r>
      <w:r w:rsidR="000375CF" w:rsidRPr="00982C80">
        <w:tab/>
        <w:t xml:space="preserve">pozdravlja ključne strateške prioritete EIB-a za jačanje europske socijalne infrastrukture i modernu kohezijsku politiku za uključiv i održiv rast diljem Europe; </w:t>
      </w:r>
      <w:r w:rsidR="000375CF" w:rsidRPr="00982C80">
        <w:rPr>
          <w:rStyle w:val="normaltextrun"/>
          <w:color w:val="000000"/>
          <w:shd w:val="clear" w:color="auto" w:fill="FFFFFF"/>
        </w:rPr>
        <w:t>cijeni činjenicu da se EIB u svojem orijentacijskom dokumentu o koheziji za razdoblje 2021 – 2027. obvezao namijeniti najmanje 40 % svojeg ukupnog financiranja u EU-u od 2022. do 2024. za projekte u kohezijskim regijama te da je 2024. takvo financiranje činilo 48 % ukupnog kreditiranja EU-a; poziva EIB da nastavi podupirati razvoj infrastrukture, uključujući ulaganja u željeznice, zdravstvenu skrb i socijalnu infrastrukturu, koja su ključna za socijalnu i ekonomsku koheziju, otpornost i uključiv rast; ističe da u kontekstu geopolitičkih i gospodarskih nesigurnosti EIB može pružiti dugoročna rješenja za ublažavanje krize troškova života;</w:t>
      </w:r>
    </w:p>
    <w:p w14:paraId="18C9214E" w14:textId="368CF482" w:rsidR="000375CF" w:rsidRPr="00982C80" w:rsidRDefault="00DE31B2" w:rsidP="000375CF">
      <w:pPr>
        <w:pStyle w:val="NormalHanging12a"/>
      </w:pPr>
      <w:r>
        <w:t>38</w:t>
      </w:r>
      <w:r w:rsidR="000375CF" w:rsidRPr="00982C80">
        <w:t>.</w:t>
      </w:r>
      <w:r w:rsidR="000375CF" w:rsidRPr="00982C80">
        <w:tab/>
      </w:r>
      <w:r w:rsidR="000375CF" w:rsidRPr="00982C80">
        <w:rPr>
          <w:rStyle w:val="normaltextrun"/>
          <w:color w:val="000000"/>
          <w:shd w:val="clear" w:color="auto" w:fill="FFFFFF"/>
        </w:rPr>
        <w:t>ističe ključnu ulogu razvoja vještina u poticanju dugoročnog održivog rasta, zapošljavanja i konkurentnosti u EU-u; ističe da inicijative za financiranje usmjerene na jačanje ljudskog kapitala, osim što potiču inovacije i produktivnost te zadovoljavaju potrebe tržišta rada</w:t>
      </w:r>
      <w:r w:rsidR="000375CF" w:rsidRPr="00982C80">
        <w:t xml:space="preserve">, </w:t>
      </w:r>
      <w:r w:rsidR="000375CF" w:rsidRPr="00982C80">
        <w:rPr>
          <w:rStyle w:val="normaltextrun"/>
          <w:color w:val="000000"/>
          <w:shd w:val="clear" w:color="auto" w:fill="FFFFFF"/>
        </w:rPr>
        <w:t>jačaju socijalnu koheziju i gospodarsku otpornost;</w:t>
      </w:r>
      <w:r w:rsidR="000375CF" w:rsidRPr="00982C80">
        <w:rPr>
          <w:rStyle w:val="normaltextrun"/>
          <w:b/>
          <w:i/>
          <w:color w:val="000000"/>
          <w:shd w:val="clear" w:color="auto" w:fill="FFFFFF"/>
        </w:rPr>
        <w:t xml:space="preserve"> </w:t>
      </w:r>
      <w:r w:rsidR="000375CF" w:rsidRPr="00982C80">
        <w:t>poziva EIB da poveća ulaganja u obrazovanje, osposobljavanje, usavršavanje i prekvalifikaciju te zdravstvo, u bliskoj koordinaciji i suradnji s inicijativama država članica u tim područjima, kako bi se dopunio i povećao njihov učinak;</w:t>
      </w:r>
    </w:p>
    <w:p w14:paraId="770F78C9" w14:textId="588CE32F" w:rsidR="000375CF" w:rsidRPr="00982C80" w:rsidRDefault="00DE31B2" w:rsidP="000375CF">
      <w:pPr>
        <w:pStyle w:val="NormalHanging12a"/>
      </w:pPr>
      <w:r>
        <w:t>39</w:t>
      </w:r>
      <w:r w:rsidR="000375CF" w:rsidRPr="00982C80">
        <w:t>.</w:t>
      </w:r>
      <w:r w:rsidR="000375CF" w:rsidRPr="00982C80">
        <w:tab/>
        <w:t xml:space="preserve">pozdravlja predanost EIB-a prevladavanju izazova dvostrukog nefunkcioniranja tržišta u stambenom sektoru, među ostalim nedostatka priuštivog i energetski učinkovitog stanovanja, kao i nefunkcioniranja tržišta u pogledu povećanja energetske učinkovitosti </w:t>
      </w:r>
      <w:r w:rsidR="000375CF" w:rsidRPr="00982C80">
        <w:rPr>
          <w:rStyle w:val="normaltextrun"/>
          <w:color w:val="000000"/>
          <w:shd w:val="clear" w:color="auto" w:fill="FFFFFF"/>
        </w:rPr>
        <w:t>postojećeg stambenog fonda</w:t>
      </w:r>
      <w:r w:rsidR="000375CF" w:rsidRPr="00982C80">
        <w:t xml:space="preserve">; </w:t>
      </w:r>
      <w:r w:rsidR="000375CF" w:rsidRPr="00982C80">
        <w:rPr>
          <w:rStyle w:val="normaltextrun"/>
          <w:color w:val="000000"/>
          <w:shd w:val="clear" w:color="auto" w:fill="FFFFFF"/>
        </w:rPr>
        <w:t>prima na znanje razlike i u politikama i u razmjerima navedenih primjera nefunkcioniranja tržišta među državama članicama</w:t>
      </w:r>
      <w:r w:rsidR="000375CF" w:rsidRPr="00982C80">
        <w:t>;</w:t>
      </w:r>
    </w:p>
    <w:p w14:paraId="2799B3DA" w14:textId="2FF4789D" w:rsidR="000375CF" w:rsidRPr="00982C80" w:rsidRDefault="00DE31B2" w:rsidP="000375CF">
      <w:pPr>
        <w:pStyle w:val="NormalHanging12a"/>
        <w:rPr>
          <w:szCs w:val="24"/>
        </w:rPr>
      </w:pPr>
      <w:r>
        <w:t>40</w:t>
      </w:r>
      <w:r w:rsidR="000375CF" w:rsidRPr="00982C80">
        <w:t>.</w:t>
      </w:r>
      <w:r w:rsidR="000375CF" w:rsidRPr="00982C80">
        <w:tab/>
        <w:t xml:space="preserve">podržava EIB-ov „Akcijski plan za priuštivo i održivo stanovanje” s planiranim ulaganjima u iznosu od 10 milijardi EUR tijekom sljedeće dvije godine; skreće pozornost na ishod analize Grupe EIB-a i njezina sastanka s dionicima, tijekom kojeg je istaknut procijenjeni investicijski jaz između javnih i privatnih ulaganja od 300 milijardi EUR do 400 milijardi EUR godišnje potreban za izgradnju 1,5 milijuna novih stambenih jedinica i obnovu 5 milijuna dodatnih jedinica godišnje; </w:t>
      </w:r>
      <w:r w:rsidR="000375CF" w:rsidRPr="00982C80">
        <w:rPr>
          <w:rStyle w:val="normaltextrun"/>
          <w:color w:val="000000"/>
          <w:shd w:val="clear" w:color="auto" w:fill="FFFFFF"/>
        </w:rPr>
        <w:t xml:space="preserve">potiče EIB da mobilizira još više sredstava za projekte priuštivog stanovanja u državama članicama; poziva EIB da se usredotoči na </w:t>
      </w:r>
      <w:r w:rsidR="000375CF" w:rsidRPr="00982C80">
        <w:rPr>
          <w:rStyle w:val="normaltextrun"/>
          <w:color w:val="000000"/>
        </w:rPr>
        <w:t>održivi</w:t>
      </w:r>
      <w:r w:rsidR="000375CF" w:rsidRPr="00982C80">
        <w:rPr>
          <w:rStyle w:val="normaltextrun"/>
          <w:color w:val="000000"/>
          <w:shd w:val="clear" w:color="auto" w:fill="FFFFFF"/>
        </w:rPr>
        <w:t xml:space="preserve"> urbani razvoj tako da osigura da se stambene i infrastrukturne potrebe EU-a zadovolje kako bi Europa bila snažnija, održiva, povezanija i prosperitetnija, uključujući</w:t>
      </w:r>
      <w:r w:rsidR="000375CF" w:rsidRPr="00982C80">
        <w:t xml:space="preserve"> ulaganja u oporavak postojeće infrastrukture, s naglaskom na potpori projektima urbane obnove i projektima za prenamjenu starih ili napuštenih zgrada u moderne socijalne stanove;</w:t>
      </w:r>
    </w:p>
    <w:p w14:paraId="4E957D59" w14:textId="50C3E026" w:rsidR="000375CF" w:rsidRPr="00982C80" w:rsidRDefault="00DE31B2" w:rsidP="000375CF">
      <w:pPr>
        <w:pStyle w:val="NormalHanging12a"/>
        <w:rPr>
          <w:rStyle w:val="normaltextrun"/>
          <w:bCs/>
          <w:iCs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lastRenderedPageBreak/>
        <w:t>41</w:t>
      </w:r>
      <w:r w:rsidR="000375CF" w:rsidRPr="00982C80">
        <w:rPr>
          <w:rStyle w:val="normaltextrun"/>
          <w:color w:val="000000"/>
          <w:shd w:val="clear" w:color="auto" w:fill="FFFFFF"/>
        </w:rPr>
        <w:t>.</w:t>
      </w:r>
      <w:r w:rsidR="000375CF" w:rsidRPr="00982C80">
        <w:rPr>
          <w:rStyle w:val="normaltextrun"/>
          <w:color w:val="000000"/>
          <w:shd w:val="clear" w:color="auto" w:fill="FFFFFF"/>
        </w:rPr>
        <w:tab/>
        <w:t>traži od EIB-a da uzme u obzir diferencirano opterećenje troškova stanovanja za različite dohodovne skupine i obiteljske strukture, posebno s obzirom na to da su neke skupine s niskim prihodima izložene riziku od marginalizacije; potiče EIB da surađuje s drugim europskim javnim investicijskim bankama, lokalnim javnim financijskim institucijama, lokalnim vlastima te poduzećima za zadružno i socijalno stanovanje kako bi se financirala stambena rješenja za ranjive skupine i skupine s niskim dohotkom; podržava namjeru EIB-a da se više usredotoči na istraživanje i inovacije u području stanovanja;</w:t>
      </w:r>
    </w:p>
    <w:p w14:paraId="57F6A04A" w14:textId="057AE5BA" w:rsidR="000375CF" w:rsidRPr="00982C80" w:rsidRDefault="00DE31B2" w:rsidP="000375CF">
      <w:pPr>
        <w:pStyle w:val="NormalHanging12a"/>
      </w:pPr>
      <w:r>
        <w:rPr>
          <w:rStyle w:val="normaltextrun"/>
          <w:color w:val="000000"/>
          <w:shd w:val="clear" w:color="auto" w:fill="FFFFFF"/>
        </w:rPr>
        <w:t>42</w:t>
      </w:r>
      <w:r w:rsidR="000375CF" w:rsidRPr="00982C80">
        <w:rPr>
          <w:rStyle w:val="normaltextrun"/>
          <w:color w:val="000000"/>
          <w:shd w:val="clear" w:color="auto" w:fill="FFFFFF"/>
        </w:rPr>
        <w:t>.</w:t>
      </w:r>
      <w:r w:rsidR="000375CF" w:rsidRPr="00982C80">
        <w:rPr>
          <w:rStyle w:val="normaltextrun"/>
          <w:color w:val="000000"/>
          <w:shd w:val="clear" w:color="auto" w:fill="FFFFFF"/>
        </w:rPr>
        <w:tab/>
        <w:t xml:space="preserve">poziva EIB da poveća financijsku potporu uvođenjem standardiziranih gotovih financijskih proizvoda u području energetske obnove i obnove zgrada; ističe činjenicu da je EIB-ov model „iniciraj i distribuiraj”, kojim se usmjerava štednja institucijskih ulagača, inovativan model koji bi mogao doprinijeti integraciji tržišta kapitala EU-a; </w:t>
      </w:r>
    </w:p>
    <w:p w14:paraId="2B70125F" w14:textId="56CBD4D4" w:rsidR="000375CF" w:rsidRPr="00982C80" w:rsidRDefault="00DE31B2" w:rsidP="000375CF">
      <w:pPr>
        <w:pStyle w:val="NormalHanging12a"/>
        <w:rPr>
          <w:rStyle w:val="normaltextrun"/>
          <w:bCs/>
          <w:iCs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>43</w:t>
      </w:r>
      <w:r w:rsidR="000375CF" w:rsidRPr="00982C80">
        <w:rPr>
          <w:rStyle w:val="normaltextrun"/>
          <w:color w:val="000000"/>
          <w:shd w:val="clear" w:color="auto" w:fill="FFFFFF"/>
        </w:rPr>
        <w:t>.</w:t>
      </w:r>
      <w:r w:rsidR="000375CF" w:rsidRPr="00982C80">
        <w:rPr>
          <w:rStyle w:val="normaltextrun"/>
          <w:color w:val="000000"/>
          <w:shd w:val="clear" w:color="auto" w:fill="FFFFFF"/>
        </w:rPr>
        <w:tab/>
        <w:t>podržava namjeru EIB-a da proširi financijsku i savjetodavnu potporu za priuštivo stanovanje, posebno za mlađe generacije; potiče blisku sinergiju i razmjenu s Komisijom, općinama i lokalnim vlastima, zadružnim pružateljima usluga stanovanja, stambenim udrugama i građevinskim sektorom kroz razmjenu najbolje prakse i promicanje paneuropske suradnje; poziva EIB da podrži projekte kojima se osigurava priuštivost obnovljive energije, stanovanja i javnih usluga, inicijative pod vodstvom zajednice, kao i male projekte koji su posebno usmjereni na borbu protiv energetskog siromaštva;</w:t>
      </w:r>
    </w:p>
    <w:p w14:paraId="057D980A" w14:textId="64B0B50F" w:rsidR="000375CF" w:rsidRPr="00982C80" w:rsidRDefault="00DE31B2" w:rsidP="000375CF">
      <w:pPr>
        <w:pStyle w:val="NormalHanging12a"/>
        <w:rPr>
          <w:rStyle w:val="normaltextrun"/>
          <w:bCs/>
          <w:iCs/>
          <w:color w:val="000000"/>
          <w:szCs w:val="24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>44</w:t>
      </w:r>
      <w:r w:rsidR="000375CF" w:rsidRPr="00982C80">
        <w:rPr>
          <w:rStyle w:val="normaltextrun"/>
          <w:color w:val="000000"/>
          <w:shd w:val="clear" w:color="auto" w:fill="FFFFFF"/>
        </w:rPr>
        <w:t>.</w:t>
      </w:r>
      <w:r w:rsidR="000375CF" w:rsidRPr="00982C80">
        <w:rPr>
          <w:rStyle w:val="normaltextrun"/>
          <w:color w:val="000000"/>
          <w:shd w:val="clear" w:color="auto" w:fill="FFFFFF"/>
        </w:rPr>
        <w:tab/>
        <w:t xml:space="preserve">podržava to što je Grupa EIB-a među svoje ključne prioritete uvrstila poljoprivredu i biogospodarstvo; naglašava da je poljoprivreda ključni pokretač rasta i razvoja u ruralnim područjima te da jačanje potpore i poticanje inovacija za taj ključni sektor ima važnu ulogu u jamčenju sigurnosti opskrbe hranom; ističe financijske izazove s kojima se suočavaju poljoprivrednici, osobito mladi, te napominje da su poljoprivrednici i poduzeća u predmetnom sektoru manje uspješni prilikom podnošenja zahtjeva za financiranje; poziva Grupu EIB-a da poveća svoje sudjelovanje u poljoprivrednom sektoru poboljšanjem pristupa financiranju; </w:t>
      </w:r>
    </w:p>
    <w:p w14:paraId="3E3E5CB9" w14:textId="6A1EFDCD" w:rsidR="000375CF" w:rsidRPr="00982C80" w:rsidRDefault="00DE31B2" w:rsidP="000375CF">
      <w:pPr>
        <w:pStyle w:val="NormalHanging12a"/>
      </w:pPr>
      <w:r>
        <w:t>45</w:t>
      </w:r>
      <w:r w:rsidR="000375CF" w:rsidRPr="00982C80">
        <w:t>.</w:t>
      </w:r>
      <w:r w:rsidR="000375CF" w:rsidRPr="00982C80">
        <w:tab/>
        <w:t>poziva EIB da više promiče zapošljavanje mladih, posebno podupiranjem projekata i programa kojima se potiče poduzetništvo mladih, pristup zapošljavanju, strukovno osposobljavanje i inovacije, kako bi se doprinijelo pravednijem i uključivijem teritorijalnom razvoju te kako bi se ograničio odljev mozgova, posebno u otočnim regijama EU-a i područjima u gospodarski nepovoljnom položaju;</w:t>
      </w:r>
    </w:p>
    <w:p w14:paraId="7977FBAC" w14:textId="77777777" w:rsidR="000375CF" w:rsidRPr="00982C80" w:rsidRDefault="000375CF" w:rsidP="000375CF">
      <w:pPr>
        <w:pStyle w:val="Normal12a24b"/>
      </w:pPr>
      <w:r w:rsidRPr="00982C80">
        <w:rPr>
          <w:rStyle w:val="BoldItalic"/>
        </w:rPr>
        <w:t>Promicanje digitalne transformacije i novih tehnologija</w:t>
      </w:r>
    </w:p>
    <w:p w14:paraId="0AFEE6DB" w14:textId="41FB9D41" w:rsidR="000375CF" w:rsidRPr="00982C80" w:rsidRDefault="00DE31B2" w:rsidP="000375CF">
      <w:pPr>
        <w:pStyle w:val="NormalHanging12a"/>
      </w:pPr>
      <w:r>
        <w:t>46</w:t>
      </w:r>
      <w:r w:rsidR="000375CF" w:rsidRPr="00982C80">
        <w:t>.</w:t>
      </w:r>
      <w:r w:rsidR="000375CF" w:rsidRPr="00982C80">
        <w:tab/>
        <w:t xml:space="preserve">poziva EIB da ojača financiranje otvorene strateške autonomije EU-a u digitalnom području i da promiče istraživanje, podupire razvoj europske digitalne infrastrukture te nove i disruptivne tehnologije kao što su umjetna inteligencija i kvantno računalstvo te omogući rast digitalnih </w:t>
      </w:r>
      <w:r w:rsidR="000375CF" w:rsidRPr="00982C80">
        <w:rPr>
          <w:i/>
          <w:iCs/>
        </w:rPr>
        <w:t>start-up</w:t>
      </w:r>
      <w:r w:rsidR="000375CF" w:rsidRPr="00982C80">
        <w:t xml:space="preserve"> poduzeća; naglašava važnost premošćivanja digitalnog jaza unutar EU-a i na globalnoj razini kako bi se osigurao uključiv pristup digitalnoj infrastrukturi i uslugama; </w:t>
      </w:r>
      <w:r w:rsidR="000375CF" w:rsidRPr="00982C80">
        <w:rPr>
          <w:rStyle w:val="normaltextrun"/>
          <w:color w:val="000000"/>
          <w:shd w:val="clear" w:color="auto" w:fill="FFFFFF"/>
        </w:rPr>
        <w:t>ističe važnost usklađivanja digitalnih ulaganja EIB-a sa strateškim prioritetima EU-a kao što su ciljevi digitalnog desetljeća, uključujući povezivost, digitalne vještine i digitalnu transformaciju poduzeća</w:t>
      </w:r>
      <w:r w:rsidR="000375CF" w:rsidRPr="00982C80">
        <w:t>;</w:t>
      </w:r>
    </w:p>
    <w:p w14:paraId="6FEB0C4A" w14:textId="6CCCA326" w:rsidR="000375CF" w:rsidRPr="00982C80" w:rsidRDefault="00DE31B2" w:rsidP="000375CF">
      <w:pPr>
        <w:pStyle w:val="NormalHanging12a"/>
      </w:pPr>
      <w:r>
        <w:t>47</w:t>
      </w:r>
      <w:r w:rsidR="000375CF" w:rsidRPr="00982C80">
        <w:t>.</w:t>
      </w:r>
      <w:r w:rsidR="000375CF" w:rsidRPr="00982C80">
        <w:tab/>
        <w:t xml:space="preserve">podržava EIF-ovo proširenje Inicijative za europske tehnološke predvodnike kako bi se privukao privatni kapital za rast inovativnih </w:t>
      </w:r>
      <w:r w:rsidR="000375CF" w:rsidRPr="00982C80">
        <w:rPr>
          <w:i/>
          <w:iCs/>
        </w:rPr>
        <w:t>start-up</w:t>
      </w:r>
      <w:r w:rsidR="000375CF" w:rsidRPr="00982C80">
        <w:t xml:space="preserve"> poduzeća u uspješne globalne predvodnike, čime bi se osiguralo da poduzeća i tehnologije s poslovnim nastanom u </w:t>
      </w:r>
      <w:r w:rsidR="000375CF" w:rsidRPr="00982C80">
        <w:lastRenderedPageBreak/>
        <w:t xml:space="preserve">Europi ostanu u EU-u u kasnoj fazi rasta; </w:t>
      </w:r>
      <w:r w:rsidR="000375CF" w:rsidRPr="00982C80">
        <w:rPr>
          <w:rStyle w:val="normaltextrun"/>
          <w:color w:val="000000"/>
          <w:shd w:val="clear" w:color="auto" w:fill="FFFFFF"/>
        </w:rPr>
        <w:t>ističe da treba ubrzati uvođenje postojeće Inicijative za europske tehnološke predvodnike kako bi držala korak s inovacijama i novoosnovanim poduzećima; nadalje, traži da se uspjeh Inicijative za europske tehnološke predvodnike temelji na razvoju drugih sličnih inicijativa kako bi se nastavilo podupirati digitalnu tranziciju i druge strateške sektore te potiče EIF da istraži stvaranje druge generacije te inicijative i mogućnost ulaganja u fondove fondova</w:t>
      </w:r>
      <w:r w:rsidR="000375CF" w:rsidRPr="00982C80">
        <w:t>;</w:t>
      </w:r>
    </w:p>
    <w:p w14:paraId="27435D95" w14:textId="019BCF29" w:rsidR="000375CF" w:rsidRPr="00982C80" w:rsidRDefault="00DE31B2" w:rsidP="000375CF">
      <w:pPr>
        <w:pStyle w:val="NormalHanging12a"/>
        <w:rPr>
          <w:rStyle w:val="normaltextrun"/>
          <w:bCs/>
          <w:iCs/>
          <w:color w:val="000000"/>
          <w:szCs w:val="24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>48</w:t>
      </w:r>
      <w:r w:rsidR="000375CF" w:rsidRPr="00982C80">
        <w:rPr>
          <w:rStyle w:val="normaltextrun"/>
          <w:color w:val="000000"/>
          <w:shd w:val="clear" w:color="auto" w:fill="FFFFFF"/>
        </w:rPr>
        <w:t>.</w:t>
      </w:r>
      <w:r w:rsidR="000375CF" w:rsidRPr="00982C80">
        <w:rPr>
          <w:rStyle w:val="normaltextrun"/>
          <w:color w:val="000000"/>
          <w:shd w:val="clear" w:color="auto" w:fill="FFFFFF"/>
        </w:rPr>
        <w:tab/>
        <w:t>ističe da bi institucionalni ulagači u Europi mogli imati veću ulogu u podupiranju poduzetničkog kapitala, posebno za rastuća poduzeća; stoga potiče Grupu EIB-a da osnuje europski tehnološki forum koji će okupiti ekosustav poduzetničkog kapitala kako bi se uključili institucionalni ulagači u skladu s modelom inicijative Tibi</w:t>
      </w:r>
      <w:r w:rsidR="000375CF" w:rsidRPr="00982C80">
        <w:rPr>
          <w:rStyle w:val="FootnoteReference"/>
          <w:bCs/>
          <w:iCs/>
          <w:color w:val="000000"/>
          <w:szCs w:val="24"/>
          <w:shd w:val="clear" w:color="auto" w:fill="FFFFFF"/>
        </w:rPr>
        <w:footnoteReference w:id="17"/>
      </w:r>
      <w:r w:rsidR="000375CF" w:rsidRPr="00982C80">
        <w:rPr>
          <w:rStyle w:val="normaltextrun"/>
          <w:color w:val="000000"/>
          <w:shd w:val="clear" w:color="auto" w:fill="FFFFFF"/>
        </w:rPr>
        <w:t>; poziva EIB da ponudi prilike takvim ulagačima da izgrade svoje stručno znanje i da se odluče za programe zajedničkog ulaganja između EIF-a i institucionalnih ulagača, pod transparentnim i unaprijed dogovorenim uvjetima;</w:t>
      </w:r>
    </w:p>
    <w:p w14:paraId="5E69E9C7" w14:textId="5167102A" w:rsidR="000375CF" w:rsidRPr="00982C80" w:rsidRDefault="00DE31B2" w:rsidP="000375CF">
      <w:pPr>
        <w:pStyle w:val="NormalHanging12a"/>
        <w:rPr>
          <w:rStyle w:val="normaltextrun"/>
          <w:bCs/>
          <w:iCs/>
          <w:color w:val="000000"/>
          <w:szCs w:val="24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>49</w:t>
      </w:r>
      <w:r w:rsidR="000375CF" w:rsidRPr="00982C80">
        <w:rPr>
          <w:rStyle w:val="normaltextrun"/>
          <w:color w:val="000000"/>
          <w:shd w:val="clear" w:color="auto" w:fill="FFFFFF"/>
        </w:rPr>
        <w:t>.</w:t>
      </w:r>
      <w:r w:rsidR="000375CF" w:rsidRPr="00982C80">
        <w:rPr>
          <w:rStyle w:val="normaltextrun"/>
          <w:color w:val="000000"/>
          <w:shd w:val="clear" w:color="auto" w:fill="FFFFFF"/>
        </w:rPr>
        <w:tab/>
        <w:t>ističe činjenicu da je cilj plana za čistu industriju razviti program TechEU s EIB-om; naglašava da je važno osigurati da taj fond ima poseban cilj dodjele za rastuća i</w:t>
      </w:r>
      <w:r w:rsidR="000375CF" w:rsidRPr="00982C80">
        <w:rPr>
          <w:rStyle w:val="normaltextrun"/>
          <w:i/>
          <w:iCs/>
          <w:color w:val="000000"/>
          <w:shd w:val="clear" w:color="auto" w:fill="FFFFFF"/>
        </w:rPr>
        <w:t>start-up</w:t>
      </w:r>
      <w:r w:rsidR="000375CF" w:rsidRPr="00982C80">
        <w:rPr>
          <w:rStyle w:val="normaltextrun"/>
          <w:color w:val="000000"/>
          <w:shd w:val="clear" w:color="auto" w:fill="FFFFFF"/>
        </w:rPr>
        <w:t xml:space="preserve"> poduzeća;</w:t>
      </w:r>
    </w:p>
    <w:p w14:paraId="203A7087" w14:textId="79E404E8" w:rsidR="000375CF" w:rsidRPr="00982C80" w:rsidRDefault="00DE31B2" w:rsidP="000375CF">
      <w:pPr>
        <w:pStyle w:val="NormalHanging12a"/>
        <w:rPr>
          <w:rStyle w:val="normaltextrun"/>
          <w:bCs/>
          <w:iCs/>
          <w:color w:val="000000"/>
          <w:szCs w:val="24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>50</w:t>
      </w:r>
      <w:r w:rsidR="000375CF" w:rsidRPr="00982C80">
        <w:rPr>
          <w:rStyle w:val="normaltextrun"/>
          <w:color w:val="000000"/>
          <w:shd w:val="clear" w:color="auto" w:fill="FFFFFF"/>
        </w:rPr>
        <w:t>.</w:t>
      </w:r>
      <w:r w:rsidR="000375CF" w:rsidRPr="00982C80">
        <w:rPr>
          <w:rStyle w:val="normaltextrun"/>
          <w:color w:val="000000"/>
          <w:shd w:val="clear" w:color="auto" w:fill="FFFFFF"/>
        </w:rPr>
        <w:tab/>
        <w:t>poziva EIB da podupre jačanje kapaciteta u području kibernetičke sigurnosti u EU-u kako bi Europa postala otpornija uz istodobno jačanje postojeće suradnje među državama članicama i kako bi se zaštitili kritični subjekti i ključne usluge;</w:t>
      </w:r>
    </w:p>
    <w:p w14:paraId="7CFBC0D5" w14:textId="3B9D21EE" w:rsidR="000375CF" w:rsidRPr="00982C80" w:rsidRDefault="00DE31B2" w:rsidP="000375CF">
      <w:pPr>
        <w:pStyle w:val="NormalHanging12a"/>
        <w:rPr>
          <w:rStyle w:val="normaltextrun"/>
          <w:bCs/>
          <w:iCs/>
          <w:color w:val="000000"/>
          <w:szCs w:val="24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>51</w:t>
      </w:r>
      <w:r w:rsidR="000375CF" w:rsidRPr="00982C80">
        <w:rPr>
          <w:rStyle w:val="normaltextrun"/>
          <w:color w:val="000000"/>
          <w:shd w:val="clear" w:color="auto" w:fill="FFFFFF"/>
        </w:rPr>
        <w:t>.</w:t>
      </w:r>
      <w:r w:rsidR="000375CF" w:rsidRPr="00982C80">
        <w:rPr>
          <w:rStyle w:val="normaltextrun"/>
          <w:color w:val="000000"/>
          <w:shd w:val="clear" w:color="auto" w:fill="FFFFFF"/>
        </w:rPr>
        <w:tab/>
        <w:t>ističe činjenicu da je sigurnost opskrbe kritičnim sirovinama ključna za zelenu i za digitalnu tranziciju, obrambeni sektor te za industrijsku bazu EU-a općenito; podsjeća na ulogu EIB-a u europskom savezu za sirovine i na cilj Unije da postigne veću autonomiju u pogledu opskrbe kritičnim sirovinama; ističe važnost pristupa kritičnim sirovinama koji se temelji na kružnom gospodarstvu, kako bi se smanjila ovisnost EU-a o trećim zemljama i povećala njegova strateška autonomija; stoga poziva EIB da više ulaže u sektor kritičnih sirovina kako bi se povećala otpornost u pogledu sirovina s posebnim naglaskom na recikliranje sekundarnih sirovina;</w:t>
      </w:r>
    </w:p>
    <w:p w14:paraId="6121AAC1" w14:textId="162B85CC" w:rsidR="000375CF" w:rsidRPr="00982C80" w:rsidRDefault="00DE31B2" w:rsidP="000375CF">
      <w:pPr>
        <w:widowControl/>
        <w:ind w:left="567" w:hanging="567"/>
      </w:pPr>
      <w:r>
        <w:rPr>
          <w:rStyle w:val="normaltextrun"/>
          <w:color w:val="000000"/>
          <w:shd w:val="clear" w:color="auto" w:fill="FFFFFF"/>
        </w:rPr>
        <w:t>52</w:t>
      </w:r>
      <w:r w:rsidR="000375CF" w:rsidRPr="00982C80">
        <w:rPr>
          <w:rStyle w:val="normaltextrun"/>
          <w:color w:val="000000"/>
          <w:shd w:val="clear" w:color="auto" w:fill="FFFFFF"/>
        </w:rPr>
        <w:t>.</w:t>
      </w:r>
      <w:r w:rsidR="000375CF" w:rsidRPr="00982C80">
        <w:rPr>
          <w:rStyle w:val="normaltextrun"/>
          <w:color w:val="000000"/>
          <w:shd w:val="clear" w:color="auto" w:fill="FFFFFF"/>
        </w:rPr>
        <w:tab/>
        <w:t>poziva EIB da podrži tehnološku transformaciju europskih poduzeća, kao i razvoj digitalnih vještina među zaposlenicima i poduzetnicima;</w:t>
      </w:r>
      <w:r w:rsidR="000375CF" w:rsidRPr="00982C80">
        <w:t xml:space="preserve"> </w:t>
      </w:r>
    </w:p>
    <w:p w14:paraId="63A0A639" w14:textId="77777777" w:rsidR="000375CF" w:rsidRPr="00982C80" w:rsidRDefault="000375CF" w:rsidP="000375CF">
      <w:pPr>
        <w:pStyle w:val="Normal12a24b"/>
      </w:pPr>
      <w:r w:rsidRPr="00982C80">
        <w:rPr>
          <w:rStyle w:val="BoldItalic"/>
        </w:rPr>
        <w:t>EIB-ovo susjedstvo i strategija Global Gateway</w:t>
      </w:r>
    </w:p>
    <w:p w14:paraId="2515B911" w14:textId="1EB8B0E3" w:rsidR="000375CF" w:rsidRPr="00982C80" w:rsidRDefault="00DE31B2" w:rsidP="000375CF">
      <w:pPr>
        <w:pStyle w:val="NormalHanging12a"/>
      </w:pPr>
      <w:r>
        <w:t>53</w:t>
      </w:r>
      <w:r w:rsidR="000375CF" w:rsidRPr="00982C80">
        <w:t>.</w:t>
      </w:r>
      <w:r w:rsidR="000375CF" w:rsidRPr="00982C80">
        <w:tab/>
        <w:t>pozdravlja ključnu potporu EIB-a Ukrajini s obzirom na opću, neopravdanu i nezakonitu rusku ratnu agresiju; traži povećanje proračunskih jamstava EU-a kako bi se EIB-u omogućilo da nastavi provoditi i jačati poslovanje javnog i privatnog sektora u Ukrajini te na taj način podupirati neposredne gospodarske izazove Ukrajine, ali i planirati srednjoročnu i dugoročnu obnovu zemlje;</w:t>
      </w:r>
    </w:p>
    <w:p w14:paraId="4D698B48" w14:textId="2E66BCC6" w:rsidR="000375CF" w:rsidRPr="00982C80" w:rsidRDefault="00DE31B2" w:rsidP="000375CF">
      <w:pPr>
        <w:pStyle w:val="NormalHanging12a"/>
      </w:pPr>
      <w:r>
        <w:t>54</w:t>
      </w:r>
      <w:r w:rsidR="000375CF" w:rsidRPr="00982C80">
        <w:t>.</w:t>
      </w:r>
      <w:r w:rsidR="000375CF" w:rsidRPr="00982C80">
        <w:tab/>
        <w:t>naglašava da je za smanjenje ovisnosti o trećim zemljama, ključno uvesti otpornu infrastrukturu pod kontrolom Europe, među ostalim u području satelitskih komunikacija, energije i logistike;</w:t>
      </w:r>
    </w:p>
    <w:p w14:paraId="65111548" w14:textId="3664B645" w:rsidR="000375CF" w:rsidRPr="00982C80" w:rsidRDefault="00DE31B2" w:rsidP="000375CF">
      <w:pPr>
        <w:pStyle w:val="NormalHanging12a"/>
      </w:pPr>
      <w:r>
        <w:lastRenderedPageBreak/>
        <w:t>55</w:t>
      </w:r>
      <w:r w:rsidR="000375CF" w:rsidRPr="00982C80">
        <w:t>.</w:t>
      </w:r>
      <w:r w:rsidR="000375CF" w:rsidRPr="00982C80">
        <w:tab/>
        <w:t>ističe važnu ulogu EIB-a u pružanju potpore državama članicama i trećim zemljama, posebno zemljama kandidatkinjama, u pristupu tržištima rizičnog kapitala, čime se proširuju mogućnosti ulaganja;</w:t>
      </w:r>
    </w:p>
    <w:p w14:paraId="5B6A59F9" w14:textId="50B153B3" w:rsidR="000375CF" w:rsidRPr="00982C80" w:rsidRDefault="00DE31B2" w:rsidP="000375CF">
      <w:pPr>
        <w:pStyle w:val="NormalHanging12a"/>
      </w:pPr>
      <w:r>
        <w:t>56</w:t>
      </w:r>
      <w:r w:rsidR="000375CF" w:rsidRPr="00982C80">
        <w:t>.</w:t>
      </w:r>
      <w:r w:rsidR="000375CF" w:rsidRPr="00982C80">
        <w:tab/>
        <w:t>naglašava da je strategija Global Gateway, kao dio paketa instrumenata EU-a za vanjsko djelovanje, ključna za globalni položaj Europe i da joj je cilj promicanje multilateralnog sustava utemeljenog na pravilima, održivog razvoja, demokracije, ljudskih prava, rodne ravnopravnosti i vladavine prava; u tom pogledu podržava ulogu EIB-a kao vodeće razvojne banke EU-a; podsjeća na ključnu važnost predvidljivih jamstava iz proračuna EU-a kako bi se EIB-u omogućilo da nastavi poslovati izvan EU-a;</w:t>
      </w:r>
    </w:p>
    <w:p w14:paraId="1A0A981A" w14:textId="3DE4E3AD" w:rsidR="000375CF" w:rsidRPr="00982C80" w:rsidRDefault="00DE31B2" w:rsidP="000375CF">
      <w:pPr>
        <w:pStyle w:val="NormalHanging12a"/>
      </w:pPr>
      <w:r>
        <w:t>57</w:t>
      </w:r>
      <w:r w:rsidR="000375CF" w:rsidRPr="00982C80">
        <w:t>.</w:t>
      </w:r>
      <w:r w:rsidR="000375CF" w:rsidRPr="00982C80">
        <w:tab/>
        <w:t>traži veću transparentnost i prakse objavljivanja u skladu s drugim multinacionalnim razvojnim bankama, kao i na uspostavu neovisnog mehanizma za podnošenje pritužbi kojim se pritužbe mogu učinkovito obraditi i ispraviti; naglašava potrebu za učinkovitim mehanizmima kojima bi se osigurali sudjelovanje zajednica na koje utječu projekti koje financira EIB i odgovornost prema njima kako bi se osiguralo da projekti u okviru strategije Global Gateway odgovaraju lokalnim potrebama, da su rodno osjetljivi i da daju smislene razvojne rezultate; naglašava važnost sudjelovanja javnosti, posebno u postupcima planiranja, ocjenjivanja i praćenja kritičnih sirovina koje provodi EIB, uključujući slobodan prethodni informirani pristanak autohtonih zajednica, kako je predviđeno Deklaracijom UN-a o pravima autohtonih naroda;</w:t>
      </w:r>
    </w:p>
    <w:p w14:paraId="2379CD7A" w14:textId="10FF4209" w:rsidR="000375CF" w:rsidRPr="00982C80" w:rsidRDefault="00DE31B2" w:rsidP="000375CF">
      <w:pPr>
        <w:pStyle w:val="NormalHanging12a"/>
      </w:pPr>
      <w:r>
        <w:t>58</w:t>
      </w:r>
      <w:r w:rsidR="000375CF" w:rsidRPr="00982C80">
        <w:t>.</w:t>
      </w:r>
      <w:r w:rsidR="000375CF" w:rsidRPr="00982C80">
        <w:tab/>
        <w:t>ponovno poziva EIB Global da usmjeri operacije mješovitog financiranja na područja u kojima se njima može ostvariti dodana vrijednost za lokalno gospodarstvo, pri čemu treba izbjeći istiskivanje privatnog kapitala i zajamčiti da se mješovito financiranje ne koristi za osnovne javne usluge, posebice zdravstvo, obrazovanje i socijalnu zaštitu; podsjeća da bi ciljevi razvojne politike EU-a, a posebno cilj poboljšanja priuštivog pristupa zdravstvenoj skrbi, trebali usmjeravati ulaganja EIB-a u tom području kako bi se osigurali bolji zdravstveni ishodi za sve, a posebno za žene;</w:t>
      </w:r>
    </w:p>
    <w:p w14:paraId="12CC855C" w14:textId="2B95131C" w:rsidR="000375CF" w:rsidRPr="00982C80" w:rsidRDefault="00DE31B2" w:rsidP="000375CF">
      <w:pPr>
        <w:pStyle w:val="NormalHanging12a"/>
      </w:pPr>
      <w:r>
        <w:t>59</w:t>
      </w:r>
      <w:r w:rsidR="000375CF" w:rsidRPr="00982C80">
        <w:t>.</w:t>
      </w:r>
      <w:r w:rsidR="000375CF" w:rsidRPr="00982C80">
        <w:tab/>
        <w:t>očekuje da će se globalnim aktivnostima EIB-a također brzo odgovoriti na promjenjive okolnosti i hitne potrebe; ističe manjak financiranja razvojne pomoći koji je posljedica zamrzavanja pomoći SAD-a i smanjenja financiranja za globalni jug; traži pokretanje konkretnih inicijativa za sprečavanje humanitarnih ili zdravstvenih kriza, potporu panafričkoj trgovini, infrastrukturi i regionalnoj integraciji te jačanje veza s Europom; podržava namjeru da se u okviru instrumenta EIB Global povećaju rizičnije operacije, što je omogućeno mandatom Instrumenta za susjedstvo, razvoj i međunarodnu suradnju – Globalna Europa;</w:t>
      </w:r>
    </w:p>
    <w:p w14:paraId="4B24CB33" w14:textId="110AE9B9" w:rsidR="000375CF" w:rsidRPr="00982C80" w:rsidRDefault="00DE31B2" w:rsidP="000375CF">
      <w:pPr>
        <w:pStyle w:val="NormalHanging12a"/>
      </w:pPr>
      <w:r>
        <w:t>60</w:t>
      </w:r>
      <w:r w:rsidR="000375CF" w:rsidRPr="00982C80">
        <w:t>.</w:t>
      </w:r>
      <w:r w:rsidR="000375CF" w:rsidRPr="00982C80">
        <w:tab/>
        <w:t>izražava zabrinutost zbog informacija da neke projekte izvan EU-a koje financira EU, među ostalim u okviru strategije Global Gateway, provode kineska poduzeća koja ponekad dobivaju više ugovora koje financira EIB nego poduzeća iz EU-a; apelira na Komisiju da osigura jednake uvjete surađujući s EIB-om kako bi se potaknulo sudjelovanje europskih poduzeća; preporučuje prakse javne nabave kojima se prednost daje najboljem omjeru cijene i kvalitete, a ne najnižoj cijeni, čime se promiče pošteno tržišno natjecanje i usklađuje s vrijednostima EU-a;</w:t>
      </w:r>
    </w:p>
    <w:p w14:paraId="5D9446E1" w14:textId="6AB51BCC" w:rsidR="000375CF" w:rsidRPr="00982C80" w:rsidRDefault="00DE31B2" w:rsidP="000375CF">
      <w:pPr>
        <w:pStyle w:val="NormalHanging12a"/>
      </w:pPr>
      <w:r>
        <w:t>61</w:t>
      </w:r>
      <w:r w:rsidR="000375CF" w:rsidRPr="00982C80">
        <w:t>.</w:t>
      </w:r>
      <w:r w:rsidR="000375CF" w:rsidRPr="00982C80">
        <w:tab/>
        <w:t>podržava napore EIB-a, zajedno s devet drugih multilateralnih razvojnih banaka, da ojača njihovu suradnju u promicanju napretka u ostvarivanju ciljeva održivog razvoja; poziva EIB da i dalje surađuje s drugim bilateralnim i multilateralnim institucijama na razvoju i primjeni zajedničkih metodologija za analizu razvojnog učinka s ciljem osiguravanja dugoročnih pozitivnih učinaka i dodane vrijednosti;</w:t>
      </w:r>
    </w:p>
    <w:p w14:paraId="1C702066" w14:textId="40F846CA" w:rsidR="000375CF" w:rsidRPr="00982C80" w:rsidRDefault="00DE31B2" w:rsidP="000375CF">
      <w:pPr>
        <w:pStyle w:val="NormalHanging12a"/>
      </w:pPr>
      <w:r>
        <w:lastRenderedPageBreak/>
        <w:t>62</w:t>
      </w:r>
      <w:r w:rsidR="000375CF" w:rsidRPr="00982C80">
        <w:t>.</w:t>
      </w:r>
      <w:r w:rsidR="000375CF" w:rsidRPr="00982C80">
        <w:tab/>
        <w:t>podržava najavu EIB-a da će pojačati potporu sektorima kao što su vodoopskrba, mala poduzeća, obnovljiva energija i energetska učinkovitost te da će dodatno ojačati partnerstva u Europi i svijetu kako bi se ostvario najveći mogući učinak na terenu;</w:t>
      </w:r>
    </w:p>
    <w:p w14:paraId="1497A9CC" w14:textId="77777777" w:rsidR="000375CF" w:rsidRPr="00982C80" w:rsidRDefault="000375CF" w:rsidP="000375CF">
      <w:pPr>
        <w:pStyle w:val="Normal12a24b"/>
      </w:pPr>
      <w:r w:rsidRPr="00982C80">
        <w:rPr>
          <w:rStyle w:val="BoldItalic"/>
        </w:rPr>
        <w:t xml:space="preserve">Upravljanje: odgovornost i transparentnost </w:t>
      </w:r>
    </w:p>
    <w:p w14:paraId="1959A831" w14:textId="0FC07985" w:rsidR="000375CF" w:rsidRPr="00982C80" w:rsidRDefault="00DE31B2" w:rsidP="000375CF">
      <w:pPr>
        <w:pStyle w:val="NormalHanging12a"/>
      </w:pPr>
      <w:r>
        <w:t>63</w:t>
      </w:r>
      <w:r w:rsidR="000375CF" w:rsidRPr="00982C80">
        <w:t>.</w:t>
      </w:r>
      <w:r w:rsidR="000375CF" w:rsidRPr="00982C80">
        <w:tab/>
        <w:t>naglašava da bi zbog svoje rastuće uloge EIB trebao imati veću demokratsku odgovornost i transparentnost, što uključuje pravodobno objavljivanje dokumenata povezanih s projektima; ponovno poziva na međuinstitucijski sporazum između Parlamenta i EIB-a kako bi se formalizirala i poboljšala postojeća suradnja, među ostalim redovitim strukturiranim dijalogom, poboljšanim pristupom Parlamenta dokumentima i podacima EIB-a te mogućnošću da Parlament EIB-u podnese pitanja za pisani odgovor, kao što je to već slučaj s Europskom središnjom bankom; u tom kontekstu traži od EIB-a da Parlamentu pruži jasan i pojednostavnjen pregled iznosa sredstava koji iz proračuna EU-a ulazi u njegovu bilancu, izvanbilančne stavke te račun dobiti i gubitka;</w:t>
      </w:r>
    </w:p>
    <w:p w14:paraId="1F96124E" w14:textId="66029764" w:rsidR="000375CF" w:rsidRPr="00982C80" w:rsidRDefault="00DE31B2" w:rsidP="000375CF">
      <w:pPr>
        <w:pStyle w:val="NormalHanging12a"/>
      </w:pPr>
      <w:r>
        <w:rPr>
          <w:rStyle w:val="normaltextrun"/>
          <w:color w:val="000000"/>
          <w:shd w:val="clear" w:color="auto" w:fill="FFFFFF"/>
        </w:rPr>
        <w:t>64</w:t>
      </w:r>
      <w:r w:rsidR="000375CF" w:rsidRPr="00982C80">
        <w:rPr>
          <w:rStyle w:val="normaltextrun"/>
          <w:color w:val="000000"/>
          <w:shd w:val="clear" w:color="auto" w:fill="FFFFFF"/>
        </w:rPr>
        <w:t>.</w:t>
      </w:r>
      <w:r w:rsidR="000375CF" w:rsidRPr="00982C80">
        <w:rPr>
          <w:rStyle w:val="normaltextrun"/>
          <w:color w:val="000000"/>
          <w:shd w:val="clear" w:color="auto" w:fill="FFFFFF"/>
        </w:rPr>
        <w:tab/>
        <w:t>i</w:t>
      </w:r>
      <w:r w:rsidR="000375CF" w:rsidRPr="00982C80">
        <w:t>stiče da je važno da EIB osigura potpunu transparentnost i sljedivost financiranih projekata, uključujući detaljnije informacije, kako bi se omogućio odgovarajući nadzor svim relevantnim dionicima, među ostalim organizacijama civilnog društva, a ne samo nadležnim ministarstvima;</w:t>
      </w:r>
      <w:r w:rsidR="000375CF" w:rsidRPr="00982C80">
        <w:rPr>
          <w:rStyle w:val="normaltextrun"/>
          <w:color w:val="000000"/>
          <w:shd w:val="clear" w:color="auto" w:fill="FFFFFF"/>
        </w:rPr>
        <w:t xml:space="preserve"> podsjeća da svi primatelji sredstava EU-a imaju opću obvezu istaknuti podrijetlo tih sredstava i osigurati vidljivost svih sredstava koja su primili od EU-a; poziva Grupu EIB-a da osigura da krajnji primatelji ispunjavaju kriterije vidljivosti financijske potpore EU-a;</w:t>
      </w:r>
    </w:p>
    <w:p w14:paraId="5B48FE25" w14:textId="0C76BA63" w:rsidR="000375CF" w:rsidRPr="00982C80" w:rsidRDefault="00DE31B2" w:rsidP="000375CF">
      <w:pPr>
        <w:pStyle w:val="NormalHanging12a"/>
      </w:pPr>
      <w:r>
        <w:t>65</w:t>
      </w:r>
      <w:r w:rsidR="000375CF" w:rsidRPr="00982C80">
        <w:t>.</w:t>
      </w:r>
      <w:r w:rsidR="000375CF" w:rsidRPr="00982C80">
        <w:tab/>
        <w:t>poziva EIB da potakne sudjelovanje europskih poduzeća u postupcima nabave koji su pokrenuti za projekte koje financira EIB; potiče EIB da savjetuje zajmoprimce da daju prednost prihvatljivosti europskih poduzeća radi jačanja europske konkurentnosti;</w:t>
      </w:r>
    </w:p>
    <w:p w14:paraId="1A4ABA0B" w14:textId="41D92063" w:rsidR="000375CF" w:rsidRPr="00982C80" w:rsidRDefault="00DE31B2" w:rsidP="000375CF">
      <w:pPr>
        <w:pStyle w:val="NormalHanging12a"/>
      </w:pPr>
      <w:r>
        <w:t>66</w:t>
      </w:r>
      <w:r w:rsidR="000375CF" w:rsidRPr="00982C80">
        <w:t>.</w:t>
      </w:r>
      <w:r w:rsidR="000375CF" w:rsidRPr="00982C80">
        <w:tab/>
        <w:t xml:space="preserve">naglašava da je važno da Grupa EIB-a zadrži najviše standarde u sprečavanju svih oblika prijevare, utaje poreza, izbjegavanja plaćanja poreza, pranja novca i financiranja terorizma; napominje da je zaštita integriteta financiranja Grupe EIB-a ključna za jamčenje povjerenja javnosti i učinkovite upotrebe resursa; prima na znanje istrage koje je proveo Europski ombudsman i istrage koje provode Ured europskog javnog tužitelja i Europski ured za borbu protiv prijevara te očekuje potpunu jasnoću i odgovarajuće daljnje postupanje, uključujući sve potrebne posljedice; </w:t>
      </w:r>
    </w:p>
    <w:p w14:paraId="3FD0015A" w14:textId="41BC4730" w:rsidR="000375CF" w:rsidRPr="00982C80" w:rsidRDefault="00DE31B2" w:rsidP="000375CF">
      <w:pPr>
        <w:pStyle w:val="NormalHanging12a"/>
      </w:pPr>
      <w:r>
        <w:t>67</w:t>
      </w:r>
      <w:r w:rsidR="000375CF" w:rsidRPr="00982C80">
        <w:t>.</w:t>
      </w:r>
      <w:r w:rsidR="000375CF" w:rsidRPr="00982C80">
        <w:tab/>
      </w:r>
      <w:r w:rsidR="000375CF" w:rsidRPr="00982C80">
        <w:rPr>
          <w:rStyle w:val="normaltextrun"/>
          <w:color w:val="000000"/>
          <w:shd w:val="clear" w:color="auto" w:fill="FFFFFF"/>
        </w:rPr>
        <w:t>ponovno traži od EIB-a</w:t>
      </w:r>
      <w:r w:rsidR="000375CF" w:rsidRPr="00982C80">
        <w:t xml:space="preserve"> da razmotri usklađivanje podjele rada unutar Upravljačkog odbora s preporukama institucija EU-a kako bi se doprinijelo ublažavanju mogućih sukoba interesa;</w:t>
      </w:r>
    </w:p>
    <w:p w14:paraId="29D0ACDE" w14:textId="6F03D261" w:rsidR="000375CF" w:rsidRPr="00982C80" w:rsidRDefault="00DE31B2" w:rsidP="000375CF">
      <w:pPr>
        <w:pStyle w:val="NormalHanging12a"/>
      </w:pPr>
      <w:r>
        <w:t>68</w:t>
      </w:r>
      <w:r w:rsidR="000375CF" w:rsidRPr="00982C80">
        <w:t>.</w:t>
      </w:r>
      <w:r w:rsidR="000375CF" w:rsidRPr="00982C80">
        <w:tab/>
        <w:t>podržava Okvir za priznavanje sindikata u Europskoj investicijskoj banci iz 2024.;</w:t>
      </w:r>
    </w:p>
    <w:p w14:paraId="45848BF4" w14:textId="00AABA32" w:rsidR="000375CF" w:rsidRPr="00982C80" w:rsidRDefault="00DE31B2" w:rsidP="000375CF">
      <w:pPr>
        <w:pStyle w:val="NormalHanging12a"/>
      </w:pPr>
      <w:r>
        <w:t>69</w:t>
      </w:r>
      <w:r w:rsidR="000375CF" w:rsidRPr="00982C80">
        <w:t>.</w:t>
      </w:r>
      <w:r w:rsidR="000375CF" w:rsidRPr="00982C80">
        <w:tab/>
        <w:t>podržava EIB-ova načela raznolikosti, pravednosti i uključivosti, među ostalim cilj da do kraja 2026. žene budu na najmanje 40 % rukovodećih položaja; traži da zastupljenost državljanstava EU-a među osobljem bude zemljopisno uravnotežena;</w:t>
      </w:r>
    </w:p>
    <w:p w14:paraId="08F9D82D" w14:textId="30B5B375" w:rsidR="000375CF" w:rsidRPr="00982C80" w:rsidRDefault="00DE31B2" w:rsidP="000375CF">
      <w:pPr>
        <w:pStyle w:val="NormalHanging12a"/>
        <w:rPr>
          <w:rStyle w:val="normaltextrun"/>
          <w:bCs/>
          <w:iCs/>
          <w:color w:val="000000"/>
          <w:shd w:val="clear" w:color="auto" w:fill="FFFFFF"/>
        </w:rPr>
      </w:pPr>
      <w:r>
        <w:t>70</w:t>
      </w:r>
      <w:r w:rsidR="000375CF" w:rsidRPr="00982C80">
        <w:t>.</w:t>
      </w:r>
      <w:r w:rsidR="000375CF" w:rsidRPr="00982C80">
        <w:tab/>
        <w:t>ističe da treba ojačati politike EIB-a u području ljudskih prava, uključujući uspostavu jasnog i učinkovitog okvira i strategije dužne pažnje u pogledu ljudskih prava; naglašava da bi procjene učinka na okoliš i društvo trebali provoditi neovisni stručnjaci te da bi trebalo uvesti neovisne mehanizme provjere kako bi se nadziralo samopraćenje i samoizvješćivanje koje provode klijenti EIB-a</w:t>
      </w:r>
      <w:r w:rsidR="000375CF" w:rsidRPr="00982C80">
        <w:rPr>
          <w:rStyle w:val="normaltextrun"/>
          <w:color w:val="000000"/>
          <w:shd w:val="clear" w:color="auto" w:fill="FFFFFF"/>
        </w:rPr>
        <w:t xml:space="preserve">; </w:t>
      </w:r>
    </w:p>
    <w:p w14:paraId="73E6E33A" w14:textId="77777777" w:rsidR="000375CF" w:rsidRPr="00982C80" w:rsidRDefault="000375CF" w:rsidP="000375CF">
      <w:pPr>
        <w:pStyle w:val="NormalHanging12a"/>
        <w:jc w:val="center"/>
      </w:pPr>
      <w:r w:rsidRPr="00982C80">
        <w:lastRenderedPageBreak/>
        <w:t>°</w:t>
      </w:r>
    </w:p>
    <w:p w14:paraId="7BA820B4" w14:textId="77777777" w:rsidR="000375CF" w:rsidRPr="00982C80" w:rsidRDefault="000375CF" w:rsidP="000375CF">
      <w:pPr>
        <w:pStyle w:val="NormalHanging12a"/>
        <w:jc w:val="center"/>
      </w:pPr>
      <w:r w:rsidRPr="00982C80">
        <w:t>°</w:t>
      </w:r>
      <w:r w:rsidRPr="00982C80">
        <w:tab/>
        <w:t>°</w:t>
      </w:r>
    </w:p>
    <w:p w14:paraId="7BFB844F" w14:textId="45B2582F" w:rsidR="004D5BF0" w:rsidRPr="00982C80" w:rsidRDefault="00DE31B2" w:rsidP="004D5BF0">
      <w:pPr>
        <w:pStyle w:val="NormalHanging12a"/>
      </w:pPr>
      <w:r>
        <w:t>71</w:t>
      </w:r>
      <w:r w:rsidR="000375CF" w:rsidRPr="00982C80">
        <w:t>.</w:t>
      </w:r>
      <w:r w:rsidR="000375CF" w:rsidRPr="00982C80">
        <w:tab/>
        <w:t>nalaže svojoj predsjednici da ovu Rezoluciju proslijedi Vijeću, Komisiji i Europskoj investicijskoj banci.</w:t>
      </w:r>
    </w:p>
    <w:p w14:paraId="342BEB64" w14:textId="68BCDCF7" w:rsidR="00E365E1" w:rsidRPr="00982C80" w:rsidRDefault="00E365E1" w:rsidP="00553715"/>
    <w:sectPr w:rsidR="00E365E1" w:rsidRPr="00982C80" w:rsidSect="004D5BF0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4B06BE" w14:textId="77777777" w:rsidR="00553715" w:rsidRPr="004D5BF0" w:rsidRDefault="00553715">
      <w:r w:rsidRPr="004D5BF0">
        <w:separator/>
      </w:r>
    </w:p>
  </w:endnote>
  <w:endnote w:type="continuationSeparator" w:id="0">
    <w:p w14:paraId="08989120" w14:textId="77777777" w:rsidR="00553715" w:rsidRPr="004D5BF0" w:rsidRDefault="00553715">
      <w:r w:rsidRPr="004D5BF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EED903" w14:textId="77777777" w:rsidR="00553715" w:rsidRPr="004D5BF0" w:rsidRDefault="00553715">
      <w:r w:rsidRPr="004D5BF0">
        <w:separator/>
      </w:r>
    </w:p>
  </w:footnote>
  <w:footnote w:type="continuationSeparator" w:id="0">
    <w:p w14:paraId="6AAAEF5C" w14:textId="77777777" w:rsidR="00553715" w:rsidRPr="004D5BF0" w:rsidRDefault="00553715">
      <w:r w:rsidRPr="004D5BF0">
        <w:continuationSeparator/>
      </w:r>
    </w:p>
  </w:footnote>
  <w:footnote w:id="1">
    <w:p w14:paraId="2912C437" w14:textId="493009F8" w:rsidR="000375CF" w:rsidRPr="004D5BF0" w:rsidRDefault="000375CF" w:rsidP="004D5BF0">
      <w:pPr>
        <w:pStyle w:val="FootnoteText"/>
        <w:ind w:left="567" w:hanging="567"/>
        <w:rPr>
          <w:sz w:val="24"/>
          <w:lang w:val="hr-HR"/>
        </w:rPr>
      </w:pPr>
      <w:r w:rsidRPr="004D5BF0">
        <w:rPr>
          <w:rStyle w:val="FootnoteReference"/>
          <w:sz w:val="24"/>
          <w:lang w:val="hr-HR"/>
        </w:rPr>
        <w:footnoteRef/>
      </w:r>
      <w:r w:rsidR="004D5BF0" w:rsidRPr="004D5BF0">
        <w:rPr>
          <w:sz w:val="24"/>
          <w:lang w:val="hr-HR"/>
        </w:rPr>
        <w:t xml:space="preserve"> </w:t>
      </w:r>
      <w:r w:rsidR="004D5BF0" w:rsidRPr="004D5BF0">
        <w:rPr>
          <w:sz w:val="24"/>
          <w:lang w:val="hr-HR"/>
        </w:rPr>
        <w:tab/>
      </w:r>
      <w:r w:rsidRPr="004D5BF0">
        <w:rPr>
          <w:sz w:val="24"/>
          <w:lang w:val="hr-HR"/>
        </w:rPr>
        <w:t xml:space="preserve">SL L, 2025/504, 14.3.2025., ELI: </w:t>
      </w:r>
      <w:hyperlink r:id="rId1" w:history="1">
        <w:r w:rsidRPr="004D5BF0">
          <w:rPr>
            <w:rStyle w:val="Hyperlink"/>
            <w:sz w:val="24"/>
            <w:lang w:val="hr-HR"/>
          </w:rPr>
          <w:t>http://data.europa.eu/eli/dec/2025/504/oj</w:t>
        </w:r>
      </w:hyperlink>
      <w:r w:rsidRPr="004D5BF0">
        <w:rPr>
          <w:sz w:val="24"/>
          <w:lang w:val="hr-HR"/>
        </w:rPr>
        <w:t>.</w:t>
      </w:r>
    </w:p>
  </w:footnote>
  <w:footnote w:id="2">
    <w:p w14:paraId="4FFE4BD2" w14:textId="10546608" w:rsidR="000375CF" w:rsidRPr="004D5BF0" w:rsidRDefault="000375CF" w:rsidP="004D5BF0">
      <w:pPr>
        <w:pStyle w:val="FootnoteText"/>
        <w:ind w:left="567" w:hanging="567"/>
        <w:rPr>
          <w:i/>
          <w:sz w:val="24"/>
          <w:lang w:val="hr-HR"/>
        </w:rPr>
      </w:pPr>
      <w:r w:rsidRPr="004D5BF0">
        <w:rPr>
          <w:rStyle w:val="FootnoteReference"/>
          <w:sz w:val="24"/>
          <w:lang w:val="hr-HR"/>
        </w:rPr>
        <w:footnoteRef/>
      </w:r>
      <w:r w:rsidR="004D5BF0" w:rsidRPr="004D5BF0">
        <w:rPr>
          <w:sz w:val="24"/>
          <w:lang w:val="hr-HR"/>
        </w:rPr>
        <w:t xml:space="preserve"> </w:t>
      </w:r>
      <w:r w:rsidR="004D5BF0" w:rsidRPr="004D5BF0">
        <w:rPr>
          <w:sz w:val="24"/>
          <w:lang w:val="hr-HR"/>
        </w:rPr>
        <w:tab/>
      </w:r>
      <w:r w:rsidRPr="004D5BF0">
        <w:rPr>
          <w:sz w:val="24"/>
          <w:lang w:val="hr-HR"/>
        </w:rPr>
        <w:t xml:space="preserve">Europska komisija: Glavna uprava za obrambenu industriju i svemir, </w:t>
      </w:r>
      <w:r w:rsidRPr="004D5BF0">
        <w:rPr>
          <w:i/>
          <w:sz w:val="24"/>
          <w:lang w:val="hr-HR"/>
        </w:rPr>
        <w:t>Pristup financiranju vlasničkim kapitalom za MSP-ove u području europske obrane</w:t>
      </w:r>
      <w:r w:rsidRPr="004D5BF0">
        <w:rPr>
          <w:sz w:val="24"/>
          <w:lang w:val="hr-HR"/>
        </w:rPr>
        <w:t xml:space="preserve">, Ured za publikacije Europske unije, 2024., </w:t>
      </w:r>
      <w:hyperlink r:id="rId2" w:history="1">
        <w:r w:rsidRPr="004D5BF0">
          <w:rPr>
            <w:rStyle w:val="Hyperlink"/>
            <w:sz w:val="24"/>
            <w:lang w:val="hr-HR"/>
          </w:rPr>
          <w:t>https://data.europa.eu/doi/10.2889/698738</w:t>
        </w:r>
      </w:hyperlink>
      <w:r w:rsidRPr="004D5BF0">
        <w:rPr>
          <w:sz w:val="24"/>
          <w:lang w:val="hr-HR"/>
        </w:rPr>
        <w:t>.</w:t>
      </w:r>
    </w:p>
  </w:footnote>
  <w:footnote w:id="3">
    <w:p w14:paraId="69AF88F5" w14:textId="391DB973" w:rsidR="000375CF" w:rsidRPr="004D5BF0" w:rsidRDefault="000375CF" w:rsidP="004D5BF0">
      <w:pPr>
        <w:pStyle w:val="FootnoteText"/>
        <w:ind w:left="567" w:hanging="567"/>
        <w:rPr>
          <w:sz w:val="24"/>
          <w:lang w:val="hr-HR"/>
        </w:rPr>
      </w:pPr>
      <w:r w:rsidRPr="004D5BF0">
        <w:rPr>
          <w:rStyle w:val="FootnoteReference"/>
          <w:sz w:val="24"/>
          <w:lang w:val="hr-HR"/>
        </w:rPr>
        <w:footnoteRef/>
      </w:r>
      <w:r w:rsidR="004D5BF0" w:rsidRPr="004D5BF0">
        <w:rPr>
          <w:sz w:val="24"/>
          <w:lang w:val="hr-HR"/>
        </w:rPr>
        <w:t xml:space="preserve"> </w:t>
      </w:r>
      <w:r w:rsidR="004D5BF0" w:rsidRPr="004D5BF0">
        <w:rPr>
          <w:sz w:val="24"/>
          <w:lang w:val="hr-HR"/>
        </w:rPr>
        <w:tab/>
      </w:r>
      <w:r w:rsidRPr="004D5BF0">
        <w:rPr>
          <w:sz w:val="24"/>
          <w:lang w:val="hr-HR"/>
        </w:rPr>
        <w:t xml:space="preserve">SL L 57, 18.2.2021., str. 17., ELI: </w:t>
      </w:r>
      <w:hyperlink r:id="rId3" w:history="1">
        <w:r w:rsidRPr="004D5BF0">
          <w:rPr>
            <w:rStyle w:val="Hyperlink"/>
            <w:sz w:val="24"/>
            <w:lang w:val="hr-HR"/>
          </w:rPr>
          <w:t>http://data.europa.eu/eli/reg/2021/241/oj</w:t>
        </w:r>
      </w:hyperlink>
      <w:r w:rsidRPr="004D5BF0">
        <w:rPr>
          <w:sz w:val="24"/>
          <w:lang w:val="hr-HR"/>
        </w:rPr>
        <w:t>.</w:t>
      </w:r>
    </w:p>
  </w:footnote>
  <w:footnote w:id="4">
    <w:p w14:paraId="0E261EC3" w14:textId="3BA5B1E2" w:rsidR="000375CF" w:rsidRPr="004D5BF0" w:rsidRDefault="000375CF" w:rsidP="004D5BF0">
      <w:pPr>
        <w:pStyle w:val="FootnoteText"/>
        <w:ind w:left="567" w:hanging="567"/>
        <w:rPr>
          <w:sz w:val="24"/>
          <w:lang w:val="hr-HR"/>
        </w:rPr>
      </w:pPr>
      <w:r w:rsidRPr="004D5BF0">
        <w:rPr>
          <w:rStyle w:val="FootnoteReference"/>
          <w:sz w:val="24"/>
          <w:lang w:val="hr-HR"/>
        </w:rPr>
        <w:footnoteRef/>
      </w:r>
      <w:r w:rsidR="004D5BF0" w:rsidRPr="004D5BF0">
        <w:rPr>
          <w:sz w:val="24"/>
          <w:lang w:val="hr-HR"/>
        </w:rPr>
        <w:t xml:space="preserve"> </w:t>
      </w:r>
      <w:r w:rsidR="004D5BF0" w:rsidRPr="004D5BF0">
        <w:rPr>
          <w:sz w:val="24"/>
          <w:lang w:val="hr-HR"/>
        </w:rPr>
        <w:tab/>
      </w:r>
      <w:r w:rsidRPr="004D5BF0">
        <w:rPr>
          <w:sz w:val="24"/>
          <w:lang w:val="hr-HR"/>
        </w:rPr>
        <w:t xml:space="preserve">SL L 107, 26.3.2021., str. 30., ELI: </w:t>
      </w:r>
      <w:hyperlink r:id="rId4" w:history="1">
        <w:r w:rsidRPr="004D5BF0">
          <w:rPr>
            <w:rStyle w:val="Hyperlink"/>
            <w:sz w:val="24"/>
            <w:lang w:val="hr-HR"/>
          </w:rPr>
          <w:t>http://data.europa.eu/eli/reg/2021/523/oj</w:t>
        </w:r>
      </w:hyperlink>
      <w:r w:rsidRPr="004D5BF0">
        <w:rPr>
          <w:sz w:val="24"/>
          <w:lang w:val="hr-HR"/>
        </w:rPr>
        <w:t>.</w:t>
      </w:r>
    </w:p>
  </w:footnote>
  <w:footnote w:id="5">
    <w:p w14:paraId="6776C6B3" w14:textId="21D36654" w:rsidR="000375CF" w:rsidRPr="004D5BF0" w:rsidRDefault="000375CF" w:rsidP="004D5BF0">
      <w:pPr>
        <w:pStyle w:val="FootnoteText"/>
        <w:ind w:left="567" w:hanging="567"/>
        <w:rPr>
          <w:sz w:val="24"/>
          <w:lang w:val="hr-HR"/>
        </w:rPr>
      </w:pPr>
      <w:r w:rsidRPr="004D5BF0">
        <w:rPr>
          <w:rStyle w:val="FootnoteReference"/>
          <w:sz w:val="24"/>
          <w:lang w:val="hr-HR"/>
        </w:rPr>
        <w:footnoteRef/>
      </w:r>
      <w:r w:rsidR="004D5BF0" w:rsidRPr="004D5BF0">
        <w:rPr>
          <w:sz w:val="24"/>
          <w:lang w:val="hr-HR"/>
        </w:rPr>
        <w:t xml:space="preserve"> </w:t>
      </w:r>
      <w:r w:rsidR="004D5BF0" w:rsidRPr="004D5BF0">
        <w:rPr>
          <w:sz w:val="24"/>
          <w:lang w:val="hr-HR"/>
        </w:rPr>
        <w:tab/>
      </w:r>
      <w:r w:rsidRPr="004D5BF0">
        <w:rPr>
          <w:sz w:val="24"/>
          <w:lang w:val="hr-HR"/>
        </w:rPr>
        <w:t xml:space="preserve">SL L 209, 14.6.2021., str. 1., ELI: </w:t>
      </w:r>
      <w:hyperlink r:id="rId5" w:history="1">
        <w:r w:rsidRPr="004D5BF0">
          <w:rPr>
            <w:rStyle w:val="Hyperlink"/>
            <w:sz w:val="24"/>
            <w:lang w:val="hr-HR"/>
          </w:rPr>
          <w:t>http://data.europa.eu/eli/reg/2021/947/oj</w:t>
        </w:r>
      </w:hyperlink>
      <w:r w:rsidRPr="004D5BF0">
        <w:rPr>
          <w:sz w:val="24"/>
          <w:lang w:val="hr-HR"/>
        </w:rPr>
        <w:t>.</w:t>
      </w:r>
    </w:p>
  </w:footnote>
  <w:footnote w:id="6">
    <w:p w14:paraId="52B1B324" w14:textId="72C31770" w:rsidR="000375CF" w:rsidRPr="004D5BF0" w:rsidRDefault="000375CF" w:rsidP="004D5BF0">
      <w:pPr>
        <w:pStyle w:val="FootnoteText"/>
        <w:ind w:left="567" w:hanging="567"/>
        <w:rPr>
          <w:sz w:val="24"/>
          <w:lang w:val="hr-HR"/>
        </w:rPr>
      </w:pPr>
      <w:r w:rsidRPr="004D5BF0">
        <w:rPr>
          <w:rStyle w:val="FootnoteReference"/>
          <w:sz w:val="24"/>
          <w:lang w:val="hr-HR"/>
        </w:rPr>
        <w:footnoteRef/>
      </w:r>
      <w:r w:rsidR="004D5BF0" w:rsidRPr="004D5BF0">
        <w:rPr>
          <w:sz w:val="24"/>
          <w:lang w:val="hr-HR"/>
        </w:rPr>
        <w:t xml:space="preserve"> </w:t>
      </w:r>
      <w:r w:rsidR="004D5BF0" w:rsidRPr="004D5BF0">
        <w:rPr>
          <w:sz w:val="24"/>
          <w:lang w:val="hr-HR"/>
        </w:rPr>
        <w:tab/>
      </w:r>
      <w:r w:rsidRPr="004D5BF0">
        <w:rPr>
          <w:sz w:val="24"/>
          <w:lang w:val="hr-HR"/>
        </w:rPr>
        <w:t xml:space="preserve">SL L 231, 30.6.2021., str. 1., ELI: </w:t>
      </w:r>
      <w:hyperlink r:id="rId6" w:history="1">
        <w:r w:rsidRPr="004D5BF0">
          <w:rPr>
            <w:rStyle w:val="Hyperlink"/>
            <w:sz w:val="24"/>
            <w:lang w:val="hr-HR"/>
          </w:rPr>
          <w:t>http://data.europa.eu/eli/reg/2021/1056/oj</w:t>
        </w:r>
      </w:hyperlink>
      <w:r w:rsidRPr="004D5BF0">
        <w:rPr>
          <w:sz w:val="24"/>
          <w:lang w:val="hr-HR"/>
        </w:rPr>
        <w:t>.</w:t>
      </w:r>
    </w:p>
  </w:footnote>
  <w:footnote w:id="7">
    <w:p w14:paraId="06325E6C" w14:textId="2BE73E71" w:rsidR="000375CF" w:rsidRPr="004D5BF0" w:rsidRDefault="000375CF" w:rsidP="004D5BF0">
      <w:pPr>
        <w:pStyle w:val="FootnoteText"/>
        <w:ind w:left="567" w:hanging="567"/>
        <w:rPr>
          <w:sz w:val="24"/>
          <w:lang w:val="hr-HR"/>
        </w:rPr>
      </w:pPr>
      <w:r w:rsidRPr="004D5BF0">
        <w:rPr>
          <w:rStyle w:val="FootnoteReference"/>
          <w:sz w:val="24"/>
          <w:lang w:val="hr-HR"/>
        </w:rPr>
        <w:footnoteRef/>
      </w:r>
      <w:r w:rsidR="004D5BF0" w:rsidRPr="004D5BF0">
        <w:rPr>
          <w:sz w:val="24"/>
          <w:lang w:val="hr-HR"/>
        </w:rPr>
        <w:t xml:space="preserve"> </w:t>
      </w:r>
      <w:r w:rsidR="004D5BF0" w:rsidRPr="004D5BF0">
        <w:rPr>
          <w:sz w:val="24"/>
          <w:lang w:val="hr-HR"/>
        </w:rPr>
        <w:tab/>
      </w:r>
      <w:r w:rsidRPr="004D5BF0">
        <w:rPr>
          <w:sz w:val="24"/>
          <w:lang w:val="hr-HR"/>
        </w:rPr>
        <w:t xml:space="preserve">SL L 274, 30.7.2021., str. 1., ELI: </w:t>
      </w:r>
      <w:hyperlink r:id="rId7" w:history="1">
        <w:r w:rsidRPr="004D5BF0">
          <w:rPr>
            <w:rStyle w:val="Hyperlink"/>
            <w:sz w:val="24"/>
            <w:lang w:val="hr-HR"/>
          </w:rPr>
          <w:t>http://data.europa.eu/eli/reg/2021/1229/oj</w:t>
        </w:r>
      </w:hyperlink>
      <w:r w:rsidRPr="004D5BF0">
        <w:rPr>
          <w:sz w:val="24"/>
          <w:lang w:val="hr-HR"/>
        </w:rPr>
        <w:t>.</w:t>
      </w:r>
    </w:p>
  </w:footnote>
  <w:footnote w:id="8">
    <w:p w14:paraId="555D0FC1" w14:textId="4F6327E9" w:rsidR="000375CF" w:rsidRPr="004D5BF0" w:rsidRDefault="000375CF" w:rsidP="004D5BF0">
      <w:pPr>
        <w:pStyle w:val="FootnoteText"/>
        <w:ind w:left="567" w:hanging="567"/>
        <w:rPr>
          <w:sz w:val="24"/>
          <w:lang w:val="hr-HR"/>
        </w:rPr>
      </w:pPr>
      <w:r w:rsidRPr="004D5BF0">
        <w:rPr>
          <w:rStyle w:val="FootnoteReference"/>
          <w:sz w:val="24"/>
          <w:lang w:val="hr-HR"/>
        </w:rPr>
        <w:footnoteRef/>
      </w:r>
      <w:r w:rsidR="004D5BF0" w:rsidRPr="004D5BF0">
        <w:rPr>
          <w:sz w:val="24"/>
          <w:lang w:val="hr-HR"/>
        </w:rPr>
        <w:t xml:space="preserve"> </w:t>
      </w:r>
      <w:r w:rsidR="004D5BF0" w:rsidRPr="004D5BF0">
        <w:rPr>
          <w:sz w:val="24"/>
          <w:lang w:val="hr-HR"/>
        </w:rPr>
        <w:tab/>
      </w:r>
      <w:r w:rsidRPr="004D5BF0">
        <w:rPr>
          <w:sz w:val="24"/>
          <w:lang w:val="hr-HR"/>
        </w:rPr>
        <w:t xml:space="preserve">SL L, 2024/795, 29.2.2024., ELI: </w:t>
      </w:r>
      <w:hyperlink r:id="rId8" w:history="1">
        <w:r w:rsidRPr="004D5BF0">
          <w:rPr>
            <w:rStyle w:val="Hyperlink"/>
            <w:sz w:val="24"/>
            <w:lang w:val="hr-HR"/>
          </w:rPr>
          <w:t>http://data.europa.eu/eli/reg/2024/795/oj</w:t>
        </w:r>
      </w:hyperlink>
      <w:r w:rsidRPr="004D5BF0">
        <w:rPr>
          <w:sz w:val="24"/>
          <w:lang w:val="hr-HR"/>
        </w:rPr>
        <w:t>.</w:t>
      </w:r>
    </w:p>
  </w:footnote>
  <w:footnote w:id="9">
    <w:p w14:paraId="6E3233A1" w14:textId="363E8250" w:rsidR="000375CF" w:rsidRPr="004D5BF0" w:rsidRDefault="000375CF" w:rsidP="004D5BF0">
      <w:pPr>
        <w:pStyle w:val="FootnoteText"/>
        <w:ind w:left="567" w:hanging="567"/>
        <w:rPr>
          <w:sz w:val="24"/>
          <w:lang w:val="hr-HR"/>
        </w:rPr>
      </w:pPr>
      <w:r w:rsidRPr="004D5BF0">
        <w:rPr>
          <w:rStyle w:val="FootnoteReference"/>
          <w:sz w:val="24"/>
          <w:lang w:val="hr-HR"/>
        </w:rPr>
        <w:footnoteRef/>
      </w:r>
      <w:r w:rsidR="004D5BF0" w:rsidRPr="004D5BF0">
        <w:rPr>
          <w:sz w:val="24"/>
          <w:lang w:val="hr-HR"/>
        </w:rPr>
        <w:t xml:space="preserve"> </w:t>
      </w:r>
      <w:r w:rsidR="004D5BF0" w:rsidRPr="004D5BF0">
        <w:rPr>
          <w:sz w:val="24"/>
          <w:lang w:val="hr-HR"/>
        </w:rPr>
        <w:tab/>
      </w:r>
      <w:r w:rsidRPr="004D5BF0">
        <w:rPr>
          <w:sz w:val="24"/>
          <w:lang w:val="hr-HR"/>
        </w:rPr>
        <w:t>Usvojeni tekstovi, P10_TA(2025)0034.</w:t>
      </w:r>
    </w:p>
  </w:footnote>
  <w:footnote w:id="10">
    <w:p w14:paraId="16F3A37F" w14:textId="5B697DB9" w:rsidR="000375CF" w:rsidRPr="004D5BF0" w:rsidRDefault="000375CF" w:rsidP="004D5BF0">
      <w:pPr>
        <w:pStyle w:val="FootnoteText"/>
        <w:ind w:left="567" w:hanging="567"/>
        <w:rPr>
          <w:sz w:val="24"/>
          <w:lang w:val="hr-HR"/>
        </w:rPr>
      </w:pPr>
      <w:r w:rsidRPr="004D5BF0">
        <w:rPr>
          <w:rStyle w:val="FootnoteReference"/>
          <w:sz w:val="24"/>
          <w:lang w:val="hr-HR"/>
        </w:rPr>
        <w:footnoteRef/>
      </w:r>
      <w:r w:rsidR="004D5BF0" w:rsidRPr="004D5BF0">
        <w:rPr>
          <w:sz w:val="24"/>
          <w:lang w:val="hr-HR"/>
        </w:rPr>
        <w:t xml:space="preserve"> </w:t>
      </w:r>
      <w:r w:rsidR="004D5BF0" w:rsidRPr="004D5BF0">
        <w:rPr>
          <w:sz w:val="24"/>
          <w:lang w:val="hr-HR"/>
        </w:rPr>
        <w:tab/>
      </w:r>
      <w:hyperlink r:id="rId9" w:history="1">
        <w:r w:rsidRPr="004D5BF0">
          <w:rPr>
            <w:rStyle w:val="Hyperlink"/>
            <w:sz w:val="24"/>
            <w:lang w:val="hr-HR"/>
          </w:rPr>
          <w:t>Uvodne napomene predsjednice von der Leyen na zajedničkoj konferenciji za medije s predsjednikom Michelom nakon izvanrednog sastanka Europskog vijeća 18. travnja 2024.</w:t>
        </w:r>
      </w:hyperlink>
    </w:p>
  </w:footnote>
  <w:footnote w:id="11">
    <w:p w14:paraId="1BD40A4B" w14:textId="68D408DD" w:rsidR="000375CF" w:rsidRPr="004D5BF0" w:rsidRDefault="000375CF" w:rsidP="004D5BF0">
      <w:pPr>
        <w:pStyle w:val="FootnoteText"/>
        <w:ind w:left="567" w:hanging="567"/>
        <w:rPr>
          <w:sz w:val="24"/>
          <w:lang w:val="hr-HR"/>
        </w:rPr>
      </w:pPr>
      <w:r w:rsidRPr="004D5BF0">
        <w:rPr>
          <w:rStyle w:val="FootnoteReference"/>
          <w:sz w:val="24"/>
          <w:lang w:val="hr-HR"/>
        </w:rPr>
        <w:footnoteRef/>
      </w:r>
      <w:r w:rsidR="004D5BF0" w:rsidRPr="004D5BF0">
        <w:rPr>
          <w:sz w:val="24"/>
          <w:lang w:val="hr-HR"/>
        </w:rPr>
        <w:t xml:space="preserve"> </w:t>
      </w:r>
      <w:r w:rsidR="004D5BF0" w:rsidRPr="004D5BF0">
        <w:rPr>
          <w:sz w:val="24"/>
          <w:lang w:val="hr-HR"/>
        </w:rPr>
        <w:tab/>
      </w:r>
      <w:r w:rsidRPr="004D5BF0">
        <w:rPr>
          <w:sz w:val="24"/>
          <w:lang w:val="hr-HR"/>
        </w:rPr>
        <w:t>Plan za čistu industriju: zajednički plan za dekarbonizaciju i konkurentnost (</w:t>
      </w:r>
      <w:hyperlink r:id="rId10" w:history="1">
        <w:r w:rsidRPr="004D5BF0">
          <w:rPr>
            <w:rStyle w:val="Hyperlink"/>
            <w:sz w:val="24"/>
            <w:lang w:val="hr-HR"/>
          </w:rPr>
          <w:t>COM(2025)0085</w:t>
        </w:r>
      </w:hyperlink>
      <w:r w:rsidRPr="004D5BF0">
        <w:rPr>
          <w:sz w:val="24"/>
          <w:lang w:val="hr-HR"/>
        </w:rPr>
        <w:t>).</w:t>
      </w:r>
    </w:p>
  </w:footnote>
  <w:footnote w:id="12">
    <w:p w14:paraId="309B99D7" w14:textId="23D93988" w:rsidR="000375CF" w:rsidRPr="004D5BF0" w:rsidRDefault="000375CF" w:rsidP="004D5BF0">
      <w:pPr>
        <w:pStyle w:val="FootnoteText"/>
        <w:ind w:left="567" w:hanging="567"/>
        <w:rPr>
          <w:sz w:val="24"/>
          <w:lang w:val="hr-HR"/>
        </w:rPr>
      </w:pPr>
      <w:r w:rsidRPr="004D5BF0">
        <w:rPr>
          <w:rStyle w:val="FootnoteReference"/>
          <w:sz w:val="24"/>
          <w:lang w:val="hr-HR"/>
        </w:rPr>
        <w:footnoteRef/>
      </w:r>
      <w:r w:rsidR="004D5BF0" w:rsidRPr="004D5BF0">
        <w:rPr>
          <w:sz w:val="24"/>
          <w:lang w:val="hr-HR"/>
        </w:rPr>
        <w:t xml:space="preserve"> </w:t>
      </w:r>
      <w:r w:rsidR="004D5BF0" w:rsidRPr="004D5BF0">
        <w:rPr>
          <w:sz w:val="24"/>
          <w:lang w:val="hr-HR"/>
        </w:rPr>
        <w:tab/>
      </w:r>
      <w:r w:rsidRPr="004D5BF0">
        <w:rPr>
          <w:sz w:val="24"/>
          <w:lang w:val="hr-HR"/>
        </w:rPr>
        <w:t>Najniži postotak zabilježen je u Irskoj, Latviji i Mađarskoj.</w:t>
      </w:r>
    </w:p>
  </w:footnote>
  <w:footnote w:id="13">
    <w:p w14:paraId="5C69A897" w14:textId="6ED2C679" w:rsidR="000375CF" w:rsidRPr="004D5BF0" w:rsidRDefault="000375CF" w:rsidP="004D5BF0">
      <w:pPr>
        <w:pStyle w:val="FootnoteText"/>
        <w:ind w:left="567" w:hanging="567"/>
        <w:rPr>
          <w:sz w:val="24"/>
          <w:lang w:val="hr-HR"/>
        </w:rPr>
      </w:pPr>
      <w:r w:rsidRPr="004D5BF0">
        <w:rPr>
          <w:rStyle w:val="FootnoteReference"/>
          <w:sz w:val="24"/>
          <w:lang w:val="hr-HR"/>
        </w:rPr>
        <w:footnoteRef/>
      </w:r>
      <w:r w:rsidR="004D5BF0" w:rsidRPr="004D5BF0">
        <w:rPr>
          <w:sz w:val="24"/>
          <w:lang w:val="hr-HR"/>
        </w:rPr>
        <w:t xml:space="preserve"> </w:t>
      </w:r>
      <w:r w:rsidR="004D5BF0" w:rsidRPr="004D5BF0">
        <w:rPr>
          <w:sz w:val="24"/>
          <w:lang w:val="hr-HR"/>
        </w:rPr>
        <w:tab/>
      </w:r>
      <w:r w:rsidRPr="004D5BF0">
        <w:rPr>
          <w:sz w:val="24"/>
          <w:lang w:val="hr-HR"/>
        </w:rPr>
        <w:t xml:space="preserve">Europska investicijska banka, </w:t>
      </w:r>
      <w:hyperlink r:id="rId11" w:history="1">
        <w:r w:rsidRPr="004D5BF0">
          <w:rPr>
            <w:rStyle w:val="Hyperlink"/>
            <w:i/>
            <w:sz w:val="24"/>
            <w:lang w:val="hr-HR"/>
          </w:rPr>
          <w:t>Klimatska politika i okolišna održivost Europske investicijske banke – Popis prihvatljivih sektora i kriteriji prihvatljivosti</w:t>
        </w:r>
      </w:hyperlink>
      <w:r w:rsidRPr="004D5BF0">
        <w:rPr>
          <w:sz w:val="24"/>
          <w:lang w:val="hr-HR"/>
        </w:rPr>
        <w:t xml:space="preserve"> („European Investment Bank Climate Action and Environmental Sustainability– List of eligible sectors and eligibility criteria”), 2024.</w:t>
      </w:r>
    </w:p>
  </w:footnote>
  <w:footnote w:id="14">
    <w:p w14:paraId="5C75A0BD" w14:textId="6B67E5AD" w:rsidR="000375CF" w:rsidRPr="004D5BF0" w:rsidRDefault="000375CF" w:rsidP="004D5BF0">
      <w:pPr>
        <w:pStyle w:val="FootnoteText"/>
        <w:ind w:left="567" w:hanging="567"/>
        <w:rPr>
          <w:sz w:val="24"/>
          <w:lang w:val="hr-HR"/>
        </w:rPr>
      </w:pPr>
      <w:r w:rsidRPr="004D5BF0">
        <w:rPr>
          <w:rStyle w:val="FootnoteReference"/>
          <w:sz w:val="24"/>
          <w:lang w:val="hr-HR"/>
        </w:rPr>
        <w:footnoteRef/>
      </w:r>
      <w:r w:rsidR="004D5BF0" w:rsidRPr="004D5BF0">
        <w:rPr>
          <w:sz w:val="24"/>
          <w:lang w:val="hr-HR"/>
        </w:rPr>
        <w:t xml:space="preserve"> </w:t>
      </w:r>
      <w:r w:rsidR="004D5BF0" w:rsidRPr="004D5BF0">
        <w:rPr>
          <w:sz w:val="24"/>
          <w:lang w:val="hr-HR"/>
        </w:rPr>
        <w:tab/>
      </w:r>
      <w:r w:rsidRPr="004D5BF0">
        <w:rPr>
          <w:sz w:val="24"/>
          <w:lang w:val="hr-HR"/>
        </w:rPr>
        <w:t xml:space="preserve">Grupa Europske investicijske banke, </w:t>
      </w:r>
      <w:hyperlink r:id="rId12" w:history="1">
        <w:r w:rsidRPr="004D5BF0">
          <w:rPr>
            <w:rStyle w:val="Hyperlink"/>
            <w:i/>
            <w:sz w:val="24"/>
            <w:lang w:val="hr-HR"/>
          </w:rPr>
          <w:t>Okvir za usklađivanje s Pariškim sporazumom – niske emisije ugljika</w:t>
        </w:r>
      </w:hyperlink>
      <w:r w:rsidRPr="004D5BF0">
        <w:rPr>
          <w:sz w:val="24"/>
          <w:lang w:val="hr-HR"/>
        </w:rPr>
        <w:t xml:space="preserve"> („Paris Alignment Framework – Low carbon”), </w:t>
      </w:r>
      <w:r w:rsidRPr="004D5BF0">
        <w:rPr>
          <w:i/>
          <w:iCs/>
          <w:sz w:val="24"/>
          <w:lang w:val="hr-HR"/>
        </w:rPr>
        <w:t>verzija 1.1.</w:t>
      </w:r>
      <w:r w:rsidRPr="004D5BF0">
        <w:rPr>
          <w:sz w:val="24"/>
          <w:lang w:val="hr-HR"/>
        </w:rPr>
        <w:t xml:space="preserve">, 2023.; Grupa Europske investicijske banke, </w:t>
      </w:r>
      <w:hyperlink r:id="rId13" w:history="1">
        <w:r w:rsidRPr="004D5BF0">
          <w:rPr>
            <w:rStyle w:val="Hyperlink"/>
            <w:i/>
            <w:sz w:val="24"/>
            <w:lang w:val="hr-HR"/>
          </w:rPr>
          <w:t>Plan Grupe EIB-a za klimatsku banku za razdoblje 2021. – 2025.</w:t>
        </w:r>
      </w:hyperlink>
      <w:r w:rsidRPr="004D5BF0">
        <w:rPr>
          <w:sz w:val="24"/>
          <w:lang w:val="hr-HR"/>
        </w:rPr>
        <w:t xml:space="preserve"> („EIB Group Climate Bank Roadmap 2021 – 2025”), studeni 2020.</w:t>
      </w:r>
    </w:p>
  </w:footnote>
  <w:footnote w:id="15">
    <w:p w14:paraId="27A4647A" w14:textId="290DC869" w:rsidR="000375CF" w:rsidRPr="004D5BF0" w:rsidRDefault="000375CF" w:rsidP="004D5BF0">
      <w:pPr>
        <w:pStyle w:val="FootnoteText"/>
        <w:ind w:left="567" w:hanging="567"/>
        <w:rPr>
          <w:sz w:val="24"/>
          <w:lang w:val="hr-HR"/>
        </w:rPr>
      </w:pPr>
      <w:r w:rsidRPr="004D5BF0">
        <w:rPr>
          <w:rStyle w:val="FootnoteReference"/>
          <w:sz w:val="24"/>
          <w:lang w:val="hr-HR"/>
        </w:rPr>
        <w:footnoteRef/>
      </w:r>
      <w:r w:rsidR="004D5BF0" w:rsidRPr="004D5BF0">
        <w:rPr>
          <w:rStyle w:val="normaltextrun"/>
          <w:color w:val="000000"/>
          <w:sz w:val="24"/>
          <w:shd w:val="clear" w:color="auto" w:fill="FFFFFF"/>
          <w:lang w:val="hr-HR"/>
        </w:rPr>
        <w:t xml:space="preserve"> </w:t>
      </w:r>
      <w:r w:rsidR="004D5BF0" w:rsidRPr="004D5BF0">
        <w:rPr>
          <w:rStyle w:val="normaltextrun"/>
          <w:color w:val="000000"/>
          <w:sz w:val="24"/>
          <w:shd w:val="clear" w:color="auto" w:fill="FFFFFF"/>
          <w:lang w:val="hr-HR"/>
        </w:rPr>
        <w:tab/>
      </w:r>
      <w:r w:rsidRPr="004D5BF0">
        <w:rPr>
          <w:rStyle w:val="normaltextrun"/>
          <w:color w:val="000000"/>
          <w:sz w:val="24"/>
          <w:shd w:val="clear" w:color="auto" w:fill="FFFFFF"/>
          <w:lang w:val="hr-HR"/>
        </w:rPr>
        <w:t>Uredba (EU) 2023/2631 Europskog parlamenta i Vijeća</w:t>
      </w:r>
      <w:r w:rsidR="002A4D51">
        <w:rPr>
          <w:rStyle w:val="normaltextrun"/>
          <w:color w:val="000000"/>
          <w:sz w:val="24"/>
          <w:shd w:val="clear" w:color="auto" w:fill="FFFFFF"/>
          <w:lang w:val="hr-HR"/>
        </w:rPr>
        <w:t xml:space="preserve"> od 22. studenoga 2023.</w:t>
      </w:r>
      <w:r w:rsidRPr="004D5BF0">
        <w:rPr>
          <w:rStyle w:val="normaltextrun"/>
          <w:color w:val="000000"/>
          <w:sz w:val="24"/>
          <w:shd w:val="clear" w:color="auto" w:fill="FFFFFF"/>
          <w:lang w:val="hr-HR"/>
        </w:rPr>
        <w:t xml:space="preserve"> o europskim zelenim obveznicama i neobaveznim objavama za obveznice koje se stavljaju na tržište kao okolišno održive i za obveznice povezane s održivošću (SL L</w:t>
      </w:r>
      <w:r w:rsidR="002A4D51">
        <w:rPr>
          <w:rStyle w:val="normaltextrun"/>
          <w:color w:val="000000"/>
          <w:sz w:val="24"/>
          <w:shd w:val="clear" w:color="auto" w:fill="FFFFFF"/>
          <w:lang w:val="hr-HR"/>
        </w:rPr>
        <w:t>,</w:t>
      </w:r>
      <w:r w:rsidRPr="004D5BF0">
        <w:rPr>
          <w:rStyle w:val="normaltextrun"/>
          <w:color w:val="000000"/>
          <w:sz w:val="24"/>
          <w:shd w:val="clear" w:color="auto" w:fill="FFFFFF"/>
          <w:lang w:val="hr-HR"/>
        </w:rPr>
        <w:t xml:space="preserve"> 2023/2631, 30.11.2023., ELI: </w:t>
      </w:r>
      <w:hyperlink r:id="rId14" w:history="1">
        <w:r w:rsidRPr="004D5BF0">
          <w:rPr>
            <w:rStyle w:val="Hyperlink"/>
            <w:sz w:val="24"/>
            <w:shd w:val="clear" w:color="auto" w:fill="FFFFFF"/>
            <w:lang w:val="hr-HR"/>
          </w:rPr>
          <w:t>http://data.europa.eu/eli/reg/2023/2631/oj</w:t>
        </w:r>
      </w:hyperlink>
      <w:r w:rsidRPr="004D5BF0">
        <w:rPr>
          <w:rStyle w:val="normaltextrun"/>
          <w:color w:val="000000"/>
          <w:sz w:val="24"/>
          <w:shd w:val="clear" w:color="auto" w:fill="FFFFFF"/>
          <w:lang w:val="hr-HR"/>
        </w:rPr>
        <w:t>).</w:t>
      </w:r>
    </w:p>
  </w:footnote>
  <w:footnote w:id="16">
    <w:p w14:paraId="68AF72C9" w14:textId="6BE6F890" w:rsidR="000375CF" w:rsidRPr="004D5BF0" w:rsidRDefault="000375CF" w:rsidP="004D5BF0">
      <w:pPr>
        <w:pStyle w:val="FootnoteText"/>
        <w:ind w:left="567" w:hanging="567"/>
        <w:rPr>
          <w:sz w:val="24"/>
          <w:lang w:val="hr-HR"/>
        </w:rPr>
      </w:pPr>
      <w:r w:rsidRPr="004D5BF0">
        <w:rPr>
          <w:rStyle w:val="FootnoteReference"/>
          <w:sz w:val="24"/>
          <w:lang w:val="hr-HR"/>
        </w:rPr>
        <w:footnoteRef/>
      </w:r>
      <w:r w:rsidR="004D5BF0" w:rsidRPr="004D5BF0">
        <w:rPr>
          <w:sz w:val="24"/>
          <w:lang w:val="hr-HR"/>
        </w:rPr>
        <w:t xml:space="preserve"> </w:t>
      </w:r>
      <w:r w:rsidR="004D5BF0" w:rsidRPr="004D5BF0">
        <w:rPr>
          <w:sz w:val="24"/>
          <w:lang w:val="hr-HR"/>
        </w:rPr>
        <w:tab/>
      </w:r>
      <w:r w:rsidRPr="004D5BF0">
        <w:rPr>
          <w:sz w:val="24"/>
          <w:lang w:val="hr-HR"/>
        </w:rPr>
        <w:t>Pismo predsjednice EIB-a Nadije Calviño čelnicima EU-a od 4. ožujka 2025.</w:t>
      </w:r>
    </w:p>
  </w:footnote>
  <w:footnote w:id="17">
    <w:p w14:paraId="314B7947" w14:textId="06F3E630" w:rsidR="000375CF" w:rsidRPr="004D5BF0" w:rsidRDefault="000375CF" w:rsidP="00982C80">
      <w:pPr>
        <w:pStyle w:val="CommentText"/>
        <w:ind w:left="567" w:hanging="567"/>
        <w:rPr>
          <w:sz w:val="24"/>
        </w:rPr>
      </w:pPr>
      <w:r w:rsidRPr="004D5BF0">
        <w:rPr>
          <w:rStyle w:val="FootnoteReference"/>
          <w:sz w:val="24"/>
        </w:rPr>
        <w:footnoteRef/>
      </w:r>
      <w:r w:rsidR="004D5BF0" w:rsidRPr="004D5BF0">
        <w:rPr>
          <w:sz w:val="24"/>
        </w:rPr>
        <w:t xml:space="preserve"> </w:t>
      </w:r>
      <w:r w:rsidR="004D5BF0" w:rsidRPr="004D5BF0">
        <w:rPr>
          <w:sz w:val="24"/>
        </w:rPr>
        <w:tab/>
      </w:r>
      <w:r w:rsidRPr="004D5BF0">
        <w:rPr>
          <w:sz w:val="24"/>
        </w:rPr>
        <w:t>Tibi, P. „</w:t>
      </w:r>
      <w:hyperlink r:id="rId15" w:history="1">
        <w:r w:rsidRPr="004D5BF0">
          <w:rPr>
            <w:rStyle w:val="Hyperlink"/>
            <w:sz w:val="24"/>
          </w:rPr>
          <w:t>Financiranje četvrte industrijske revolucije – rješavanje financijske blokade za tehnološka poduzeća</w:t>
        </w:r>
      </w:hyperlink>
      <w:r w:rsidRPr="004D5BF0">
        <w:rPr>
          <w:sz w:val="24"/>
        </w:rPr>
        <w:t>” („Financing the Fourth Industrial Revolution – Solving the financing grid-lock for technology companies”), francusko Ministarstvo gospodarstva i financija, srpanj 2019.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112/2025"/>
    <w:docVar w:name="dvlangue" w:val="HR"/>
    <w:docVar w:name="dvnumam" w:val="45"/>
    <w:docVar w:name="dvpe" w:val="770.192"/>
    <w:docVar w:name="dvrapporteur" w:val="Izvjestitelj: "/>
    <w:docVar w:name="dvtitre" w:val="Rezolucija Europskog parlamenta od .... 2025. o financijskim aktivnostima Europske investicijske banke – godišnje izvješće za 2024.(2024/2053(INI))"/>
  </w:docVars>
  <w:rsids>
    <w:rsidRoot w:val="00553715"/>
    <w:rsid w:val="00002272"/>
    <w:rsid w:val="0001364F"/>
    <w:rsid w:val="000375CF"/>
    <w:rsid w:val="00064002"/>
    <w:rsid w:val="000677B9"/>
    <w:rsid w:val="000831BA"/>
    <w:rsid w:val="000A091A"/>
    <w:rsid w:val="000A42CC"/>
    <w:rsid w:val="000E7DD9"/>
    <w:rsid w:val="0010095E"/>
    <w:rsid w:val="00125B37"/>
    <w:rsid w:val="00187494"/>
    <w:rsid w:val="001F32AE"/>
    <w:rsid w:val="002767FF"/>
    <w:rsid w:val="002A4D51"/>
    <w:rsid w:val="002B18FE"/>
    <w:rsid w:val="002B5493"/>
    <w:rsid w:val="0031309E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5BF0"/>
    <w:rsid w:val="0050519A"/>
    <w:rsid w:val="005072A1"/>
    <w:rsid w:val="00514517"/>
    <w:rsid w:val="00545827"/>
    <w:rsid w:val="00553715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4A52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2C80"/>
    <w:rsid w:val="009F3F6F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5F70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31B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6E3048"/>
  <w15:chartTrackingRefBased/>
  <w15:docId w15:val="{02FC1AB9-3A00-4FF3-A70E-4F87744CF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375CF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0375CF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BoldItalic">
    <w:name w:val="BoldItalic"/>
    <w:uiPriority w:val="1"/>
    <w:rsid w:val="000375CF"/>
    <w:rPr>
      <w:b/>
      <w:i/>
      <w:u w:val="none"/>
    </w:rPr>
  </w:style>
  <w:style w:type="character" w:customStyle="1" w:styleId="Italic">
    <w:name w:val="Italic"/>
    <w:uiPriority w:val="1"/>
    <w:rsid w:val="000375CF"/>
    <w:rPr>
      <w:i/>
    </w:rPr>
  </w:style>
  <w:style w:type="paragraph" w:customStyle="1" w:styleId="Normal12a24b">
    <w:name w:val="Normal12a24b"/>
    <w:basedOn w:val="Normal"/>
    <w:rsid w:val="000375CF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0375CF"/>
    <w:rPr>
      <w:color w:val="0000FF"/>
      <w:u w:val="single"/>
    </w:rPr>
  </w:style>
  <w:style w:type="character" w:customStyle="1" w:styleId="normaltextrun">
    <w:name w:val="normaltextrun"/>
    <w:basedOn w:val="DefaultParagraphFont"/>
    <w:rsid w:val="000375CF"/>
  </w:style>
  <w:style w:type="character" w:customStyle="1" w:styleId="tabchar">
    <w:name w:val="tabchar"/>
    <w:basedOn w:val="DefaultParagraphFont"/>
    <w:rsid w:val="000375CF"/>
  </w:style>
  <w:style w:type="character" w:customStyle="1" w:styleId="eop">
    <w:name w:val="eop"/>
    <w:basedOn w:val="DefaultParagraphFont"/>
    <w:rsid w:val="000375CF"/>
  </w:style>
  <w:style w:type="paragraph" w:styleId="CommentText">
    <w:name w:val="annotation text"/>
    <w:basedOn w:val="Normal"/>
    <w:link w:val="CommentTextChar"/>
    <w:unhideWhenUsed/>
    <w:rsid w:val="000375CF"/>
    <w:pPr>
      <w:snapToGrid w:val="0"/>
    </w:pPr>
    <w:rPr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rsid w:val="000375CF"/>
    <w:rPr>
      <w:lang w:val="hr-HR" w:eastAsia="en-US"/>
    </w:rPr>
  </w:style>
  <w:style w:type="paragraph" w:styleId="Revision">
    <w:name w:val="Revision"/>
    <w:hidden/>
    <w:uiPriority w:val="99"/>
    <w:semiHidden/>
    <w:rsid w:val="0031309E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eur-lex.europa.eu/legal-content/HR/ALL/?uri=CELEX%3A52025DC007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ur-lex.europa.eu/legal-content/HR/ALL/?uri=CELEX:52025DC0085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ur-lex.europa.eu/legal-content/HR/ALL/?uri=CELEX:52025DC004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ur-lex.europa.eu/legal-content/HR/TXT/?uri=CELEX:52025PC0084&amp;qid=1749805354949" TargetMode="External"/><Relationship Id="rId10" Type="http://schemas.openxmlformats.org/officeDocument/2006/relationships/hyperlink" Target="https://eur-lex.europa.eu/legal-content/HR/ALL/?uri=CELEX:52025DC004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ur-lex.europa.eu/legal-content/HR/ALL/?uri=CELEX:52025DC0030" TargetMode="External"/><Relationship Id="rId14" Type="http://schemas.openxmlformats.org/officeDocument/2006/relationships/hyperlink" Target="https://eur-lex.europa.eu/legal-content/HR/TXT/?uri=CELEX:52025DC0124&amp;qid=1749805292733" TargetMode="Externa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24/795/oj" TargetMode="External"/><Relationship Id="rId13" Type="http://schemas.openxmlformats.org/officeDocument/2006/relationships/hyperlink" Target="https://www.eib.org/files/publications/thematic/eib_group_climate_bank_roadmap_en.pdf" TargetMode="External"/><Relationship Id="rId3" Type="http://schemas.openxmlformats.org/officeDocument/2006/relationships/hyperlink" Target="http://data.europa.eu/eli/reg/2021/241/oj" TargetMode="External"/><Relationship Id="rId7" Type="http://schemas.openxmlformats.org/officeDocument/2006/relationships/hyperlink" Target="http://data.europa.eu/eli/reg/2021/1229/oj" TargetMode="External"/><Relationship Id="rId12" Type="http://schemas.openxmlformats.org/officeDocument/2006/relationships/hyperlink" Target="https://www.eib.org/attachments/lucalli/20230342_paris_alignment_framework_low_carbon_v1_1_en.pdf" TargetMode="External"/><Relationship Id="rId2" Type="http://schemas.openxmlformats.org/officeDocument/2006/relationships/hyperlink" Target="https://data.europa.eu/doi/10.2889/698738" TargetMode="External"/><Relationship Id="rId1" Type="http://schemas.openxmlformats.org/officeDocument/2006/relationships/hyperlink" Target="http://data.europa.eu/eli/dec/2025/504/oj" TargetMode="External"/><Relationship Id="rId6" Type="http://schemas.openxmlformats.org/officeDocument/2006/relationships/hyperlink" Target="http://data.europa.eu/eli/reg/2021/1056/oj" TargetMode="External"/><Relationship Id="rId11" Type="http://schemas.openxmlformats.org/officeDocument/2006/relationships/hyperlink" Target="https://www.eib.org/attachments/lucalli/20240166_climate_action_eligibility_list_en.pdf" TargetMode="External"/><Relationship Id="rId5" Type="http://schemas.openxmlformats.org/officeDocument/2006/relationships/hyperlink" Target="http://data.europa.eu/eli/reg/2021/947/oj" TargetMode="External"/><Relationship Id="rId15" Type="http://schemas.openxmlformats.org/officeDocument/2006/relationships/hyperlink" Target="https://minefi.hosting.augure.com/Augure_Minefi/r/ContenuEnLigne/Download?id=64E9EE59-8C0E-42E1-950F-1E0A25C80029&amp;filename=Rapport%20Tibi%20-%20EN%20-%20Financing%20the%20fourth%20industrial%20revolution.pdf" TargetMode="External"/><Relationship Id="rId10" Type="http://schemas.openxmlformats.org/officeDocument/2006/relationships/hyperlink" Target="https://eur-lex.europa.eu/legal-content/HR/TXT/?uri=CELEX:52025DC0085" TargetMode="External"/><Relationship Id="rId4" Type="http://schemas.openxmlformats.org/officeDocument/2006/relationships/hyperlink" Target="http://data.europa.eu/eli/reg/2021/523/oj" TargetMode="External"/><Relationship Id="rId9" Type="http://schemas.openxmlformats.org/officeDocument/2006/relationships/hyperlink" Target="https://ec.europa.eu/commission/presscorner/detail/en/statement_24_2148" TargetMode="External"/><Relationship Id="rId14" Type="http://schemas.openxmlformats.org/officeDocument/2006/relationships/hyperlink" Target="http://data.europa.eu/eli/reg/2023/263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C9EEA8-6A46-46D3-A5D4-E3F4915A1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7737</Words>
  <Characters>48229</Characters>
  <Application>Microsoft Office Word</Application>
  <DocSecurity>0</DocSecurity>
  <Lines>1663</Lines>
  <Paragraphs>508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55458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DADIĆ Ivana</cp:lastModifiedBy>
  <cp:revision>2</cp:revision>
  <cp:lastPrinted>2004-11-19T15:42:00Z</cp:lastPrinted>
  <dcterms:created xsi:type="dcterms:W3CDTF">2025-08-05T09:05:00Z</dcterms:created>
  <dcterms:modified xsi:type="dcterms:W3CDTF">2025-08-05T09:05:00Z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A10-0112/2025</vt:lpwstr>
  </property>
  <property fmtid="{D5CDD505-2E9C-101B-9397-08002B2CF9AE}" pid="4" name="&lt;Type&gt;">
    <vt:lpwstr>RR</vt:lpwstr>
  </property>
</Properties>
</file>