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0DC3" w14:paraId="372C80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F25383" w14:textId="77777777" w:rsidR="00751A4A" w:rsidRPr="00F40DC3" w:rsidRDefault="00410CFD" w:rsidP="0010095E">
            <w:pPr>
              <w:pStyle w:val="EPName"/>
            </w:pPr>
            <w:r w:rsidRPr="00F40DC3">
              <w:t>Parlament Europejski</w:t>
            </w:r>
          </w:p>
          <w:p w14:paraId="497ABE3A" w14:textId="77777777" w:rsidR="00751A4A" w:rsidRPr="00F40D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0DC3">
              <w:t>2024</w:t>
            </w:r>
            <w:r w:rsidR="00817416" w:rsidRPr="00F40DC3">
              <w:t>-202</w:t>
            </w:r>
            <w:r w:rsidRPr="00F40DC3">
              <w:t>9</w:t>
            </w:r>
          </w:p>
        </w:tc>
        <w:tc>
          <w:tcPr>
            <w:tcW w:w="2268" w:type="dxa"/>
            <w:shd w:val="clear" w:color="auto" w:fill="auto"/>
          </w:tcPr>
          <w:p w14:paraId="04E097CF" w14:textId="77777777" w:rsidR="00751A4A" w:rsidRPr="00F40DC3" w:rsidRDefault="00187494" w:rsidP="0010095E">
            <w:pPr>
              <w:pStyle w:val="EPLogo"/>
            </w:pPr>
            <w:r w:rsidRPr="00F40DC3">
              <w:rPr>
                <w:noProof/>
                <w:lang w:eastAsia="pl-PL"/>
              </w:rPr>
              <w:drawing>
                <wp:inline distT="0" distB="0" distL="0" distR="0" wp14:anchorId="7B118B73" wp14:editId="6B1FC1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4766C2" w14:textId="77777777" w:rsidR="00D058B8" w:rsidRPr="00F40DC3" w:rsidRDefault="00D058B8" w:rsidP="004C5D52">
      <w:pPr>
        <w:pStyle w:val="LineTop"/>
      </w:pPr>
    </w:p>
    <w:p w14:paraId="6B3DEACE" w14:textId="77777777" w:rsidR="00680577" w:rsidRPr="00F40DC3" w:rsidRDefault="00410CFD" w:rsidP="00680577">
      <w:pPr>
        <w:pStyle w:val="EPBodyTA1"/>
      </w:pPr>
      <w:r w:rsidRPr="00F40DC3">
        <w:t>TEKSTY PRZYJĘTE</w:t>
      </w:r>
    </w:p>
    <w:p w14:paraId="4165C1DE" w14:textId="77777777" w:rsidR="00D058B8" w:rsidRPr="00F40DC3" w:rsidRDefault="00D058B8" w:rsidP="00D058B8">
      <w:pPr>
        <w:pStyle w:val="LineBottom"/>
      </w:pPr>
    </w:p>
    <w:p w14:paraId="77CB442D" w14:textId="53779B30" w:rsidR="00410CFD" w:rsidRPr="00F40DC3" w:rsidRDefault="00410CFD" w:rsidP="00410CFD">
      <w:pPr>
        <w:pStyle w:val="ATHeading1"/>
      </w:pPr>
      <w:bookmarkStart w:id="0" w:name="TANumber"/>
      <w:r w:rsidRPr="00F40DC3">
        <w:t>P10_TA(2025)</w:t>
      </w:r>
      <w:bookmarkEnd w:id="0"/>
      <w:r w:rsidR="00202F76" w:rsidRPr="00F40DC3">
        <w:t>0</w:t>
      </w:r>
      <w:r w:rsidR="00202F76">
        <w:t>145</w:t>
      </w:r>
    </w:p>
    <w:p w14:paraId="4C036D14" w14:textId="77777777" w:rsidR="00410CFD" w:rsidRPr="00F40DC3" w:rsidRDefault="000866C7" w:rsidP="000866C7">
      <w:pPr>
        <w:pStyle w:val="ATHeading2"/>
      </w:pPr>
      <w:r w:rsidRPr="000866C7">
        <w:rPr>
          <w:bCs/>
        </w:rPr>
        <w:t>Działalność finansowa Europejskiego Banku Inwestycyjnego – sprawozdanie roczne</w:t>
      </w:r>
      <w:r>
        <w:rPr>
          <w:bCs/>
        </w:rPr>
        <w:t xml:space="preserve"> </w:t>
      </w:r>
      <w:r w:rsidRPr="000866C7">
        <w:rPr>
          <w:bCs/>
        </w:rPr>
        <w:t>za 2024 r.</w:t>
      </w:r>
    </w:p>
    <w:p w14:paraId="3A7C867C" w14:textId="77777777" w:rsidR="00410CFD" w:rsidRPr="00F40DC3" w:rsidRDefault="00410CFD" w:rsidP="00410CFD">
      <w:pPr>
        <w:rPr>
          <w:i/>
          <w:vanish/>
        </w:rPr>
      </w:pPr>
      <w:r w:rsidRPr="00F40DC3">
        <w:rPr>
          <w:i/>
        </w:rPr>
        <w:fldChar w:fldCharType="begin"/>
      </w:r>
      <w:r w:rsidRPr="00F40DC3">
        <w:rPr>
          <w:i/>
        </w:rPr>
        <w:instrText xml:space="preserve"> TC"(</w:instrText>
      </w:r>
      <w:bookmarkStart w:id="1" w:name="DocNumber"/>
      <w:r w:rsidRPr="00F40DC3">
        <w:rPr>
          <w:i/>
        </w:rPr>
        <w:instrText>A10-0112/2025</w:instrText>
      </w:r>
      <w:bookmarkEnd w:id="1"/>
      <w:r w:rsidRPr="00F40DC3">
        <w:rPr>
          <w:i/>
        </w:rPr>
        <w:instrText xml:space="preserve"> - Sprawozdawca: Francisco Assis)"\l3 \n&gt; \* MERGEFORMAT </w:instrText>
      </w:r>
      <w:r w:rsidRPr="00F40DC3">
        <w:rPr>
          <w:i/>
        </w:rPr>
        <w:fldChar w:fldCharType="end"/>
      </w:r>
    </w:p>
    <w:p w14:paraId="5640244E" w14:textId="77777777" w:rsidR="00410CFD" w:rsidRPr="00F40DC3" w:rsidRDefault="00410CFD" w:rsidP="00410CFD">
      <w:pPr>
        <w:rPr>
          <w:vanish/>
        </w:rPr>
      </w:pPr>
      <w:bookmarkStart w:id="2" w:name="Commission"/>
      <w:r w:rsidRPr="00F40DC3">
        <w:rPr>
          <w:vanish/>
        </w:rPr>
        <w:t>Komisja Gospodarcza i Monetarna</w:t>
      </w:r>
      <w:bookmarkEnd w:id="2"/>
    </w:p>
    <w:p w14:paraId="75BD9555" w14:textId="77777777" w:rsidR="00410CFD" w:rsidRPr="00F40DC3" w:rsidRDefault="00410CFD" w:rsidP="00410CFD">
      <w:pPr>
        <w:rPr>
          <w:vanish/>
        </w:rPr>
      </w:pPr>
      <w:bookmarkStart w:id="3" w:name="PE"/>
      <w:r w:rsidRPr="00F40DC3">
        <w:rPr>
          <w:vanish/>
        </w:rPr>
        <w:t>PE770.192</w:t>
      </w:r>
      <w:bookmarkEnd w:id="3"/>
    </w:p>
    <w:p w14:paraId="0516C549" w14:textId="77777777" w:rsidR="00410CFD" w:rsidRPr="00F40DC3" w:rsidRDefault="00410CFD" w:rsidP="00410CFD">
      <w:pPr>
        <w:pStyle w:val="ATHeading3"/>
      </w:pPr>
      <w:bookmarkStart w:id="4" w:name="Sujet"/>
      <w:r w:rsidRPr="00F40DC3">
        <w:t xml:space="preserve">Rezolucja Parlamentu Europejskiego z dnia </w:t>
      </w:r>
      <w:r w:rsidR="000866C7">
        <w:t>8 lipca</w:t>
      </w:r>
      <w:r w:rsidRPr="00F40DC3">
        <w:t xml:space="preserve"> 2025 r. w sprawie sprawozdania rocznego z działalności finansowej Europejskiego Banku Inwestycyjnego za rok 2024</w:t>
      </w:r>
      <w:bookmarkEnd w:id="4"/>
      <w:r w:rsidRPr="00F40DC3">
        <w:t xml:space="preserve"> </w:t>
      </w:r>
      <w:bookmarkStart w:id="5" w:name="References"/>
      <w:r w:rsidRPr="00F40DC3">
        <w:t>(2024/2053(INI))</w:t>
      </w:r>
      <w:bookmarkEnd w:id="5"/>
    </w:p>
    <w:p w14:paraId="559B281B" w14:textId="77777777" w:rsidR="00AA76C7" w:rsidRPr="00F40DC3" w:rsidRDefault="00AA76C7" w:rsidP="00AA76C7">
      <w:pPr>
        <w:pStyle w:val="EPComma"/>
      </w:pPr>
      <w:r w:rsidRPr="00F40DC3">
        <w:rPr>
          <w:rStyle w:val="Italic"/>
        </w:rPr>
        <w:t>Parlament Europejski</w:t>
      </w:r>
      <w:r w:rsidRPr="00F40DC3">
        <w:t>,</w:t>
      </w:r>
    </w:p>
    <w:p w14:paraId="3C5E828E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art. 2 i 3 Traktatu o Unii Europejskiej,</w:t>
      </w:r>
    </w:p>
    <w:p w14:paraId="10C346E6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art. 15, 126, 174, 175, 177, 208, 209, 271, 308 i 309 Traktatu o funkcjonowaniu Unii Europejskiej (TFUE) oraz Protokół (nr 5) w sprawie Statutu Europejskiego Banku Inwestycyjnego (EBI),</w:t>
      </w:r>
    </w:p>
    <w:p w14:paraId="2E8399B5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art. 41–43 Traktatu ustanawiającego Europejską Wspólnotę Energii Atomowej,</w:t>
      </w:r>
    </w:p>
    <w:p w14:paraId="09AC786B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sprawozdanie z działalności grupy EBI za 2024 r., opublikowane 30 stycznia 2025 r. i zatytułowane „Priorities for prosperity” [Priorytety na rzecz dobrobytu],</w:t>
      </w:r>
    </w:p>
    <w:p w14:paraId="3894552C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sprawozdanie EBI dotyczące inwestycji za lata 2024–2025, opublikowane 5 marca 2025 r. i zatytułowane „Innovation, integration and simplification in Europe” [Innowacje, integracja i uproszczenie w Europie],</w:t>
      </w:r>
    </w:p>
    <w:p w14:paraId="2D944A95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„EIB Group 2024-2027 Strategic Roadmap” [Strategiczny plan działania grupy EBI na lata 2024–2027] z 21 czerwca 2024 r.,</w:t>
      </w:r>
    </w:p>
    <w:p w14:paraId="2CFE088D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plan operacyjny grupy EBI na lata 2024–2026 z 9 lutego 2024 r. oraz plan operacyjny grupy EBI na lata 2025–2027 z 30 stycznia 2025 r.,</w:t>
      </w:r>
    </w:p>
    <w:p w14:paraId="289ADB92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przegląd ram adekwatności kapitałowej wielostronnych banków rozwoju (przegląd CAF) zlecony przez grupę G-20,</w:t>
      </w:r>
    </w:p>
    <w:p w14:paraId="57E63B6A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decyzję Rady (UE) 2025/504 z dnia 11 marca 2025 r. zmieniającą Protokół nr 5 w sprawie Statutu Europejskiego Banku Inwestycyjnego</w:t>
      </w:r>
      <w:r w:rsidRPr="00F40DC3">
        <w:rPr>
          <w:rStyle w:val="FootnoteReference"/>
        </w:rPr>
        <w:footnoteReference w:id="1"/>
      </w:r>
      <w:r w:rsidRPr="00F40DC3">
        <w:t>,</w:t>
      </w:r>
    </w:p>
    <w:p w14:paraId="3682475F" w14:textId="77777777" w:rsidR="00AA76C7" w:rsidRPr="00F40DC3" w:rsidRDefault="00AA76C7" w:rsidP="00AA76C7">
      <w:pPr>
        <w:pStyle w:val="NormalHanging12a"/>
        <w:snapToGrid w:val="0"/>
      </w:pPr>
      <w:r w:rsidRPr="00F40DC3">
        <w:lastRenderedPageBreak/>
        <w:t>–</w:t>
      </w:r>
      <w:r w:rsidRPr="00F40DC3">
        <w:tab/>
        <w:t>uwzględniając decyzję Rady EBI z 21 marca 2025 r.,</w:t>
      </w:r>
    </w:p>
    <w:p w14:paraId="3EF8D6A3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podejście grupy EBI do kwestii spójności na lata 2021–2027 z 13 października 2021 r.,</w:t>
      </w:r>
    </w:p>
    <w:p w14:paraId="6B4EFDDC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uruchomienie przez EBI europejskiej inicjatywy na rzecz liderów technologicznych (ETCI) w dniu 13 lutego 2023 r.,</w:t>
      </w:r>
    </w:p>
    <w:p w14:paraId="506DC82C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trzecie sprawozdanie roczne grupy EBI z 15 lipca 2024 r. w sprawie działań grupy EBI w regionach objętych polityką spójności UE,</w:t>
      </w:r>
    </w:p>
    <w:p w14:paraId="1EA52584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rPr>
          <w:b/>
          <w:i/>
        </w:rPr>
        <w:tab/>
      </w:r>
      <w:r w:rsidRPr="00F40DC3">
        <w:t>uwzględniając normy środowiskowe i społeczne EBI z 2 lutego 2022 r.,</w:t>
      </w:r>
    </w:p>
    <w:p w14:paraId="409CF126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„EIB Group 2023 Climate Bank Roadmap Progress Report” [Sprawozdanie grupy EBI z postępu prac w 2023 r. w zakresie wdrażania planu działania banku klimatycznego], opublikowane 25 lipca 2024 r.,</w:t>
      </w:r>
    </w:p>
    <w:p w14:paraId="5FDC217C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Europejski filar praw socjalnych,</w:t>
      </w:r>
    </w:p>
    <w:p w14:paraId="1AFD745B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dokument „Main outcomes from EIB Group analysis and stakeholder consultation” [Główne wyniki analizy grupy EBI i konsultacji z zainteresowanymi stronami] przedstawione 18 lipca 2024 r. na seminarium EBI na temat mieszkalnictwa,</w:t>
      </w:r>
    </w:p>
    <w:p w14:paraId="08658687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komunikat prasowy EBI z 6 marca 2025 r. zatytułowany „European Commission and EIB group lay foundations for a new pan-European investment platform for affordable and sustainable housing” [Komisja Europejska i grupa EBI kładą podwaliny pod nową ogólnoeuropejską platformę inwestycyjną na rzecz przystępnych cenowo i zrównoważonych mieszkań],</w:t>
      </w:r>
    </w:p>
    <w:p w14:paraId="39E696C0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pismo prezes EBI Nadii Calviño do przywódców UE z 4 marca 2025 r.,</w:t>
      </w:r>
    </w:p>
    <w:p w14:paraId="5E3215F2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plan działania grupy EBI dotyczący bezpieczeństwa i przemysłu obronnego przedstawiony 12 kwietnia 2024 r. na posiedzeniu Rady do Spraw Gospodarczych i Finansowych w Luksemburgu,</w:t>
      </w:r>
    </w:p>
    <w:p w14:paraId="4280C8B8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zaktualizowany wykaz kwalifikowalności, działań wyłączonych i sektorów wyłączonych EBI z 14 lipca 2022 r.,</w:t>
      </w:r>
    </w:p>
    <w:p w14:paraId="61A11295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„EIB Global Impact report 2023/2024” [Raport EBI na temat globalnego oddziaływania w latach 2023–2024], opublikowany 13 czerwca 2024 r.,</w:t>
      </w:r>
    </w:p>
    <w:p w14:paraId="7B52D2DD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porozumienie trójstronne między Komisją, Europejskim Trybunałem Obrachunkowym i Europejskim Bankiem Inwestycyjnym, podpisane 11 listopada 2021 r.,</w:t>
      </w:r>
    </w:p>
    <w:p w14:paraId="33706857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procedury grupy EBI w ramach mechanizmu rozpatrywania skarg z 13 listopada 2018 r.,</w:t>
      </w:r>
    </w:p>
    <w:p w14:paraId="7A5F956A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dokument EBI z 14 października 2024 r. zatytułowany „Diversity, Equity and Inclusion at the EIB Group” [Różnorodność, równość i włączenie w grupie EBI],</w:t>
      </w:r>
    </w:p>
    <w:p w14:paraId="3FF3EC1C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badanie Biura Analiz Parlamentu Europejskiego pt. „ Increasing European added value in an age of global challenges – Mapping the cost of non-Europe (2022-2032)” [Zwiększanie europejskiej wartości dodanej w epoce globalnych wyzwań – mapowanie kosztu braku działań na poziomie europejskim (2022–2032)], opublikowane w lutym 2023 r.,</w:t>
      </w:r>
    </w:p>
    <w:p w14:paraId="0BB5B788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wspólny komunikat Komisji i wysokiego przedstawiciela Unii do spraw zagranicznych i polityki bezpieczeństwa z 1 grudnia 2021 r. pt. „Strategia Global Gateway” (JOIN(2021)0030),</w:t>
      </w:r>
    </w:p>
    <w:p w14:paraId="554E8936" w14:textId="77777777" w:rsidR="00AA76C7" w:rsidRPr="00F40DC3" w:rsidRDefault="00AA76C7" w:rsidP="00AA76C7">
      <w:pPr>
        <w:pStyle w:val="NormalHanging12a"/>
        <w:rPr>
          <w:b/>
          <w:i/>
        </w:rPr>
      </w:pPr>
      <w:r w:rsidRPr="00F40DC3">
        <w:t>–</w:t>
      </w:r>
      <w:r w:rsidRPr="00F40DC3">
        <w:tab/>
        <w:t>uwzględniając opublikowane w dniu 11 stycznia 2024 r. badanie Komisji Europejskiej zatytułowane „Access to equity financing for European defence SMEs” [Dostęp do finansowania kapitałowego dla europejskich MŚP z sektora obronnego]</w:t>
      </w:r>
      <w:r w:rsidRPr="00F40DC3">
        <w:rPr>
          <w:rStyle w:val="FootnoteReference"/>
        </w:rPr>
        <w:footnoteReference w:id="2"/>
      </w:r>
      <w:r w:rsidRPr="00F40DC3">
        <w:rPr>
          <w:rStyle w:val="FootnoteReference"/>
        </w:rPr>
        <w:t xml:space="preserve">  </w:t>
      </w:r>
      <w:r w:rsidRPr="00F40DC3">
        <w:t>,</w:t>
      </w:r>
    </w:p>
    <w:p w14:paraId="40F2CE49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sprawozdanie Enrica Letty z 17 kwietnia 2024 r. zatytułowane „Much more than a market” [Znacznie więcej niż rynek],</w:t>
      </w:r>
    </w:p>
    <w:p w14:paraId="3DE08F0D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sprawozdanie Christiana Noyera z 25 kwietnia 2024 r. zatytułowane „Developing European capital markets to finance the future” [Rozwój europejskich rynków kapitałowych w celu finansowania przyszłości],</w:t>
      </w:r>
    </w:p>
    <w:p w14:paraId="6ADCB8F7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sprawozdanie Maria Draghiego z 9 września 2024 r. pt. „The future of European competitiveness” [Przyszłość europejskiej konkurencyjności],</w:t>
      </w:r>
    </w:p>
    <w:p w14:paraId="30B0D45E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sprawozdanie Sauliego Niinistö z 30 października 2024 r. zatytułowane „Safer Together – Strengthening Europe’s Civilian and Military Preparedness and Readiness” [Razem bezpieczniej – wzmocnienie gotowości cywilnej i wojskowej oraz przygotowania w Europie],</w:t>
      </w:r>
    </w:p>
    <w:p w14:paraId="0ACFDEB6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komunikat Komisji z dnia 29 stycznia 2025 r. pt. „ Kompas konkurencyjności dla UE” (</w:t>
      </w:r>
      <w:r w:rsidRPr="000866C7">
        <w:t>COM(2025)0030</w:t>
      </w:r>
      <w:r w:rsidRPr="00F40DC3">
        <w:t>),</w:t>
      </w:r>
    </w:p>
    <w:p w14:paraId="639FA74F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komunikat Komisji z dnia 11 lutego 2025 r. pt. „Program prac Komisji na rok 2025” (</w:t>
      </w:r>
      <w:r w:rsidRPr="000866C7">
        <w:t>COM(2025)0045</w:t>
      </w:r>
      <w:r w:rsidRPr="00F40DC3">
        <w:t>),</w:t>
      </w:r>
    </w:p>
    <w:p w14:paraId="7EE26E91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komunikat Komisji z dnia 11 lutego 2025 r. pt. „Droga ku następnym wieloletnim ramom finansowym” (</w:t>
      </w:r>
      <w:r w:rsidRPr="000866C7">
        <w:t>COM(2025)0046</w:t>
      </w:r>
      <w:r w:rsidRPr="00F40DC3">
        <w:t>),</w:t>
      </w:r>
    </w:p>
    <w:p w14:paraId="4FB8ADF5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komunikat Komisji z dnia 26 lutego 2025 r. pt. „Pakt dla czystego przemysłu: wspólny plan działania na rzecz konkurencyjności i dekarbonizacji” (</w:t>
      </w:r>
      <w:r w:rsidRPr="000866C7">
        <w:t>COM(2025)0085</w:t>
      </w:r>
      <w:r w:rsidRPr="00F40DC3">
        <w:t>),</w:t>
      </w:r>
    </w:p>
    <w:p w14:paraId="7AF65E73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komunikat Komisji z 26 lutego 2025 r. pt. „Plan działania na rzecz przystępnej cenowo energii: uwolnienie prawdziwej wartości naszej unii energetycznej w celu zapewnienia przystępnej cenowo, wydajnej i czystej energii dla wszystkich Europejczyków” (</w:t>
      </w:r>
      <w:r w:rsidRPr="000866C7">
        <w:t>COM(2025)0079</w:t>
      </w:r>
      <w:r w:rsidRPr="00F40DC3">
        <w:t>),</w:t>
      </w:r>
    </w:p>
    <w:p w14:paraId="589268CC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oświadczenie prasowe przewodniczącej Komisji Ursuli von der Leyen z 4 marca 2025 r. w sprawie pakietu dotyczącego obronności (planu ReArm Europe),</w:t>
      </w:r>
    </w:p>
    <w:p w14:paraId="03CB403E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komunikat Komisji z 19 marca 2025 r. pt. „Unia oszczędności i inwestycji – Strategia na rzecz zwiększenia zamożności obywateli i konkurencyjności gospodarczej w UE” (</w:t>
      </w:r>
      <w:r w:rsidRPr="000866C7">
        <w:t>COM(2025)0124</w:t>
      </w:r>
      <w:r w:rsidRPr="00F40DC3">
        <w:t>),</w:t>
      </w:r>
    </w:p>
    <w:p w14:paraId="276C2DBE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rozporządzenie Parlamentu Europejskiego i Rady (UE) 2021/241 z dnia 12 lutego 2021 r. ustanawiające Instrument na rzecz Odbudowy i Zwiększania Odporności</w:t>
      </w:r>
      <w:r w:rsidRPr="00F40DC3">
        <w:rPr>
          <w:rStyle w:val="FootnoteReference"/>
        </w:rPr>
        <w:footnoteReference w:id="3"/>
      </w:r>
      <w:r w:rsidRPr="00F40DC3">
        <w:t>,</w:t>
      </w:r>
    </w:p>
    <w:p w14:paraId="7C2393BB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rozporządzenie Parlamentu Europejskiego i Rady (UE) 2021/523 z dnia 24 marca 2021 r. ustanawiające Program InvestEU i zmieniające rozporządzenie (UE) 2015/1017</w:t>
      </w:r>
      <w:r w:rsidRPr="00F40DC3">
        <w:rPr>
          <w:rStyle w:val="FootnoteReference"/>
        </w:rPr>
        <w:footnoteReference w:id="4"/>
      </w:r>
      <w:r w:rsidRPr="00F40DC3">
        <w:t>,</w:t>
      </w:r>
    </w:p>
    <w:p w14:paraId="7BE77899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rozporządzenie Parlamentu Europejskiego i Rady (UE) 2021/947 z dnia 9 czerwca 2021 r. ustanawiające Instrument Sąsiedztwa oraz Współpracy Międzynarodowej i Rozwojowej – „Globalny wymiar Europy”, zmieniające i uchylające decyzję Parlamentu Europejskiego i Rady nr 466/2014/UE oraz uchylające rozporządzenie Parlamentu Europejskiego i Rady (UE) 2017/1601 i rozporządzenie Rady (WE, Euratom) nr 480/2009</w:t>
      </w:r>
      <w:r w:rsidRPr="00F40DC3">
        <w:rPr>
          <w:rStyle w:val="FootnoteReference"/>
        </w:rPr>
        <w:footnoteReference w:id="5"/>
      </w:r>
      <w:r w:rsidRPr="00F40DC3">
        <w:t>,</w:t>
      </w:r>
    </w:p>
    <w:p w14:paraId="7A0A7599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rozporządzenie Parlamentu Europejskiego i Rady (UE) 2021/1056 z dnia 24 czerwca 2021 r. ustanawiające Fundusz na rzecz Sprawiedliwej Transformacji</w:t>
      </w:r>
      <w:r w:rsidRPr="00F40DC3">
        <w:rPr>
          <w:rStyle w:val="FootnoteReference"/>
        </w:rPr>
        <w:footnoteReference w:id="6"/>
      </w:r>
      <w:r w:rsidRPr="00F40DC3">
        <w:t>,</w:t>
      </w:r>
    </w:p>
    <w:p w14:paraId="7E4E5DB2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rozporządzenie Parlamentu Europejskiego i Rady (UE) 2021/1229 z dnia 14 lipca 2021 r. w sprawie instrumentu pożyczkowego na rzecz sektora publicznego w ramach mechanizmu sprawiedliwej transformacji</w:t>
      </w:r>
      <w:r w:rsidRPr="00F40DC3">
        <w:rPr>
          <w:vertAlign w:val="superscript"/>
        </w:rPr>
        <w:footnoteReference w:id="7"/>
      </w:r>
      <w:r w:rsidRPr="00F40DC3">
        <w:t>,</w:t>
      </w:r>
    </w:p>
    <w:p w14:paraId="1F6D8441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rozporządzenie Parlamentu Europejskiego i Rady (UE) 2024/795 z dnia 29 lutego 2024 r. w sprawie ustanowienia Platformy na rzecz Technologii Strategicznych dla Europy</w:t>
      </w:r>
      <w:r w:rsidRPr="00F40DC3">
        <w:rPr>
          <w:rStyle w:val="FootnoteReference"/>
        </w:rPr>
        <w:footnoteReference w:id="8"/>
      </w:r>
      <w:r w:rsidRPr="00F40DC3">
        <w:t>,</w:t>
      </w:r>
    </w:p>
    <w:p w14:paraId="47777E91" w14:textId="6BE4191A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 xml:space="preserve">uwzględniając wniosek Komisji </w:t>
      </w:r>
      <w:r w:rsidR="0092158E" w:rsidRPr="00F40DC3">
        <w:t xml:space="preserve">z 26 lutego 2025 r. </w:t>
      </w:r>
      <w:bookmarkStart w:id="6" w:name="_GoBack"/>
      <w:bookmarkEnd w:id="6"/>
      <w:r w:rsidRPr="00F40DC3">
        <w:t>dotyczący rozporządzenia Parlamentu Europejskiego i Rady w sprawie zmiany rozporządzeń (UE) 2015/1017, (UE) 2021/523, (UE) 2021/695 i (UE) 2021/1153 w odniesieniu do zwiększenia skuteczności gwarancji UE na mocy rozporządzenia (UE) 2021/523 oraz uproszczenia wymogów dotyczących sprawozdawczości (</w:t>
      </w:r>
      <w:r w:rsidRPr="000866C7">
        <w:t>COM(2025)0084</w:t>
      </w:r>
      <w:r w:rsidRPr="00F40DC3">
        <w:t>),</w:t>
      </w:r>
    </w:p>
    <w:p w14:paraId="4E3F490E" w14:textId="77777777" w:rsidR="00AA76C7" w:rsidRPr="00F40DC3" w:rsidRDefault="00AA76C7" w:rsidP="00AA76C7">
      <w:pPr>
        <w:widowControl/>
        <w:spacing w:after="240"/>
        <w:ind w:left="567" w:hanging="567"/>
        <w:rPr>
          <w:szCs w:val="24"/>
        </w:rPr>
      </w:pPr>
      <w:r w:rsidRPr="00F40DC3">
        <w:t>–</w:t>
      </w:r>
      <w:r w:rsidRPr="00F40DC3">
        <w:tab/>
        <w:t>uwzględniając swoją rezolucję z dnia 12 marca 2025 r. w sprawie białej księgi Komisji Europejskiej w sprawie przyszłości obronności europejskiej</w:t>
      </w:r>
      <w:r w:rsidRPr="00F40DC3">
        <w:rPr>
          <w:rStyle w:val="FootnoteReference"/>
        </w:rPr>
        <w:footnoteReference w:id="9"/>
      </w:r>
      <w:r w:rsidRPr="00F40DC3">
        <w:t>,</w:t>
      </w:r>
    </w:p>
    <w:p w14:paraId="6CE289C1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art. 55 Regulaminu,</w:t>
      </w:r>
    </w:p>
    <w:p w14:paraId="49CBB1FD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opinię przedstawioną przez Komisję Budżetową,</w:t>
      </w:r>
    </w:p>
    <w:p w14:paraId="267820F0" w14:textId="77777777" w:rsidR="00AA76C7" w:rsidRPr="00F40DC3" w:rsidRDefault="00AA76C7" w:rsidP="00AA76C7">
      <w:pPr>
        <w:pStyle w:val="NormalHanging12a"/>
      </w:pPr>
      <w:r w:rsidRPr="00F40DC3">
        <w:t>–</w:t>
      </w:r>
      <w:r w:rsidRPr="00F40DC3">
        <w:tab/>
        <w:t>uwzględniając sprawozdanie Komisji Gospodarczej i Monetarnej (A10-0112/2025),</w:t>
      </w:r>
    </w:p>
    <w:p w14:paraId="69944B7C" w14:textId="77777777" w:rsidR="00AA76C7" w:rsidRPr="00F40DC3" w:rsidRDefault="00AA76C7" w:rsidP="00AA76C7">
      <w:pPr>
        <w:pStyle w:val="NormalHanging12a"/>
      </w:pPr>
      <w:r w:rsidRPr="00F40DC3">
        <w:t>A.</w:t>
      </w:r>
      <w:r w:rsidRPr="00F40DC3">
        <w:tab/>
        <w:t>mając na uwadze, że grupa EBI obejmuje EBI i Europejski Fundusz Inwestycyjny (EFI); mając na uwadze, że EBI, będący w całości własnością państw członkowskich, jest największą wielostronną instytucją finansową na świecie, działającą na międzynarodowych rynkach kapitałowych i oferującą klientom konkurencyjne i korzystne warunki, aby przyczyniać się do osiągnięcia celów UE oraz wspierać politykę i projekty UE zarówno w UE, jak i poza nią, zgodnie z art. 309 TFUE; mając na uwadze, że EFI jest własnością EBI (59,8 %), UE (29,7 %) oraz instytucji finansowych (10,5 %) z państw członkowskich, Zjednoczonego Królestwa i Turcji;</w:t>
      </w:r>
    </w:p>
    <w:p w14:paraId="7920CC01" w14:textId="77777777" w:rsidR="00AA76C7" w:rsidRPr="00F40DC3" w:rsidRDefault="00AA76C7" w:rsidP="00AA76C7">
      <w:pPr>
        <w:pStyle w:val="NormalHanging12a"/>
      </w:pPr>
      <w:r w:rsidRPr="00F40DC3">
        <w:t>B.</w:t>
      </w:r>
      <w:r w:rsidRPr="00F40DC3">
        <w:tab/>
        <w:t>mając na uwadze, że bilans grupy EBI wynosi blisko 600 mld EUR; mając na uwadze, że grupa EBI twierdzi, iż w 2024 r. jej łączne inwestycje osiągnęły rekordowy poziom 88,8 mld EUR, z czego 50,7 mld EUR dotyczyło klimatu i środowiska, 16,2 mld EUR – MŚP i spółek o średniej kapitalizacji, 14,4 mld EUR – cyfryzacji i innowacji technologicznych, zaś 1 mld EUR – wzmocnienia bezpieczeństwa i obronności Europy; mając na uwadze, że wskaźnik dźwigni EBI zwiększono do 290 %, co daje EBI dodatkową przestrzeń do inwestowania i wspierania realizacji celów oraz polityki UE; mając na uwadze oczekiwania, według których łączne inwestycje grupy EBI wzrosną do 95 mld EUR w 2025 r.;</w:t>
      </w:r>
    </w:p>
    <w:p w14:paraId="7A3F3B25" w14:textId="77777777" w:rsidR="00AA76C7" w:rsidRPr="00F40DC3" w:rsidRDefault="00AA76C7" w:rsidP="00AA76C7">
      <w:pPr>
        <w:pStyle w:val="NormalHanging12a"/>
      </w:pPr>
      <w:r w:rsidRPr="00F40DC3">
        <w:t>C.</w:t>
      </w:r>
      <w:r w:rsidRPr="00F40DC3">
        <w:tab/>
        <w:t>mając na uwadze, że EBI utrzymuje solidne podstawy finansowe i posiada rating „potrójnego A”, który stanowi fundament jego wiarygodności finansowej i zdolności kredytowej, niezbędnej do zachowania zaufania inwestorów i zapewnienia niskich kosztów finansowania;</w:t>
      </w:r>
    </w:p>
    <w:p w14:paraId="66CCF326" w14:textId="77777777" w:rsidR="00AA76C7" w:rsidRPr="00F40DC3" w:rsidRDefault="00AA76C7" w:rsidP="00AA76C7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F40DC3">
        <w:rPr>
          <w:rStyle w:val="normaltextrun"/>
          <w:color w:val="000000"/>
          <w:shd w:val="clear" w:color="auto" w:fill="FFFFFF"/>
        </w:rPr>
        <w:t>D.</w:t>
      </w:r>
      <w:r w:rsidRPr="00F40DC3">
        <w:rPr>
          <w:rStyle w:val="normaltextrun"/>
          <w:color w:val="000000"/>
          <w:shd w:val="clear" w:color="auto" w:fill="FFFFFF"/>
        </w:rPr>
        <w:tab/>
        <w:t>mając na uwadze, że EBI wspiera politykę i projekty UE oraz jest głównym partnerem wykonawczym w zakresie wykorzystywania mandatów i gwarancji budżetu UE, a tym samym mobilizowania inwestycji publicznych i prywatnych na dużą skalę; mając na uwadze, że EBI twierdzi, iż około 90 % swoich rocznych inwestycji przeznacza na projekty w UE, a 10 % na inwestycje poza UE;</w:t>
      </w:r>
    </w:p>
    <w:p w14:paraId="5F98EA9F" w14:textId="77777777" w:rsidR="00AA76C7" w:rsidRPr="00F40DC3" w:rsidRDefault="00AA76C7" w:rsidP="00AA76C7">
      <w:pPr>
        <w:pStyle w:val="NormalHanging12a"/>
      </w:pPr>
      <w:r w:rsidRPr="00F40DC3">
        <w:t>E.</w:t>
      </w:r>
      <w:r w:rsidRPr="00F40DC3">
        <w:tab/>
        <w:t xml:space="preserve">mając na uwadze, że EFI, jako część grupy EBI, jest podmiotem specjalizującym się we wspieraniu celów polityki UE, w tym w dziedzinie przedsiębiorczości, tworzenia miejsc pracy i spójności gospodarczej, oraz odgrywa kluczową rolę we wspieraniu małych i średnich przedsiębiorstw (MŚP) poprzez zwiększanie ich dostępu do rynków finansowych, od kapitału wysokiego ryzyka po mikrofinansowanie; </w:t>
      </w:r>
      <w:r w:rsidRPr="00F40DC3">
        <w:rPr>
          <w:rStyle w:val="normaltextrun"/>
          <w:color w:val="000000"/>
          <w:shd w:val="clear" w:color="auto" w:fill="FFFFFF"/>
        </w:rPr>
        <w:t>podkreśla fakt, że grupa EBI wspiera przedsiębiorstwa na wszystkich etapach rozwoju;</w:t>
      </w:r>
    </w:p>
    <w:p w14:paraId="086DAC3C" w14:textId="77777777" w:rsidR="00AA76C7" w:rsidRPr="00F40DC3" w:rsidRDefault="00AA76C7" w:rsidP="00AA76C7">
      <w:pPr>
        <w:pStyle w:val="NormalHanging12a"/>
      </w:pPr>
      <w:r w:rsidRPr="00F40DC3">
        <w:t>F.</w:t>
      </w:r>
      <w:r w:rsidRPr="00F40DC3">
        <w:tab/>
        <w:t>mając na uwadze, że według szacunków do czerwca 2024 r. w ramach InvestEU zmobilizowano około 280 mld EUR dodatkowych inwestycji, z czego 201 mld EUR pochodziło z sektora prywatnego; mając na uwadze, że pula środków InvestEU została prawie wyczerpana;</w:t>
      </w:r>
    </w:p>
    <w:p w14:paraId="72751E6F" w14:textId="77777777" w:rsidR="00AA76C7" w:rsidRPr="00F40DC3" w:rsidRDefault="00AA76C7" w:rsidP="00AA76C7">
      <w:pPr>
        <w:pStyle w:val="NormalHanging12a"/>
      </w:pPr>
      <w:r w:rsidRPr="00F40DC3">
        <w:t>G.</w:t>
      </w:r>
      <w:r w:rsidRPr="00F40DC3">
        <w:tab/>
        <w:t>mając na uwadze, że w najnowszych sprawozdaniach dotyczących przyszłości UE wzywa się do wzmocnienia konkurencyjności i produktywności UE oraz podkreśla się kluczową rolę integracji rynkowej oraz potrzebę przyspieszenia inwestycji publicznych i prywatnych w celu zbudowania silniejszej, bezpieczniejszej, bardziej autonomicznej i sprawiedliwej Europy;</w:t>
      </w:r>
    </w:p>
    <w:p w14:paraId="121D81B6" w14:textId="77777777" w:rsidR="00AA76C7" w:rsidRPr="00F40DC3" w:rsidRDefault="00AA76C7" w:rsidP="00AA76C7">
      <w:pPr>
        <w:pStyle w:val="NormalHanging12a"/>
      </w:pPr>
      <w:r w:rsidRPr="00F40DC3">
        <w:t>H.</w:t>
      </w:r>
      <w:r w:rsidRPr="00F40DC3">
        <w:tab/>
        <w:t>mając na uwadze, że w sprawozdaniu Draghiego na temat konkurencyjności Europy dodatkowe potrzeby inwestycyjne w Europie oszacowano na 750–800 mld EUR rocznie do 2030 r.; mając na uwadze, że grupa EBI odgrywa kluczową rolę w wypełnianiu tej luki, zarówno poprzez własną zdolność udzielania pożyczek, jak i przyciąganie kapitału prywatnego na finansowanie tych potrzeb inwestycyjnych;</w:t>
      </w:r>
    </w:p>
    <w:p w14:paraId="1105E07D" w14:textId="77777777" w:rsidR="00AA76C7" w:rsidRPr="00F40DC3" w:rsidRDefault="00AA76C7" w:rsidP="00AA76C7">
      <w:pPr>
        <w:pStyle w:val="NormalHanging12a"/>
      </w:pPr>
      <w:r w:rsidRPr="00F40DC3">
        <w:t>I.</w:t>
      </w:r>
      <w:r w:rsidRPr="00F40DC3">
        <w:tab/>
        <w:t>mając na uwadze, że według sprawozdania Draghiego przedsiębiorstwa UE wydają mniej na badania naukowe i innowacje niż przedsiębiorstwa w Stanach Zjednoczonych, a Europa nie potrafi przekształcić badań naukowych i innowacji w produkty komercyjne, zwłaszcza w sektorach takich jak biotechnologia, sztuczna inteligencja i energia odnawialna, w kontekście braku odpowiedniej skali oraz nieukończonego jednolitego rynku, unii bankowej i unii rynków kapitałowych w UE; mając na uwadze, że w sprawozdaniu Draghiego podkreślono, iż w 2023 r. różnica w wydajności między UE a Stanami Zjednoczonymi wyniesie 30 %, oraz wskazano, że kluczowym czynnikiem jest fakt, iż Europa nie uczestniczy w rewolucji cyfrowej napędzanej przez internet i związany z nim wzrost wydajności, zauważając, że tylko cztery z 50 największych przedsiębiorstw technologicznych na świecie to przedsiębiorstwa europejskie;</w:t>
      </w:r>
    </w:p>
    <w:p w14:paraId="2981C5D2" w14:textId="77777777" w:rsidR="00AA76C7" w:rsidRPr="00F40DC3" w:rsidRDefault="00AA76C7" w:rsidP="00AA76C7">
      <w:pPr>
        <w:pStyle w:val="NormalHanging12a"/>
      </w:pPr>
      <w:r w:rsidRPr="00F40DC3">
        <w:t>J.</w:t>
      </w:r>
      <w:r w:rsidRPr="00F40DC3">
        <w:tab/>
        <w:t>mając na uwadze, że w raporcie Letty oszacowano, iż 300 mld EUR europejskich oszczędności nie inwestuje się w Europie, lecz głównie w Stanach Zjednoczonych, z powodu braku zintegrowanej unii rynków kapitałowych (URK); mając na uwadze, że prezes Europejskiego Banku Centralnego szacuje, iż po urzeczywistnieniu URK przedsiębiorstwa w UE mogłyby pozyskać dodatkowo około 470 mld EUR rocznie z rynków kapitałowych</w:t>
      </w:r>
      <w:r w:rsidRPr="00F40DC3">
        <w:rPr>
          <w:rStyle w:val="FootnoteReference"/>
        </w:rPr>
        <w:footnoteReference w:id="10"/>
      </w:r>
      <w:r w:rsidRPr="00F40DC3">
        <w:t>; mając na uwadze, że według szacunków Biura Analiz Parlamentu Europejskiego potencjalne korzyści wynikające z pełniejszej integracji i skuteczniejszej regulacji rynku finansowego UE mogą wynieść w perspektywie długoterminowej nawet 159 mld EUR rocznie, a dalszy postęp w integracji sektora bankowego UE może przynieść korzyści w wysokości nawet 114 mld EUR rocznie;</w:t>
      </w:r>
    </w:p>
    <w:p w14:paraId="728EDBC8" w14:textId="77777777" w:rsidR="00AA76C7" w:rsidRPr="00F40DC3" w:rsidRDefault="00AA76C7" w:rsidP="00AA76C7">
      <w:pPr>
        <w:pStyle w:val="NormalHanging12a"/>
      </w:pPr>
      <w:r w:rsidRPr="00F40DC3">
        <w:t>K.</w:t>
      </w:r>
      <w:r w:rsidRPr="00F40DC3">
        <w:tab/>
      </w:r>
      <w:r w:rsidRPr="00F40DC3">
        <w:rPr>
          <w:color w:val="000000"/>
        </w:rPr>
        <w:t xml:space="preserve">mając na uwadze, że działania EBI powinny przyczyniać się do osiągnięcia neutralności klimatycznej najpóźniej do 2050 r., zgodnie z porozumieniem paryskim i celami zrównoważonego rozwoju ONZ, oraz wspierać wdrażanie europejskiego filaru praw socjalnych; </w:t>
      </w:r>
      <w:r w:rsidRPr="00F40DC3">
        <w:t>mając na uwadze, że EBI mianował siebie bankiem klimatycznym UE w związku z inwestycjami potrzebnymi do przeprowadzenia sprawiedliwej transformacji ekologicznej; mając na uwadze, że Komisja szacuje, iż UE musi zwiększyć swoje roczne inwestycje w energię, innowacje przemysłowe oraz zwiększanie skali oraz systemy transportowe o około 480 mld EUR w porównaniu z poprzednią dekadą</w:t>
      </w:r>
      <w:r w:rsidRPr="00F40DC3">
        <w:rPr>
          <w:rStyle w:val="FootnoteReference"/>
        </w:rPr>
        <w:footnoteReference w:id="11"/>
      </w:r>
      <w:r w:rsidRPr="00F40DC3">
        <w:t>;</w:t>
      </w:r>
    </w:p>
    <w:p w14:paraId="6D928755" w14:textId="77777777" w:rsidR="00AA76C7" w:rsidRPr="00F40DC3" w:rsidRDefault="00AA76C7" w:rsidP="00AA76C7">
      <w:pPr>
        <w:pStyle w:val="NormalHanging12a"/>
      </w:pPr>
      <w:r w:rsidRPr="00F40DC3">
        <w:t>L.</w:t>
      </w:r>
      <w:r w:rsidRPr="00F40DC3">
        <w:tab/>
        <w:t>mając na uwadze, że w świetle obecnej sytuacji geopolitycznej rozwój europejskiej bazy technologiczno-przemysłowej w dziedzinie obronności odgrywa coraz ważniejszą rolę na rynku wewnętrznym; mając na uwadze, że w białej księdze Komisji w sprawie przyszłości obronności europejskiej wskazano, iż w ciągu czterech lat konieczne będzie przeznaczenie dodatkowych 800 mld EUR na sektor obrony; mając na uwadze, że EBI ogłosił, iż podwoi finansowanie na rzecz bezpieczeństwa i obrony z 1 mld EUR w 2024 r. do 2 mld EUR w 2025 r., zachowując jednocześnie rating kredytowy „potrójnego A”;</w:t>
      </w:r>
    </w:p>
    <w:p w14:paraId="295EB580" w14:textId="77777777" w:rsidR="00AA76C7" w:rsidRPr="00F40DC3" w:rsidRDefault="00AA76C7" w:rsidP="00AA76C7">
      <w:pPr>
        <w:pStyle w:val="NormalHanging12a"/>
      </w:pPr>
      <w:r w:rsidRPr="00F40DC3">
        <w:t>M.</w:t>
      </w:r>
      <w:r w:rsidRPr="00F40DC3">
        <w:tab/>
        <w:t>mając na uwadze, że ceny mieszkań w UE wzrosły średnio o 48 % w latach 2015–2023, a kryzys mieszkaniowy dotyka niemal całą Europę, co w coraz większym stopniu odczuwają nie tylko grupy najbardziej narażone, ale także klasa średnia; mając na uwadze, że dane EBI wskazują na coroczną potrzebę budowy 1,5 mln nowych domów i renowacji kolejnych pięciu milionów, co wymaga inwestycji rzędu 300–400 mld EUR rocznie; mając na uwadze, że sektor mieszkaniowy ma znaczenie ogólne, ale stoi w obliczu ograniczonych inwestycji publicznych, co sprawia, że dalsze inwestycje EBI mają dlań kluczowe znaczenie; mając na uwadze, że w nowym planie działania EBI przewidziano inwestycje w wysokości 10 mld EUR w ciągu najbliższych dwóch lat;</w:t>
      </w:r>
    </w:p>
    <w:p w14:paraId="3165BF73" w14:textId="77777777" w:rsidR="00AA76C7" w:rsidRPr="00F40DC3" w:rsidRDefault="00AA76C7" w:rsidP="00AA76C7">
      <w:pPr>
        <w:pStyle w:val="NormalHanging12a"/>
      </w:pPr>
      <w:r w:rsidRPr="00F40DC3">
        <w:t>N.</w:t>
      </w:r>
      <w:r w:rsidRPr="00F40DC3">
        <w:tab/>
        <w:t>mając na uwadze, że uruchomiony w 2022 r. organ kredytowy EBI Global ma kluczowe znaczenie dla pozycji Europy na świecie; mając na uwadze, że oczekuje się, iż EBI Global umożliwi realizację co najmniej jednej trzeciej z inwestycji o wartości 300 mld EUR, które mają zostać uruchomione w ramach strategii Global Gateway do końca 2027 r.;</w:t>
      </w:r>
    </w:p>
    <w:p w14:paraId="276E715A" w14:textId="77777777" w:rsidR="00AA76C7" w:rsidRPr="00F40DC3" w:rsidRDefault="00AA76C7" w:rsidP="00AA76C7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F40DC3">
        <w:t>O.</w:t>
      </w:r>
      <w:r w:rsidRPr="00F40DC3">
        <w:tab/>
        <w:t>mając na uwadze, że Parlament wielokrotnie wzywał do zawarcia porozumienia międzyinstytucjonalnego między Parlamentem a EBI; mając na uwadze, że Parlament podpisał umowy z różnymi organami UE; mając na uwadze, że Parlament i EBI mają długą historię intensywnej współpracy, w tym (nie)legislacyjnych interakcji i dialogu;</w:t>
      </w:r>
    </w:p>
    <w:p w14:paraId="52FF439D" w14:textId="77777777" w:rsidR="00AA76C7" w:rsidRPr="00F40DC3" w:rsidRDefault="00AA76C7" w:rsidP="00AA76C7">
      <w:pPr>
        <w:pStyle w:val="Normal12a24b"/>
      </w:pPr>
      <w:r w:rsidRPr="00F40DC3">
        <w:rPr>
          <w:rStyle w:val="BoldItalic"/>
        </w:rPr>
        <w:t>Uwagi ogólne</w:t>
      </w:r>
    </w:p>
    <w:p w14:paraId="25D1C789" w14:textId="77777777" w:rsidR="00AA76C7" w:rsidRPr="00F40DC3" w:rsidRDefault="00AA76C7" w:rsidP="00AA76C7">
      <w:pPr>
        <w:pStyle w:val="NormalHanging12a"/>
      </w:pPr>
      <w:r w:rsidRPr="00F40DC3">
        <w:t>1.</w:t>
      </w:r>
      <w:r w:rsidRPr="00F40DC3">
        <w:tab/>
        <w:t>docenia gotowość EBI, aby dostosowywać się do zmieniających się wymogów polityki UE, jednocześnie mając na uwadze swoje długoterminowe cele; z zadowoleniem przyjmuje strategiczny plan działania grupy EBI na lata 2024–2027, który odzwierciedla priorytety polityczne UE; przypomina, że osiem obszarów priorytetowych określonych w strategicznym planie działania dotyczy następujących dziedzin: rola EBI jako banku klimatycznego, cyfryzacja i wdrażanie nowych technologii, przemysł bezpieczeństwa i obrony, nowoczesna polityka spójności, rolnictwo i biogospodarka, infrastruktura społeczna Europy, inwestycje o dużym oddziaływaniu poza UE oraz unia rynków kapitałowych;</w:t>
      </w:r>
    </w:p>
    <w:p w14:paraId="7BE0A304" w14:textId="77777777" w:rsidR="00AA76C7" w:rsidRPr="00F40DC3" w:rsidRDefault="00AA76C7" w:rsidP="00AA76C7">
      <w:pPr>
        <w:pStyle w:val="NormalHanging12a"/>
      </w:pPr>
      <w:r w:rsidRPr="00F40DC3">
        <w:t>2.</w:t>
      </w:r>
      <w:r w:rsidRPr="00F40DC3">
        <w:tab/>
        <w:t>apeluje z całą mocą, aby EBI odgrywał jeszcze większą rolę w likwidowaniu luki inwestycyjnej w Europie, którą to lukę Mario Draghi oszacował na 800 mld EUR, z czego 450 mld EUR potrzeba na samą transformację energetyczną; wzywa Komisję i EBI do pełnego wykorzystania potencjału EBI w celu zapewnienia wsparcia finansowego dla wspólnych priorytetów UE oraz wypełnienia jego kluczowej roli w stymulowaniu inwestycji niezbędnych do osiągnięcia sprawiedliwego i sprzyjającego włączeniu społecznemu zrównoważonego wzrostu, przy jednoczesnym maksymalnym wykorzystaniu korzyści płynących z innowacji w kluczowych obszarach polityki UE; apeluje o jeszcze większe wzmocnienie wkładu grupy EBI w kolejnych wieloletnich ramach finansowych (WRF), w szczególności poprzez instrumenty finansowe i gwarancje budżetowe, które okazały się bardzo skuteczne w osiągnięciu postępów w realizacji kluczowych celów polityki UE; wzywa państwa członkowskie do zapewnienia wystarczających środków finansowych na ten cel poprzez powierzenie zadań EBI oraz ewentualne podwyższenie kapitału, co umożliwi EBI mobilizację inwestycji rzeczywiście odpowiadających potrzebom całej Europy i wzmacniających znaczenie UE jako globalnego gracza; przypomina, że nowa Komisja postawiła sobie za cel być „Komisją inwestycyjną”;</w:t>
      </w:r>
    </w:p>
    <w:p w14:paraId="73DABEE5" w14:textId="77777777" w:rsidR="00AA76C7" w:rsidRPr="00F40DC3" w:rsidRDefault="00AA76C7" w:rsidP="00AA76C7">
      <w:pPr>
        <w:pStyle w:val="NormalHanging12a"/>
        <w:rPr>
          <w:szCs w:val="24"/>
        </w:rPr>
      </w:pPr>
      <w:r w:rsidRPr="00F40DC3">
        <w:t>3.</w:t>
      </w:r>
      <w:r w:rsidRPr="00F40DC3">
        <w:tab/>
        <w:t>podkreśla, że uzyskany przez EBI rating „potrójnego A” ma zasadnicze znaczenie i jest kluczowym atutem, który należy utrzymać;</w:t>
      </w:r>
      <w:r w:rsidRPr="00F40DC3">
        <w:rPr>
          <w:rStyle w:val="normaltextrun"/>
          <w:color w:val="000000"/>
        </w:rPr>
        <w:t xml:space="preserve"> </w:t>
      </w:r>
      <w:r w:rsidRPr="00F40DC3">
        <w:t xml:space="preserve">wzywa wszystkie odnośne podmioty do ochrony i zagwarantowania tego ratingu przy dostosowywaniu polityki kredytowej i mandatu EBI; podkreśla, że rating ten opiera się m.in. na solidnej pozycji kapitałowej, doskonałej jakości aktywów i wynikach, wiarygodności kredytowej państw członkowskich jako ostatecznych gwarantów oraz na fakcie, że EBI reaguje na cele polityki UE; zauważa, że dzięki solidnemu ratingowi „potrójnego A” i silnym ramom zarządzania ryzykiem grupa EBI dysponuje siłą finansową niezbędną do stałego zwiększania swoich rocznych inwestycji; podkreśla fakt, że rating i sytuacja finansowa EBI umożliwiają mu zapewnienie korzystnych warunków finansowania projektów leżących w interesie publicznym w porównaniu z prywatnymi bankami komercyjnymi, co gwarantuje pewność i efektywność kosztową, a także pozwala mu absorbować ewentualne wahania zwrotów, utrzymywać zaufanie inwestorów oraz ograniczać koszty finansowania zewnętrznego; podkreśla, że EBI powinien w dalszym ciągu wykorzystywać swój uprzywilejowany status, aby podejmować większe ryzyko w finansowaniu europejskich dóbr publicznych i inwestycji strategicznych; </w:t>
      </w:r>
      <w:r w:rsidRPr="00F40DC3">
        <w:rPr>
          <w:rStyle w:val="normaltextrun"/>
          <w:color w:val="000000"/>
          <w:shd w:val="clear" w:color="auto" w:fill="FFFFFF"/>
        </w:rPr>
        <w:t>przyjmuje do wiadomości decyzję Rady Gubernatorów EBI o podwyższeniu limitu wskaźnika dźwigni EBI z 250 % do 290 %;</w:t>
      </w:r>
      <w:r w:rsidRPr="00F40DC3">
        <w:t xml:space="preserve"> podkreśla, że EBI powinien adekwatnie dostosować swoje interwencje, aby nie wypierać inwestycji prywatnych;</w:t>
      </w:r>
    </w:p>
    <w:p w14:paraId="29DA4D81" w14:textId="77777777" w:rsidR="00AA76C7" w:rsidRPr="00F40DC3" w:rsidRDefault="00AA76C7" w:rsidP="00AA76C7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F40DC3">
        <w:rPr>
          <w:rStyle w:val="normaltextrun"/>
          <w:color w:val="000000"/>
          <w:shd w:val="clear" w:color="auto" w:fill="FFFFFF"/>
        </w:rPr>
        <w:t>4.</w:t>
      </w:r>
      <w:r w:rsidRPr="00F40DC3">
        <w:rPr>
          <w:rStyle w:val="tabchar"/>
          <w:color w:val="000000"/>
          <w:shd w:val="clear" w:color="auto" w:fill="FFFFFF"/>
        </w:rPr>
        <w:tab/>
      </w:r>
      <w:r w:rsidRPr="00F40DC3">
        <w:rPr>
          <w:rStyle w:val="normaltextrun"/>
          <w:color w:val="000000"/>
          <w:shd w:val="clear" w:color="auto" w:fill="FFFFFF"/>
        </w:rPr>
        <w:t>zauważa, że w 2024 r. wielkość inwestycji EBI w stosunku do PKB w poszczególnych krajach europejskich waha się od 0,1 %</w:t>
      </w:r>
      <w:r w:rsidRPr="00F40DC3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2"/>
      </w:r>
      <w:r w:rsidRPr="00F40DC3">
        <w:rPr>
          <w:rStyle w:val="normaltextrun"/>
          <w:color w:val="000000"/>
          <w:shd w:val="clear" w:color="auto" w:fill="FFFFFF"/>
        </w:rPr>
        <w:t xml:space="preserve"> do 1,4 %; wzywa grupę EBI do zapewnienia bardziej wyważonego rozkładu geograficznego inwestycji w celu maksymalizacji ich oddziaływania we wszystkich regionach UE, tak aby promować spójny i sprzyjający włączeniu społecznemu wzrost gospodarczy w całej UE, ze szczególnym uwzględnieniem obszarów niedostatecznie reprezentowanych i słabiej rozwiniętych;</w:t>
      </w:r>
      <w:r w:rsidRPr="00F40DC3">
        <w:rPr>
          <w:rStyle w:val="eop"/>
          <w:color w:val="000000"/>
          <w:shd w:val="clear" w:color="auto" w:fill="FFFFFF"/>
        </w:rPr>
        <w:t> </w:t>
      </w:r>
      <w:r w:rsidRPr="00F40DC3">
        <w:t>wzywa EBI do zwrócenia szczególnej uwagi na plany inwestycyjne, których celem jest zmniejszenie różnic między najbardziej rozwiniętymi regionami UE a regionami wyspiarskimi, obszarami śródlądowymi, regionami najbardziej oddalonymi, obszarami dotkniętymi kryzysem gospodarczym oraz wszystkimi obszarami UE narażonymi na niekorzystne czynniki naturalne;</w:t>
      </w:r>
    </w:p>
    <w:p w14:paraId="36DC2083" w14:textId="77777777" w:rsidR="00AA76C7" w:rsidRPr="00F40DC3" w:rsidRDefault="00AA76C7" w:rsidP="00AA76C7">
      <w:pPr>
        <w:pStyle w:val="NormalHanging12a"/>
      </w:pPr>
      <w:r w:rsidRPr="00F40DC3">
        <w:t>5.</w:t>
      </w:r>
      <w:r w:rsidRPr="00F40DC3">
        <w:tab/>
        <w:t>podkreśla potrzebę uproszczenia, usprawnienia, optymalizacji i konsolidacji obecnych i przyszłych procesów i mandatów EBI w celu zwiększenia synergii, skuteczności i wydajności; sugeruje opracowanie i wprowadzenie jednego zbioru przepisów, wraz z jednolitym zestawem przepisów finansowych, który będzie funkcjonował jako jednolite ramy dla wielu programów UE i uprości ich wdrażanie przez partnerów, co przyczyni się do usprawnienia działalności EBI;</w:t>
      </w:r>
    </w:p>
    <w:p w14:paraId="35D8027B" w14:textId="77777777" w:rsidR="00AA76C7" w:rsidRPr="00F40DC3" w:rsidRDefault="00AA76C7" w:rsidP="00AA76C7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F40DC3">
        <w:rPr>
          <w:rStyle w:val="normaltextrun"/>
          <w:color w:val="000000"/>
          <w:shd w:val="clear" w:color="auto" w:fill="FFFFFF"/>
        </w:rPr>
        <w:t>6.</w:t>
      </w:r>
      <w:r w:rsidRPr="00F40DC3">
        <w:rPr>
          <w:rStyle w:val="normaltextrun"/>
          <w:color w:val="000000"/>
          <w:shd w:val="clear" w:color="auto" w:fill="FFFFFF"/>
        </w:rPr>
        <w:tab/>
        <w:t>podkreśla znaczenie zmniejszenia obciążeń administracyjnych i kosztów sprawozdawczości, a także uproszczenia procedur dotyczących projektów finansowanych przez EBI, w szczególności dla MŚP i mniejszych inicjatyw opartych na innowacjach; podkreśla, że bardziej usprawniony proces mógłby przyczynić się do zwiększenia wpływu i zdolności reagowania EBI;</w:t>
      </w:r>
      <w:r w:rsidRPr="00F40DC3">
        <w:t xml:space="preserve"> z zadowoleniem przyjmuje w tym względzie tworzenie punktów kompleksowej obsługi, aby oferować skoordynowane wsparcie finansowe i doradztwo techniczne;</w:t>
      </w:r>
    </w:p>
    <w:p w14:paraId="3AE3E7B3" w14:textId="77777777" w:rsidR="00AA76C7" w:rsidRPr="00F40DC3" w:rsidRDefault="00AA76C7" w:rsidP="00AA76C7">
      <w:pPr>
        <w:pStyle w:val="NormalHanging12a"/>
        <w:rPr>
          <w:rStyle w:val="BoldItalic"/>
        </w:rPr>
      </w:pPr>
      <w:r w:rsidRPr="00F40DC3">
        <w:rPr>
          <w:rStyle w:val="normaltextrun"/>
          <w:color w:val="000000"/>
          <w:shd w:val="clear" w:color="auto" w:fill="FFFFFF"/>
        </w:rPr>
        <w:t>7.</w:t>
      </w:r>
      <w:r w:rsidRPr="00F40DC3">
        <w:rPr>
          <w:rStyle w:val="tabchar"/>
          <w:color w:val="000000"/>
          <w:shd w:val="clear" w:color="auto" w:fill="FFFFFF"/>
        </w:rPr>
        <w:tab/>
      </w:r>
      <w:r w:rsidRPr="00F40DC3">
        <w:rPr>
          <w:rStyle w:val="normaltextrun"/>
          <w:color w:val="000000"/>
          <w:shd w:val="clear" w:color="auto" w:fill="FFFFFF"/>
        </w:rPr>
        <w:t xml:space="preserve">docenia zaangażowanie EBI w reformy mające na celu skrócenie czasu wprowadzania produktów na rynek, przy czym docelowo do końca 2024 r. ma nastąpić skrócenie tego czasu o 30 %, a w latach 2024–2026 o 50 %; zauważa, że przyspiesza się wdrażanie tych reform w celu ograniczenia biurokracji, zwiększenia synergii w ramach grupy, automatyzacji i usprawnienia procedur wewnętrznych oraz poprawy efektywności kosztowej; wzywa Komisję i EBI do dalszej oceny sposobu, w jaki można przyspieszyć wprowadzanie produktów EBI na rynek oraz uprościć mandaty finansowe bez uszczerbku dla standardów audytu i przejrzystości; </w:t>
      </w:r>
      <w:r w:rsidRPr="00F40DC3">
        <w:t>wzywa EBI do zintensyfikowania wysiłków na rzecz cyfryzacji jego operacji;</w:t>
      </w:r>
      <w:r w:rsidRPr="00F40DC3">
        <w:rPr>
          <w:rStyle w:val="normaltextrun"/>
          <w:color w:val="000000"/>
          <w:shd w:val="clear" w:color="auto" w:fill="FFFFFF"/>
        </w:rPr>
        <w:t xml:space="preserve"> </w:t>
      </w:r>
    </w:p>
    <w:p w14:paraId="543C8EA6" w14:textId="77777777" w:rsidR="00AA76C7" w:rsidRPr="00F40DC3" w:rsidRDefault="00AA76C7" w:rsidP="00AA76C7">
      <w:pPr>
        <w:pStyle w:val="Normal12a24b"/>
      </w:pPr>
      <w:r w:rsidRPr="00F40DC3">
        <w:rPr>
          <w:rStyle w:val="BoldItalic"/>
        </w:rPr>
        <w:t>Likwidowanie luki inwestycyjnej i wspieranie konkurencyjności</w:t>
      </w:r>
    </w:p>
    <w:p w14:paraId="3239613B" w14:textId="77777777" w:rsidR="00AA76C7" w:rsidRPr="00F40DC3" w:rsidRDefault="00AA76C7" w:rsidP="00AA76C7">
      <w:pPr>
        <w:pStyle w:val="NormalHanging12a"/>
      </w:pPr>
      <w:r w:rsidRPr="00F40DC3">
        <w:t>8.</w:t>
      </w:r>
      <w:r w:rsidRPr="00F40DC3">
        <w:tab/>
        <w:t>podkreśla ważną rolę grupy EBI jako ogólnoeuropejskiego i międzynarodowego organu inwestycyjnego w mobilizowaniu zarówno publicznego, jak i prywatnego finansowania priorytetów UE oraz wspieraniu państw członkowskich w finansowaniu niezbędnych i strategicznych inwestycji oraz celów polityki UE;</w:t>
      </w:r>
    </w:p>
    <w:p w14:paraId="5E53CFA0" w14:textId="77777777" w:rsidR="00AA76C7" w:rsidRPr="00F40DC3" w:rsidRDefault="00AA76C7" w:rsidP="00AA76C7">
      <w:pPr>
        <w:pStyle w:val="NormalHanging12a"/>
      </w:pPr>
      <w:r w:rsidRPr="00F40DC3">
        <w:t>9.</w:t>
      </w:r>
      <w:r w:rsidRPr="00F40DC3">
        <w:tab/>
        <w:t>przypomina jednak, że działania EBI są z natury ograniczone i mogą jedynie odgrywać rolę wspierającą w eliminowaniu dużej luki inwestycyjnej; przypomina, że bardziej zintegrowana unia gospodarcza i walutowa, wzmocniona struktura gospodarcza i skuteczna koordynacja stanowiły wsparcie dla działań EBI; wzywa zatem do szybkich i znaczących postępów w zakresie unii rynków kapitałowych, w szczególności poprzez konkretne działania w ramach niedawno uruchomionej unii oszczędności i inwestycji, dokończenia budowy unii bankowej, a także, w stosownych przypadkach, ustanowienia na szczeblu UE instrumentów i narzędzi inwestycyjnych mających na celu zminimalizowanie kosztów dla podatników UE i maksymalizację efektywności w dostarczaniu europejskich dóbr publicznych;</w:t>
      </w:r>
    </w:p>
    <w:p w14:paraId="505119FF" w14:textId="77777777" w:rsidR="00AA76C7" w:rsidRPr="00F40DC3" w:rsidRDefault="00AA76C7" w:rsidP="00AA76C7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F40DC3">
        <w:rPr>
          <w:rStyle w:val="normaltextrun"/>
          <w:color w:val="000000"/>
          <w:shd w:val="clear" w:color="auto" w:fill="FFFFFF"/>
        </w:rPr>
        <w:t>10.</w:t>
      </w:r>
      <w:r w:rsidRPr="00F40DC3">
        <w:rPr>
          <w:rStyle w:val="normaltextrun"/>
          <w:color w:val="000000"/>
          <w:shd w:val="clear" w:color="auto" w:fill="FFFFFF"/>
        </w:rPr>
        <w:tab/>
      </w:r>
      <w:r w:rsidRPr="00F40DC3">
        <w:t>potwierdza, że bardziej zintegrowane rynki kapitałowe i pogłębiony jednolity rynek są również niezbędnymi podstawami działań EBI;</w:t>
      </w:r>
      <w:r w:rsidRPr="00F40DC3">
        <w:rPr>
          <w:rStyle w:val="normaltextrun"/>
          <w:color w:val="000000"/>
          <w:shd w:val="clear" w:color="auto" w:fill="FFFFFF"/>
        </w:rPr>
        <w:t xml:space="preserve"> z zadowoleniem przyjmuje fakt, że unia rynków kapitałowych stanowi jeden z priorytetów strategicznego planu działania EBI; uważa, że odpowiednio dokończona unia oszczędności i inwestycji przyniesie korzyści zarówno konsumentom, jak i MŚP, zapewniając możliwości wysokodochodowych inwestycji w realną gospodarkę, a ostatecznie wzmocni rynek kapitału wysokiego ryzyka, który jest uważany za bardziej ryzykowny niż inne formy inwestycji, poprzez ułatwienie dostępu do bardziej zróżnicowanych źródeł finansowania; podkreśla, że odpowiednie europejskie podmioty publiczne powinny przyczyniać się do tworzenia unii oszczędności i inwestycji, i z zadowoleniem przyjmuje gotowość EBI do uruchomienia projektów pilotażowych i innych konkretnych inicjatyw w tej dziedzinie;</w:t>
      </w:r>
    </w:p>
    <w:p w14:paraId="525F228E" w14:textId="77777777" w:rsidR="00AA76C7" w:rsidRPr="00F40DC3" w:rsidRDefault="00AA76C7" w:rsidP="00AA76C7">
      <w:pPr>
        <w:pStyle w:val="NormalHanging12a"/>
      </w:pPr>
      <w:r w:rsidRPr="00F40DC3">
        <w:t>11.</w:t>
      </w:r>
      <w:r w:rsidRPr="00F40DC3">
        <w:tab/>
        <w:t xml:space="preserve">wzywa Komisję i grupę EBI do wzmożenia wysiłków na rzecz realizacji programu działań na rzecz Kompasu konkurencyjności oraz unii oszczędności i inwestycji poprzez mobilizację kapitału prywatnego na potrzeby inwestycji produkcyjnych, wspierania innowacji w całym cyklu życia przedsiębiorstw, finansowania kapitałem wysokiego ryzyka oraz zwiększenia finansowania kapitałowego o podwyższonym ryzyku dla przedsiębiorstw typu start-up i przedsiębiorstw scale-up; </w:t>
      </w:r>
      <w:r w:rsidRPr="00F40DC3">
        <w:rPr>
          <w:rStyle w:val="normaltextrun"/>
          <w:color w:val="000000"/>
        </w:rPr>
        <w:t>podkreśla, że instrumenty podwyższonego ryzyka, takie jak instrumenty kapitałowe i dług wysokiego ryzyka (venture debt) muszą być stosowane przy ścisłym określeniu ram ryzyka i wymiernych wskaźnikach wyników;</w:t>
      </w:r>
      <w:r w:rsidRPr="00F40DC3">
        <w:rPr>
          <w:rStyle w:val="normaltextrun"/>
          <w:color w:val="000000"/>
          <w:shd w:val="clear" w:color="auto" w:fill="FFFFFF"/>
        </w:rPr>
        <w:t xml:space="preserve"> </w:t>
      </w:r>
      <w:r w:rsidRPr="00F40DC3">
        <w:t>zachęca EBI do zwiększenia finansowania przedsiębiorstw należących do kobiet;</w:t>
      </w:r>
    </w:p>
    <w:p w14:paraId="26BD700A" w14:textId="77777777" w:rsidR="00AA76C7" w:rsidRPr="00F40DC3" w:rsidRDefault="00AA76C7" w:rsidP="00AA76C7">
      <w:pPr>
        <w:pStyle w:val="NormalHanging12a"/>
        <w:rPr>
          <w:rStyle w:val="eop"/>
          <w:color w:val="000000"/>
          <w:szCs w:val="24"/>
          <w:shd w:val="clear" w:color="auto" w:fill="FFFFFF"/>
        </w:rPr>
      </w:pPr>
      <w:r w:rsidRPr="00F40DC3">
        <w:rPr>
          <w:rStyle w:val="normaltextrun"/>
          <w:color w:val="000000"/>
          <w:shd w:val="clear" w:color="auto" w:fill="FFFFFF"/>
        </w:rPr>
        <w:t>12.</w:t>
      </w:r>
      <w:r w:rsidRPr="00F40DC3">
        <w:rPr>
          <w:rStyle w:val="tabchar"/>
          <w:color w:val="000000"/>
          <w:shd w:val="clear" w:color="auto" w:fill="FFFFFF"/>
        </w:rPr>
        <w:tab/>
      </w:r>
      <w:r w:rsidRPr="00F40DC3">
        <w:t>uznaje kluczową rolę MŚP, jako podstawy europejskiej gospodarki, w pobudzaniu wzrostu gospodarczego, wspieraniu innowacji, tworzeniu miejsc pracy i promowaniu spójności terytorialnej;</w:t>
      </w:r>
      <w:r w:rsidRPr="00F40DC3">
        <w:rPr>
          <w:rStyle w:val="normaltextrun"/>
          <w:color w:val="000000" w:themeColor="text1"/>
          <w:shd w:val="clear" w:color="auto" w:fill="FFFFFF"/>
        </w:rPr>
        <w:t xml:space="preserve"> przypomina w związku z tym, że liczba MŚP w UE wynosi 24 miliony, stanowią one 99 % wszystkich przedsiębiorstw oraz zapewniają około dwóch trzecich wszystkich miejsc pracy i 50 % łącznej wartości dodanej wytwarzanej przez unijne przedsiębiorstwa; </w:t>
      </w:r>
      <w:r w:rsidRPr="00F40DC3">
        <w:t>podkreśla, że wspieranie MŚP jest kluczowym celem grupy EBI oraz że większy dostęp do kredytów, tworzenie dostosowanych do potrzeb instrumentów finansowych oraz ukierunkowane inwestycje w MŚP mogą mieć wywrzeć znaczący pozytywny wpływ, przyczyniając się do odporności gospodarczej Unii, konkurencyjności lokalnych łańcuchów produkcyjnych oraz cyfrowej i zrównoważonej transformacji gospodarek regionalnych;</w:t>
      </w:r>
      <w:r w:rsidRPr="00F40DC3">
        <w:rPr>
          <w:rStyle w:val="normaltextrun"/>
          <w:color w:val="000000" w:themeColor="text1"/>
          <w:shd w:val="clear" w:color="auto" w:fill="FFFFFF"/>
        </w:rPr>
        <w:t xml:space="preserve"> </w:t>
      </w:r>
    </w:p>
    <w:p w14:paraId="4C7FE9ED" w14:textId="77777777" w:rsidR="00AA76C7" w:rsidRPr="00F40DC3" w:rsidRDefault="00AA76C7" w:rsidP="00AA76C7">
      <w:pPr>
        <w:pStyle w:val="NormalHanging12a"/>
        <w:rPr>
          <w:rStyle w:val="eop"/>
          <w:color w:val="000000"/>
          <w:szCs w:val="24"/>
          <w:shd w:val="clear" w:color="auto" w:fill="FFFFFF"/>
        </w:rPr>
      </w:pPr>
      <w:r w:rsidRPr="00F40DC3">
        <w:rPr>
          <w:rStyle w:val="normaltextrun"/>
          <w:color w:val="000000"/>
          <w:shd w:val="clear" w:color="auto" w:fill="FFFFFF"/>
        </w:rPr>
        <w:t>13.</w:t>
      </w:r>
      <w:r w:rsidRPr="00F40DC3">
        <w:rPr>
          <w:rStyle w:val="normaltextrun"/>
          <w:color w:val="000000"/>
          <w:shd w:val="clear" w:color="auto" w:fill="FFFFFF"/>
        </w:rPr>
        <w:tab/>
        <w:t>zachęca EBI do utrzymania i wzmocnienia swojej roli w ułatwianiu dostępu do finansowania dla MŚP i przedsiębiorstw typu start-up, które często napotykają przeszkody w pozyskiwaniu środków finansowych od tradycyjnych instytucji finansowych, poprzez zapewnienie ukierunkowanego finansowania w celu zagwarantowania wystarczających zasobów na rozwój i utrzymanie dobrej kondycji; zwraca uwagę, że MŚP nadal borykają się z trudnościami spowodowanymi wysokimi stopami procentowymi oraz kosztami surowców i energii;</w:t>
      </w:r>
      <w:r w:rsidRPr="00F40DC3">
        <w:rPr>
          <w:rStyle w:val="eop"/>
          <w:color w:val="000000"/>
          <w:shd w:val="clear" w:color="auto" w:fill="FFFFFF"/>
        </w:rPr>
        <w:t xml:space="preserve"> </w:t>
      </w:r>
    </w:p>
    <w:p w14:paraId="623E0F13" w14:textId="77777777" w:rsidR="00AA76C7" w:rsidRPr="00F40DC3" w:rsidRDefault="00AA76C7" w:rsidP="00AA76C7">
      <w:pPr>
        <w:pStyle w:val="NormalHanging12a"/>
        <w:rPr>
          <w:rStyle w:val="normaltextrun"/>
          <w:bCs/>
          <w:iCs/>
        </w:rPr>
      </w:pPr>
      <w:r w:rsidRPr="00F40DC3">
        <w:rPr>
          <w:rStyle w:val="normaltextrun"/>
          <w:color w:val="000000"/>
          <w:shd w:val="clear" w:color="auto" w:fill="FFFFFF"/>
        </w:rPr>
        <w:t>14.</w:t>
      </w:r>
      <w:r w:rsidRPr="00F40DC3">
        <w:rPr>
          <w:rStyle w:val="normaltextrun"/>
          <w:color w:val="000000"/>
          <w:shd w:val="clear" w:color="auto" w:fill="FFFFFF"/>
        </w:rPr>
        <w:tab/>
        <w:t>z zadowoleniem przyjmuje rolę EFI w finansowaniu przedsiębiorstw typu start-up i przedsiębiorstw scale-up w Europie, w tym poprzez jego działalność na europejskim rynku kapitału wysokiego ryzyka; podkreśla, że instrumenty EFI muszą pozostać łatwo dostępne dla mniejszych wnioskodawców, i wzywa EFI do odpowiedniego uproszczenia procedur składania wniosków; apeluje o zwiększenie budżetu EFI przeznaczonego na unijny ekosystem kapitału wysokiego ryzyka zgodnie z zaleceniem zawartym w sprawozdaniu Draghiego; wzywa również do wprowadzenia gwarancji z tytułu pierwszej straty i instrumentów zamiennych przeznaczonych dla przedsiębiorstw typu start-up i przedsiębiorstw scale-up;</w:t>
      </w:r>
    </w:p>
    <w:p w14:paraId="01D52DEA" w14:textId="77777777" w:rsidR="00AA76C7" w:rsidRPr="00F40DC3" w:rsidRDefault="00AA76C7" w:rsidP="00AA76C7">
      <w:pPr>
        <w:pStyle w:val="NormalHanging12a"/>
      </w:pPr>
      <w:r w:rsidRPr="00F40DC3">
        <w:rPr>
          <w:rStyle w:val="normaltextrun"/>
          <w:color w:val="000000"/>
          <w:shd w:val="clear" w:color="auto" w:fill="FFFFFF"/>
        </w:rPr>
        <w:t>15.</w:t>
      </w:r>
      <w:r w:rsidRPr="00F40DC3">
        <w:rPr>
          <w:rStyle w:val="normaltextrun"/>
          <w:color w:val="000000"/>
          <w:shd w:val="clear" w:color="auto" w:fill="FFFFFF"/>
        </w:rPr>
        <w:tab/>
        <w:t>podkreśla rolę Grupy EBI jako głównego podmiotu przyczyniającego się do rozwoju europejskiego ekosystemu kapitału wysokiego ryzyka i kapitału private equity, ale zauważa, że konieczne są dalsze prace w celu wsparcia europejskiej innowacyjności, aby zapewnić przedsiębiorstwom typu start-up więcej możliwości rozwoju i dostępu do finansowania w całym ich cyklu życia;</w:t>
      </w:r>
      <w:r w:rsidRPr="00F40DC3">
        <w:rPr>
          <w:rStyle w:val="tabchar"/>
          <w:color w:val="000000"/>
          <w:shd w:val="clear" w:color="auto" w:fill="FFFFFF"/>
        </w:rPr>
        <w:t xml:space="preserve"> </w:t>
      </w:r>
      <w:r w:rsidRPr="00F40DC3">
        <w:rPr>
          <w:rStyle w:val="normaltextrun"/>
          <w:color w:val="000000"/>
          <w:shd w:val="clear" w:color="auto" w:fill="FFFFFF"/>
        </w:rPr>
        <w:t>zauważa, że chociaż część inwestycji prywatnych już przepływa przez fundusze venture capital, to nadal jest ona niewystarczająca i nierównomiernie rozłożona między państwami członkowskimi; podkreśla, że unia rynków kapitałowych mogłaby pomóc w wyeliminowaniu tego braku równowagi i poprawić dostęp do finansowania w państwach członkowskich;</w:t>
      </w:r>
    </w:p>
    <w:p w14:paraId="6A4F0D99" w14:textId="77777777" w:rsidR="00AA76C7" w:rsidRPr="00F40DC3" w:rsidRDefault="00AA76C7" w:rsidP="00AA76C7">
      <w:pPr>
        <w:pStyle w:val="NormalHanging12a"/>
        <w:rPr>
          <w:rStyle w:val="normaltextrun"/>
          <w:b/>
          <w:bCs/>
          <w:iCs/>
          <w:color w:val="000000"/>
          <w:szCs w:val="24"/>
          <w:shd w:val="clear" w:color="auto" w:fill="FFFFFF"/>
        </w:rPr>
      </w:pPr>
      <w:r w:rsidRPr="00F40DC3">
        <w:t>16.</w:t>
      </w:r>
      <w:r w:rsidRPr="00F40DC3">
        <w:tab/>
        <w:t xml:space="preserve">podkreśla, że instrumenty zmniejszające ryzyko i gwarancje budżetowe okazały się potężnymi narzędziami; </w:t>
      </w:r>
      <w:r w:rsidRPr="00F40DC3">
        <w:rPr>
          <w:rStyle w:val="normaltextrun"/>
          <w:color w:val="000000"/>
          <w:shd w:val="clear" w:color="auto" w:fill="FFFFFF"/>
        </w:rPr>
        <w:t xml:space="preserve">uważa, że należy skutecznie kontynuować ograniczanie ryzyka, zwłaszcza w przypadku inwestycji w innowacyjne i strategiczne sektory; </w:t>
      </w:r>
      <w:r w:rsidRPr="00F40DC3">
        <w:t xml:space="preserve">jest zaniepokojony faktem, że zgodnie z oceną śródokresową Programu InvestEU, bez wsparcia budżetowego pule środków na wiele produktów finansowych mogą się wyczerpać do końca 2025 r.; </w:t>
      </w:r>
      <w:r w:rsidRPr="00F40DC3">
        <w:rPr>
          <w:rStyle w:val="normaltextrun"/>
          <w:color w:val="000000"/>
          <w:shd w:val="clear" w:color="auto" w:fill="FFFFFF"/>
        </w:rPr>
        <w:t>w związku z tym przyjmuje z zadowoleniem wniosek Komisji z 26 lutego 2025 r., który przewiduje dodatkowe środki finansowe dla InvestEU; wzywa do wyważonego rozkładu geograficznego finansowania w ramach InvestEU, w szczególności w odniesieniu do mniejszych państw członkowskich;</w:t>
      </w:r>
    </w:p>
    <w:p w14:paraId="75C98B23" w14:textId="77777777" w:rsidR="00AA76C7" w:rsidRPr="00F40DC3" w:rsidRDefault="00AA76C7" w:rsidP="00AA76C7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F40DC3">
        <w:t>17.</w:t>
      </w:r>
      <w:r w:rsidRPr="00F40DC3">
        <w:tab/>
        <w:t>przypomina, że podstawą gwarancji budżetowych UE są środki podatników, a niewywiązywanie się ze zobowiązań w projektach wspomaganych przez EBI mogłoby bezpośrednio wpłynąć na budżet UE;</w:t>
      </w:r>
    </w:p>
    <w:p w14:paraId="4FEBA56A" w14:textId="77777777" w:rsidR="00AA76C7" w:rsidRPr="00F40DC3" w:rsidRDefault="00AA76C7" w:rsidP="00AA76C7">
      <w:pPr>
        <w:pStyle w:val="NormalHanging12a"/>
        <w:rPr>
          <w:rStyle w:val="normaltextrun"/>
          <w:bCs/>
          <w:iCs/>
          <w:color w:val="000000"/>
          <w:szCs w:val="24"/>
        </w:rPr>
      </w:pPr>
      <w:r w:rsidRPr="00F40DC3">
        <w:t>18.</w:t>
      </w:r>
      <w:r w:rsidRPr="00F40DC3">
        <w:tab/>
        <w:t>z zadowoleniem przyjmuje dalsze rozszerzanie sieci EBI obejmującej europejskie banki prorozwojowe oraz inne międzynarodowe instytucje finansowe, aby pomóc w dalszym zwiększaniu inwestycji publicznych i prywatnych oraz zapewnić szeroki zasięg geograficzny i sektorowy;</w:t>
      </w:r>
      <w:r w:rsidRPr="00F40DC3">
        <w:rPr>
          <w:rStyle w:val="normaltextrun"/>
          <w:color w:val="000000"/>
          <w:shd w:val="clear" w:color="auto" w:fill="FFFFFF"/>
        </w:rPr>
        <w:t xml:space="preserve"> przypomina, że EBI wdraża 75 % środków z Programu InvestEU; </w:t>
      </w:r>
      <w:r w:rsidRPr="00F40DC3">
        <w:t>wzywa, aby w ramach instrumentu finansowego Funduszu Konkurencyjności wykorzystywano wiedzę fachową krajowych banków i instytucji prorozwojowych, w szczególności ich wiedzę na temat podmiotów lokalnych i regionalnych;</w:t>
      </w:r>
      <w:r w:rsidRPr="00F40DC3">
        <w:rPr>
          <w:rStyle w:val="normaltextrun"/>
          <w:color w:val="000000"/>
          <w:shd w:val="clear" w:color="auto" w:fill="FFFFFF"/>
        </w:rPr>
        <w:t xml:space="preserve"> </w:t>
      </w:r>
      <w:r w:rsidRPr="00F40DC3">
        <w:t>w tym kontekście wzywa do dalszego zbadania możliwości połączenia instrumentów EBI i krajowych banków i instytucji prorozwojowych, przy zapewnieniu, że instrumenty takie nie będą miały negatywnego wpływu na środki już przeznaczone dla krajowych banków i instytucji prorozwojowych;</w:t>
      </w:r>
    </w:p>
    <w:p w14:paraId="1E35BC56" w14:textId="77777777" w:rsidR="00AA76C7" w:rsidRPr="00F40DC3" w:rsidRDefault="00AA76C7" w:rsidP="00AA76C7">
      <w:pPr>
        <w:pStyle w:val="NormalHanging12a"/>
        <w:rPr>
          <w:color w:val="808080" w:themeColor="background1" w:themeShade="80"/>
        </w:rPr>
      </w:pPr>
      <w:r w:rsidRPr="00F40DC3">
        <w:t>19.</w:t>
      </w:r>
      <w:r w:rsidRPr="00F40DC3">
        <w:tab/>
        <w:t>wzywa EBI do wzmocnienia linii finansowania preferencyjnego dla lokalnych i krajowych pośredników finansowych, w tym konsorcjów kredytowych, instytucji mikrofinansowych, banków etycznych i organów gwarancji zbiorowych, które działają na rzecz ułatwienia MŚP dostępu do kredytów, ze szczególnym uwzględnieniem obszarów wiejskich, obszarów śródlądowych i wyspiarskich, regionów najbardziej oddalonych oraz obszarów przechodzących transformację gospodarczą i ekologiczną;</w:t>
      </w:r>
    </w:p>
    <w:p w14:paraId="0E86E724" w14:textId="77777777" w:rsidR="00AA76C7" w:rsidRPr="00F40DC3" w:rsidRDefault="00AA76C7" w:rsidP="00AA76C7">
      <w:pPr>
        <w:pStyle w:val="Normal12a24b"/>
      </w:pPr>
      <w:r w:rsidRPr="00F40DC3">
        <w:rPr>
          <w:rStyle w:val="BoldItalic"/>
        </w:rPr>
        <w:t>Wzmocnienie roli EBI jako banku klimatycznego UE</w:t>
      </w:r>
    </w:p>
    <w:p w14:paraId="685E16E2" w14:textId="77777777" w:rsidR="00AA76C7" w:rsidRPr="00F40DC3" w:rsidRDefault="00AA76C7" w:rsidP="00AA76C7">
      <w:pPr>
        <w:pStyle w:val="NormalHanging12a"/>
        <w:rPr>
          <w:szCs w:val="24"/>
        </w:rPr>
      </w:pPr>
      <w:r w:rsidRPr="00F40DC3">
        <w:t>20.</w:t>
      </w:r>
      <w:r w:rsidRPr="00F40DC3">
        <w:tab/>
        <w:t>uznaje rolę EBI jako banku klimatycznego i jego dostosowanie do unijnych ram zrównoważonego finansowania, w tym, w stosownych przypadkach, włączenie kryteriów systematyki</w:t>
      </w:r>
      <w:r w:rsidRPr="00F40DC3">
        <w:rPr>
          <w:rStyle w:val="FootnoteReference"/>
          <w:szCs w:val="24"/>
        </w:rPr>
        <w:footnoteReference w:id="13"/>
      </w:r>
      <w:r w:rsidRPr="00F40DC3">
        <w:t>, wspieranie transformacji poprzez finansowanie zrównoważonych i czystych technologii oraz wspieranie wysiłków Unii na rzecz dekarbonizacji gospodarki UE; przypomina, że przepływy finansowe EBI muszą być zgodne z celem UE, jakim jest osiągnięcie neutralności klimatycznej do 2050 r., oraz z celami klimatycznymi na 2030 r.; zauważa, że wszyscy klienci korporacyjni korzystający z finansowania EBI są zobowiązani umową do opublikowania wiarygodnej strategii dostosowania do porozumienia paryskiego („plany obniżenia emisyjności”)</w:t>
      </w:r>
      <w:r w:rsidRPr="00F40DC3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4"/>
      </w:r>
      <w:r w:rsidRPr="00F40DC3">
        <w:t>;</w:t>
      </w:r>
    </w:p>
    <w:p w14:paraId="7CA0CEE3" w14:textId="77777777" w:rsidR="00AA76C7" w:rsidRPr="00F40DC3" w:rsidRDefault="00AA76C7" w:rsidP="00AA76C7">
      <w:pPr>
        <w:pStyle w:val="NormalHanging12a"/>
        <w:rPr>
          <w:szCs w:val="24"/>
        </w:rPr>
      </w:pPr>
      <w:r w:rsidRPr="00F40DC3">
        <w:t>21.</w:t>
      </w:r>
      <w:r w:rsidRPr="00F40DC3">
        <w:tab/>
        <w:t>z zadowoleniem przyjmuje inwestycje EBI w dziedziny klimatu i środowiska, które w 2024 r. wyniosły łącznie 50,7 mld EUR, przekraczając cel polegający na przeznaczeniu co najmniej 50 % całkowitego finansowania na działania w dziedzinie klimatu i zrównoważenie środowiskowe; wzywa EBI do utrzymania wysokiego poziomu ambicji, podkreślając jednocześnie, że zobowiązanie to zwiększa konkurencyjność Unii, jej bezpieczeństwo energetyczne i odporność przemysłową;</w:t>
      </w:r>
    </w:p>
    <w:p w14:paraId="402DE528" w14:textId="77777777" w:rsidR="00AA76C7" w:rsidRPr="00F40DC3" w:rsidRDefault="00AA76C7" w:rsidP="00AA76C7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F40DC3">
        <w:rPr>
          <w:rStyle w:val="normaltextrun"/>
          <w:color w:val="000000"/>
          <w:shd w:val="clear" w:color="auto" w:fill="FFFFFF"/>
        </w:rPr>
        <w:t>22.</w:t>
      </w:r>
      <w:r w:rsidRPr="00F40DC3">
        <w:rPr>
          <w:rStyle w:val="normaltextrun"/>
          <w:color w:val="000000"/>
          <w:shd w:val="clear" w:color="auto" w:fill="FFFFFF"/>
        </w:rPr>
        <w:tab/>
        <w:t xml:space="preserve">przypomina, że transformacja ekologiczna musi być inkluzywna, sprawiedliwa i konkurencyjna, a zielone inwestycje muszą być rentowne; oczekuje zatem, że EBI wykorzysta swoje pożyczki, instrumenty finansowe, pomoc techniczną i usługi doradcze do wspierania obywateli i przedsiębiorstw stojących przed wyzwaniami społeczno-gospodarczymi wynikającymi z ich wysiłków na rzecz osiągnięcia neutralności klimatycznej do 2050 r.; </w:t>
      </w:r>
      <w:r w:rsidRPr="00F40DC3">
        <w:t>podkreśla potrzebę wspierania restrukturyzacji przemysłu, przekwalifikowania pracowników oraz tworzenia nowych miejsc pracy w dotkniętych regionach; zachęca EBI, by wspierał projekty, które zapewniają przystępny cenowo dostęp do energii ze źródeł odnawialnych, mieszkań i usług publicznych, a także by wspierał inicjatywy kierowane przez lokalną społeczność i małe projekty ukierunkowane zwłaszcza na zwalczanie ubóstwa energetycznego i traktował je jako priorytet;</w:t>
      </w:r>
    </w:p>
    <w:p w14:paraId="3BBD11C3" w14:textId="77777777" w:rsidR="00AA76C7" w:rsidRPr="00F40DC3" w:rsidRDefault="00AA76C7" w:rsidP="00AA76C7">
      <w:pPr>
        <w:pStyle w:val="NormalHanging12a"/>
      </w:pPr>
      <w:r w:rsidRPr="00F40DC3">
        <w:t>23.</w:t>
      </w:r>
      <w:r w:rsidRPr="00F40DC3">
        <w:tab/>
        <w:t xml:space="preserve">z zadowoleniem przyjmuje inwestycje EBI w energię ze źródeł odnawialnych, efektywność energetyczną, połączenia wzajemne oraz sieci energii elektrycznej i jej magazynowanie, w tym wsparcie dla REPowerEU; </w:t>
      </w:r>
      <w:r w:rsidRPr="00F40DC3">
        <w:rPr>
          <w:rStyle w:val="normaltextrun"/>
          <w:color w:val="000000"/>
          <w:shd w:val="clear" w:color="auto" w:fill="FFFFFF"/>
        </w:rPr>
        <w:t>podkreśla, jak ważne jest koncentrowanie się na projektach o wysokim poziomie oddziaływania oraz wymiernych korzyściach klimatycznych;</w:t>
      </w:r>
      <w:r w:rsidRPr="00F40DC3">
        <w:t xml:space="preserve"> </w:t>
      </w:r>
      <w:r w:rsidRPr="00F40DC3">
        <w:rPr>
          <w:rStyle w:val="normaltextrun"/>
          <w:color w:val="000000"/>
          <w:shd w:val="clear" w:color="auto" w:fill="FFFFFF"/>
        </w:rPr>
        <w:t xml:space="preserve">wzywa EBI do odegrania roli w mobilizacji kapitału prywatnego na inwestycje w sieci energetyczne w celu wsparcia obniżenia cen energii; </w:t>
      </w:r>
      <w:r w:rsidRPr="00F40DC3">
        <w:rPr>
          <w:color w:val="000000"/>
        </w:rPr>
        <w:t>uznaje szczególności zwiększenie inwestycji w nowe technologie służące elektryfikacji przemysłu i dekarbonizacji, doceniając ich rolę we wspieraniu transformacji w kierunku gospodarki neutralnej dla klimatu poprzez ograniczenie emisji z sektorów przemysłu, z których emisje trudno zredukować, wyrażając jednocześnie zaniepokojenie ich potencjalnym wpływem na zaopatrzenie w wodę w niektórych regionach;</w:t>
      </w:r>
    </w:p>
    <w:p w14:paraId="5F5F44B3" w14:textId="77777777" w:rsidR="00AA76C7" w:rsidRDefault="00AA76C7" w:rsidP="00AA76C7">
      <w:pPr>
        <w:pStyle w:val="NormalHanging12a"/>
      </w:pPr>
      <w:r w:rsidRPr="00F40DC3">
        <w:t>24.</w:t>
      </w:r>
      <w:r w:rsidRPr="00F40DC3">
        <w:tab/>
        <w:t xml:space="preserve">podkreśla znaczenie zajęcia się kwestią wysokich kosztów energii w UE w celu zwiększenia konkurencyjności europejskich przedsiębiorstw; </w:t>
      </w:r>
      <w:r w:rsidRPr="00F40DC3">
        <w:rPr>
          <w:rStyle w:val="normaltextrun"/>
          <w:color w:val="000000"/>
          <w:shd w:val="clear" w:color="auto" w:fill="FFFFFF"/>
        </w:rPr>
        <w:t xml:space="preserve">zwraca uwagę, że stabilne dostawy energii po konkurencyjnych cenach są jednym z fundamentów skutecznej polityki przemysłowej; wzywa grupę EBI do szczególnego wsparcia MŚP doświadczających presji kosztów energii, w tym poprzez ukierunkowane finansowanie i usługi doradcze służące poprawie efektywności energetycznej i odporności; </w:t>
      </w:r>
      <w:r w:rsidRPr="00F40DC3">
        <w:t xml:space="preserve">wzywa EBI do dalszego wspierania sektorów energochłonnych, aby zapewnić temu wysoce strategicznemu sektorowi możliwość skutecznego zarządzania transformacją energetyczną; </w:t>
      </w:r>
    </w:p>
    <w:p w14:paraId="651AE562" w14:textId="174E53FD" w:rsidR="00202F76" w:rsidRPr="00F40DC3" w:rsidRDefault="00202F76" w:rsidP="00AA76C7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bCs/>
          <w:iCs/>
          <w:color w:val="000000"/>
          <w:shd w:val="clear" w:color="auto" w:fill="FFFFFF"/>
        </w:rPr>
        <w:t>25</w:t>
      </w:r>
      <w:r w:rsidRPr="00202F76">
        <w:rPr>
          <w:rStyle w:val="normaltextrun"/>
          <w:bCs/>
          <w:iCs/>
          <w:color w:val="000000"/>
          <w:shd w:val="clear" w:color="auto" w:fill="FFFFFF"/>
        </w:rPr>
        <w:t>.</w:t>
      </w:r>
      <w:r w:rsidRPr="00202F76">
        <w:rPr>
          <w:rStyle w:val="normaltextrun"/>
          <w:bCs/>
          <w:iCs/>
          <w:color w:val="000000"/>
          <w:shd w:val="clear" w:color="auto" w:fill="FFFFFF"/>
        </w:rPr>
        <w:tab/>
        <w:t>zwraca uwagę na rolę Komitetu Kontroli i Audytu EBI w zakresie nadzoru wewnętrznego; podkreśla, że nie prowadzi się zewnętrznego nadzoru ostrożnościowego zgodnie z przyjętymi na szczeblu międzynarodowym standardami nadzoru, z wyjątkiem obszaru zarządzania płynnością; mając na uwadze wielkość, złożoność i specyfikę modelu biznesowego EBI, zachęca Radę Gubernatorów do ustanowienia odpowiednich uregulowań, aby zapewnić zgodność z najwyższymi standardami zewnętrznego nadzoru ostrożnościowego, a jednocześnie uwzględnić niezbędne dostosowania wynikające z unikalnego modelu biznesowego EBI;</w:t>
      </w:r>
    </w:p>
    <w:p w14:paraId="64DB5F37" w14:textId="15440EB9" w:rsidR="00AA76C7" w:rsidRPr="00F40DC3" w:rsidRDefault="00202F76" w:rsidP="00AA76C7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t>26</w:t>
      </w:r>
      <w:r w:rsidR="00AA76C7" w:rsidRPr="00F40DC3">
        <w:t>.</w:t>
      </w:r>
      <w:r w:rsidR="00AA76C7" w:rsidRPr="00F40DC3">
        <w:tab/>
      </w:r>
      <w:r w:rsidR="00AA76C7" w:rsidRPr="00F40DC3">
        <w:rPr>
          <w:rStyle w:val="normaltextrun"/>
          <w:color w:val="000000"/>
          <w:shd w:val="clear" w:color="auto" w:fill="FFFFFF"/>
        </w:rPr>
        <w:t>zauważa, że w świecie pełnym niepewności inwestycje powinny koncentrować się na gotowości UE do stawiania czoła wstrząsom;</w:t>
      </w:r>
      <w:r w:rsidR="00AA76C7" w:rsidRPr="00F40DC3">
        <w:rPr>
          <w:rStyle w:val="normaltextrun"/>
          <w:b/>
          <w:i/>
          <w:color w:val="000000"/>
          <w:shd w:val="clear" w:color="auto" w:fill="FFFFFF"/>
        </w:rPr>
        <w:t xml:space="preserve"> </w:t>
      </w:r>
      <w:r w:rsidR="00AA76C7" w:rsidRPr="00F40DC3">
        <w:t xml:space="preserve">podkreśla potrzebę zwiększenia inwestycji w przystosowanie się do zmiany klimatu i odporność na nią; zachęca do dalszych badań i rozwoju, w tym do innowacyjnych technologii, jako przygotowania na zmianę klimatu; </w:t>
      </w:r>
      <w:r w:rsidR="00AA76C7" w:rsidRPr="00F40DC3">
        <w:rPr>
          <w:rStyle w:val="normaltextrun"/>
          <w:color w:val="000000"/>
          <w:shd w:val="clear" w:color="auto" w:fill="FFFFFF"/>
        </w:rPr>
        <w:t>wzywa do ułatwienia dostępu MŚP do finansowania innowacyjnych technologii ekologicznych; przypomina, że czyste technologie wzmacniają suwerenność UE i mają zasadnicze znaczenie dla konkurencyjności, ale wiążą się z jeszcze większymi wyzwaniami w zakresie finansowania ze względu wyższe koszty ekologiczne w porównaniu z technologiami stosowanymi obecnie; podkreśla apel zawarty w sprawozdaniu Draghiego, w którym wezwano do wprowadzenia większej liczby programów gwarancji publicznych i kontrgwarancji w celu pokrycia ryzyka inwestycyjnego związanego z projektami w zakresie produkcji czystych technologii;</w:t>
      </w:r>
    </w:p>
    <w:p w14:paraId="4EE0B92A" w14:textId="6EF58A66" w:rsidR="00AA76C7" w:rsidRPr="00F40DC3" w:rsidRDefault="00202F76" w:rsidP="00AA76C7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27</w:t>
      </w:r>
      <w:r w:rsidR="00AA76C7" w:rsidRPr="00F40DC3">
        <w:rPr>
          <w:rStyle w:val="normaltextrun"/>
          <w:color w:val="000000"/>
          <w:shd w:val="clear" w:color="auto" w:fill="FFFFFF"/>
        </w:rPr>
        <w:t>.</w:t>
      </w:r>
      <w:r w:rsidR="00AA76C7" w:rsidRPr="00F40DC3">
        <w:rPr>
          <w:rStyle w:val="normaltextrun"/>
          <w:color w:val="000000"/>
          <w:shd w:val="clear" w:color="auto" w:fill="FFFFFF"/>
        </w:rPr>
        <w:tab/>
        <w:t>przypomina, że EBI był pierwszym emitentem zielonych obligacji i jest obecnie największym emitentem zielonych obligacji w wielu walutach; z zadowoleniem przyjmuje fakt, że 2 kwietnia 2025 r. EBI wyemitował swoje pierwsze obligacje „odpowiedzialne środowiskowo” zgodne z rozporządzeniem w sprawie unijnych standardów zielonych obligacji</w:t>
      </w:r>
      <w:r w:rsidR="00AA76C7" w:rsidRPr="00F40DC3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5"/>
      </w:r>
      <w:r w:rsidR="00AA76C7" w:rsidRPr="00F40DC3">
        <w:rPr>
          <w:rStyle w:val="normaltextrun"/>
          <w:color w:val="000000"/>
          <w:shd w:val="clear" w:color="auto" w:fill="FFFFFF"/>
        </w:rPr>
        <w:t>; podkreśla kluczową rolę EBI w rozwoju rynku zielonych obligacji przez zapewnianie rozwiązań finansowych dla przedsiębiorstw działających w sposób zrównoważony;</w:t>
      </w:r>
      <w:r w:rsidR="00AA76C7" w:rsidRPr="00F40DC3">
        <w:t xml:space="preserve"> wzywa Komisję i grupę EBI do utrzymania wiodącej pozycji UE w dziedzinie zielonych i cyfrowych obligacji;</w:t>
      </w:r>
    </w:p>
    <w:p w14:paraId="1E2C6796" w14:textId="5CCB57ED" w:rsidR="00AA76C7" w:rsidRPr="00F40DC3" w:rsidRDefault="00202F76" w:rsidP="00AA76C7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28</w:t>
      </w:r>
      <w:r w:rsidR="00AA76C7" w:rsidRPr="00F40DC3">
        <w:rPr>
          <w:rStyle w:val="normaltextrun"/>
          <w:color w:val="000000"/>
          <w:shd w:val="clear" w:color="auto" w:fill="FFFFFF"/>
        </w:rPr>
        <w:t>.</w:t>
      </w:r>
      <w:r w:rsidR="00AA76C7" w:rsidRPr="00F40DC3">
        <w:rPr>
          <w:rStyle w:val="normaltextrun"/>
          <w:color w:val="000000"/>
          <w:shd w:val="clear" w:color="auto" w:fill="FFFFFF"/>
        </w:rPr>
        <w:tab/>
        <w:t>przypomina o zobowiązaniu EBI do przestrzegania Konwencji o różnorodności biologicznej i globalnych ram różnorodności biologicznej na okres po 2020 roku oraz wspiera inwestycje EBI w ochronę różnorodności biologicznej i zachowanie zasobów naturalnych; z zadowoleniem przyjmuje porozumienie EBI i Europejskiej Agencji Środowiska w sprawie pogłębienia współpracy w zakresie różnorodności biologicznej i działań na rzecz klimatu; zaznacza, że aby osiągnąć długoterminowe korzyści wynikające z odbudowy, zachowania i ochrony różnorodności biologicznej i przyrody, potencjalnym beneficjentom należy udostępnić atrakcyjne programy finansowania, aby mogli oni dobrowolnie angażować się w takie działania;</w:t>
      </w:r>
    </w:p>
    <w:p w14:paraId="288EAB7A" w14:textId="77777777" w:rsidR="00AA76C7" w:rsidRPr="00F40DC3" w:rsidRDefault="00AA76C7" w:rsidP="00AA76C7">
      <w:pPr>
        <w:pStyle w:val="Normal12a24b"/>
      </w:pPr>
      <w:r w:rsidRPr="00F40DC3">
        <w:rPr>
          <w:rStyle w:val="BoldItalic"/>
        </w:rPr>
        <w:t xml:space="preserve">Finansowanie pokoju, bezpieczeństwa i obrony </w:t>
      </w:r>
    </w:p>
    <w:p w14:paraId="045533D3" w14:textId="7FF8F616" w:rsidR="00AA76C7" w:rsidRPr="00F40DC3" w:rsidRDefault="00202F76" w:rsidP="00AA76C7">
      <w:pPr>
        <w:pStyle w:val="NormalHanging12a"/>
      </w:pPr>
      <w:r>
        <w:t>29</w:t>
      </w:r>
      <w:r w:rsidR="00AA76C7" w:rsidRPr="00F40DC3">
        <w:t>.</w:t>
      </w:r>
      <w:r w:rsidR="00AA76C7" w:rsidRPr="00F40DC3">
        <w:tab/>
        <w:t xml:space="preserve">z zadowoleniem przyjmuje proaktywne podejście EBI w dziedzinie bezpieczeństwa i obrony; Podkreśla fakt, że inwestycje w tym sektorze podwoiły się w 2024 r. do wysokości 1 mld EUR, a plan EBI na 2025 r. zakłada ich ponowne podwojenie do rekordowych 2 mld EUR; </w:t>
      </w:r>
      <w:r w:rsidR="00AA76C7" w:rsidRPr="00F40DC3">
        <w:rPr>
          <w:rStyle w:val="normaltextrun"/>
          <w:color w:val="000000"/>
          <w:shd w:val="clear" w:color="auto" w:fill="FFFFFF"/>
        </w:rPr>
        <w:t>podkreśla, że większe inwestycje EBI w sektor obronny mogą zachęcić banki komercyjne do inwestowania w ten sektor;</w:t>
      </w:r>
      <w:r w:rsidR="00AA76C7" w:rsidRPr="00F40DC3">
        <w:t xml:space="preserve"> zauważa jednak, że kwoty te stanowią mniej niż 1,1 % inwestycji EBI w 2024 r. (88,8 mld EUR) i 2,2 % jego celów w zakresie finansowania na 2025 r. (95 mld EUR), oraz podkreśla, że mogą one jedynie odegrać rolę uzupełniającą w odniesieniu do szacowanej kwoty 33,6–48 mld EUR nowego finansowania wymaganego do 2030 r., aby przedsiębiorstwa z sektora obronności mogły sprostać wzrostowi liczby zamówień oczekiwanemu w ramach „Planu ReArm Europe/Gotowość 2030”;</w:t>
      </w:r>
      <w:r w:rsidR="00AA76C7" w:rsidRPr="00F40DC3">
        <w:rPr>
          <w:rStyle w:val="normaltextrun"/>
          <w:b/>
          <w:i/>
          <w:color w:val="000000"/>
        </w:rPr>
        <w:t xml:space="preserve"> </w:t>
      </w:r>
      <w:r w:rsidR="00AA76C7" w:rsidRPr="00F40DC3">
        <w:t>podkreśla, że finansowanie na szczeblu europejskim ma zasadnicze znaczenie dla zaspokojenia znacznych potrzeb finansowych państw członkowskich; podkreśla, że wszelkie przyszłe strukturalne finansowanie europejskiej obrony należy zaplanować z uwzględnieniem jasnych warunków i ścisłego nadzoru, w oparciu o doświadczenia zdobyte dzięki istniejącym instrumentom;</w:t>
      </w:r>
    </w:p>
    <w:p w14:paraId="53B1EA96" w14:textId="0D05A5C7" w:rsidR="00AA76C7" w:rsidRPr="00F40DC3" w:rsidRDefault="00202F76" w:rsidP="00AA76C7">
      <w:pPr>
        <w:pStyle w:val="NormalHanging12a"/>
      </w:pPr>
      <w:r>
        <w:rPr>
          <w:rStyle w:val="normaltextrun"/>
          <w:color w:val="000000"/>
          <w:shd w:val="clear" w:color="auto" w:fill="FFFFFF"/>
        </w:rPr>
        <w:t>30</w:t>
      </w:r>
      <w:r w:rsidR="00AA76C7" w:rsidRPr="00F40DC3">
        <w:rPr>
          <w:rStyle w:val="normaltextrun"/>
          <w:color w:val="000000"/>
          <w:shd w:val="clear" w:color="auto" w:fill="FFFFFF"/>
        </w:rPr>
        <w:t>.</w:t>
      </w:r>
      <w:r w:rsidR="00AA76C7" w:rsidRPr="00F40DC3">
        <w:rPr>
          <w:rStyle w:val="normaltextrun"/>
          <w:color w:val="000000"/>
          <w:shd w:val="clear" w:color="auto" w:fill="FFFFFF"/>
        </w:rPr>
        <w:tab/>
      </w:r>
      <w:r w:rsidR="00AA76C7" w:rsidRPr="00F40DC3">
        <w:rPr>
          <w:rStyle w:val="normaltextrun"/>
          <w:color w:val="000000"/>
        </w:rPr>
        <w:t xml:space="preserve">popiera dalszą i wzmocnioną rolę EBI w zwiększaniu bezpieczeństwa Europy poprzez ukierunkowane inwestycje zarówno w infrastrukturę obronną, jak i cywilną, oraz podkreśla potrzebę skoncentrowania inwestycji strategicznych na projektach zapewniających europejską wartość dodaną oraz na technologiach podwójnego zastosowania, które przyczyniają się zarówno do realizacji celów cywilnych, jak i obronnych, zgodnie z nadrzędnymi celami UE w zakresie wspierania innowacji oraz zwiększania bezpieczeństwa i odporności Unii; </w:t>
      </w:r>
      <w:r w:rsidR="00AA76C7" w:rsidRPr="00F40DC3">
        <w:t>podkreśla, że skuteczne innowacje w dziedzinie obronności zależą od ścisłej współpracy między środowiskiem akademickim, instytucjami badawczymi i sektorem prywatnym, oraz zachęca EBI do pełnienia funkcji katalizatora w tworzeniu takich długoterminowych partnerstw publiczno-prywatnych poprzez ukierunkowane instrumenty finansowe;</w:t>
      </w:r>
    </w:p>
    <w:p w14:paraId="6B815A86" w14:textId="2CB57978" w:rsidR="00AA76C7" w:rsidRPr="00F40DC3" w:rsidRDefault="00202F76" w:rsidP="00AA76C7">
      <w:pPr>
        <w:pStyle w:val="NormalHanging12a"/>
      </w:pPr>
      <w:r>
        <w:t>31</w:t>
      </w:r>
      <w:r w:rsidR="00AA76C7" w:rsidRPr="00F40DC3">
        <w:t>.</w:t>
      </w:r>
      <w:r w:rsidR="00AA76C7" w:rsidRPr="00F40DC3">
        <w:tab/>
        <w:t>z zadowoleniem przyjmuje plan EBI dotyczący przeglądu jego ram operacyjnych, ustanawiający specjalny przekrojowy cel polityki publicznej mający zwiększyć pokój i bezpieczeństwo w Europie, poparty ambitnym przydziałem środków finansowych i kapitału</w:t>
      </w:r>
      <w:r w:rsidR="00AA76C7" w:rsidRPr="00F40DC3">
        <w:rPr>
          <w:rStyle w:val="FootnoteReference"/>
        </w:rPr>
        <w:footnoteReference w:id="16"/>
      </w:r>
      <w:r w:rsidR="00AA76C7" w:rsidRPr="00F40DC3">
        <w:t xml:space="preserve">; </w:t>
      </w:r>
      <w:r w:rsidR="00AA76C7" w:rsidRPr="00F40DC3">
        <w:rPr>
          <w:rStyle w:val="normaltextrun"/>
          <w:color w:val="000000"/>
          <w:shd w:val="clear" w:color="auto" w:fill="FFFFFF"/>
        </w:rPr>
        <w:t>popiera w związku z tym decyzję Rady EBI z 21 marca 2025 r. o włączeniu inicjatywy strategicznej na rzecz bezpieczeństwa europejskiego (SESI) EBI z 2022 r. do stałego, przekrojowego celu polityki publicznej, uzupełniającego istniejące cele polityki publicznej;</w:t>
      </w:r>
      <w:r w:rsidR="00AA76C7" w:rsidRPr="00F40DC3">
        <w:t xml:space="preserve"> podkreśla jednak, że wszelkie działania w dziedzinie obronności muszą podlegać odpowiednim parametrom finansowym, regularnej ocenie ryzyka i przejrzystemu nadzorowi oraz że muszą im towarzyszyć rygorystyczne procedury zarządzania ryzykiem;</w:t>
      </w:r>
    </w:p>
    <w:p w14:paraId="5C7AC54F" w14:textId="4901B095" w:rsidR="00AA76C7" w:rsidRPr="00F40DC3" w:rsidRDefault="00202F76" w:rsidP="00AA76C7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32</w:t>
      </w:r>
      <w:r w:rsidR="00AA76C7" w:rsidRPr="00F40DC3">
        <w:rPr>
          <w:rStyle w:val="normaltextrun"/>
          <w:color w:val="000000"/>
          <w:shd w:val="clear" w:color="auto" w:fill="FFFFFF"/>
        </w:rPr>
        <w:t>.</w:t>
      </w:r>
      <w:r w:rsidR="00AA76C7" w:rsidRPr="00F40DC3">
        <w:rPr>
          <w:rStyle w:val="normaltextrun"/>
          <w:color w:val="000000"/>
          <w:shd w:val="clear" w:color="auto" w:fill="FFFFFF"/>
        </w:rPr>
        <w:tab/>
        <w:t>z zadowoleniem przyjmuje wspólną inicjatywę Komisji i grupy EBI mającą na celu utworzenie, za pośrednictwem jej jednostki zależnej EFI, funduszu funduszy o nazwie „instrument kapitałowy w dziedzinie obronności” z budżetem w wysokości 175 mln EUR na lata 2024–2027, aby wspierać prywatne inwestycje w europejskie MŚP opracowujące innowacyjne technologie obronne podwójnego zastosowania, oraz zaspokojenie potrzeb w zakresie finansowania kapitałowego przedsiębiorstw należących do unijnej bazy technologiczno-przemysłowej sektora obronnego, szacowanych na kwotę od 6,8 do 20 mld EUR do 2030 r., aby sprostać wzrostowi zamówień przewidywanemu w Planie ReArm Europe/Gotowość 2030”;</w:t>
      </w:r>
    </w:p>
    <w:p w14:paraId="6CF040A3" w14:textId="60E0229D" w:rsidR="00AA76C7" w:rsidRPr="00F40DC3" w:rsidRDefault="00202F76" w:rsidP="00AA76C7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33</w:t>
      </w:r>
      <w:r w:rsidR="00AA76C7" w:rsidRPr="00F40DC3">
        <w:rPr>
          <w:rStyle w:val="normaltextrun"/>
          <w:color w:val="000000"/>
          <w:shd w:val="clear" w:color="auto" w:fill="FFFFFF"/>
        </w:rPr>
        <w:t>.</w:t>
      </w:r>
      <w:r w:rsidR="00AA76C7" w:rsidRPr="00F40DC3">
        <w:rPr>
          <w:rStyle w:val="normaltextrun"/>
          <w:color w:val="000000"/>
          <w:shd w:val="clear" w:color="auto" w:fill="FFFFFF"/>
        </w:rPr>
        <w:tab/>
        <w:t>przyjmuje do wiadomości decyzję zarządu EBI z 21 marca 2025 r. o rozszerzeniu kryteriów kwalifikowalności inwestycji w zakresie bezpieczeństwa i obrony, z ograniczeniem wyłączonych działa, zgodnie z propozycjami przyjętymi przez przywódców UE podczas posiedzenia Rady Europejskiej w dniu 6 marca 2025 r., a także zatwierdzenie w maju 2024 r. planu działania grupy EBI w zakresie bezpieczeństwa i obronności, mającego na celu zwiększenie wsparcia dla bezpieczeństwa UE i jej przemysłu obronnego; zauważa, że zgodnie z tym planem grupa EBI zapewnia finansowanie MŚP i innowacyjnym przedsiębiorstwom typu start-up działającym w sektorze bezpieczeństwa i obrony zgodnie z zasadą „podwójnego zastosowania”, utrzymując wymóg „wiarygodnego zastosowania cywilnego”, jednocześnie znosząc badanie przychodów;</w:t>
      </w:r>
    </w:p>
    <w:p w14:paraId="57EC9E5B" w14:textId="119CBCC0" w:rsidR="00AA76C7" w:rsidRPr="00F40DC3" w:rsidRDefault="00202F76" w:rsidP="00AA76C7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34</w:t>
      </w:r>
      <w:r w:rsidR="00AA76C7" w:rsidRPr="00F40DC3">
        <w:rPr>
          <w:rStyle w:val="normaltextrun"/>
          <w:color w:val="000000"/>
          <w:shd w:val="clear" w:color="auto" w:fill="FFFFFF"/>
        </w:rPr>
        <w:t>.</w:t>
      </w:r>
      <w:r w:rsidR="00AA76C7" w:rsidRPr="00F40DC3">
        <w:rPr>
          <w:rStyle w:val="normaltextrun"/>
          <w:color w:val="000000"/>
          <w:shd w:val="clear" w:color="auto" w:fill="FFFFFF"/>
        </w:rPr>
        <w:tab/>
        <w:t xml:space="preserve">przyjmuje do wiadomości decyzję zarządu EBI z 21 marca 2025 r., zgodnie z którą nie zostanie ustalony stały pułap inwestycji w bezpieczeństwo i obronność, a kwoty finansowania będą ustalane corocznie w planie operacyjnym grupy EBI; </w:t>
      </w:r>
      <w:r w:rsidR="00AA76C7" w:rsidRPr="00F40DC3">
        <w:rPr>
          <w:rStyle w:val="normaltextrun"/>
          <w:shd w:val="clear" w:color="auto" w:fill="FFFFFF"/>
        </w:rPr>
        <w:t>zwraca się do EBI o wyjaśnienie potencjalnych skutków tej decyzji dla innych obszarów polityki i ogólnej działalności EBI;</w:t>
      </w:r>
    </w:p>
    <w:p w14:paraId="2B83EDB0" w14:textId="4501D1D0" w:rsidR="00AA76C7" w:rsidRDefault="00202F76" w:rsidP="00AA76C7">
      <w:pPr>
        <w:pStyle w:val="NormalHanging12a"/>
      </w:pPr>
      <w:r>
        <w:t>35</w:t>
      </w:r>
      <w:r w:rsidR="00AA76C7" w:rsidRPr="00F40DC3">
        <w:t>.</w:t>
      </w:r>
      <w:r w:rsidR="00AA76C7" w:rsidRPr="00F40DC3">
        <w:tab/>
        <w:t>sugeruje, aby EBI stale analizował i oceniał swoją rolę, a także zakres kwalifikowalnych inwestycji, w przyczynianiu się do pokoju i bezpieczeństwa w Europie, zgodnie z białą księgą Komisji w sprawie przyszłości obronności europejskiej, zwłaszcza w świetle pilnej potrzeby wzmocnienia europejskiego sektora obronnego oraz zapewnienia długoterminowego bezpieczeństwa i strategicznej autonomii;</w:t>
      </w:r>
      <w:r w:rsidR="00AA76C7" w:rsidRPr="00F40DC3">
        <w:rPr>
          <w:b/>
          <w:i/>
        </w:rPr>
        <w:t xml:space="preserve"> </w:t>
      </w:r>
      <w:r w:rsidR="00AA76C7" w:rsidRPr="00F40DC3">
        <w:t xml:space="preserve">ostrzega, że wszelkie dostosowania kryteriów kwalifikowalności lub finansowania grupy EBI w celu dopasowania ich do nowych priorytetów muszą chronić sytuację finansową grupy i zapewniać skuteczne finansowanie innych strategicznych priorytetów UE; </w:t>
      </w:r>
    </w:p>
    <w:p w14:paraId="216AF5A4" w14:textId="4051EF61" w:rsidR="00202F76" w:rsidRPr="00F40DC3" w:rsidRDefault="00202F76" w:rsidP="00AA76C7">
      <w:pPr>
        <w:pStyle w:val="NormalHanging12a"/>
      </w:pPr>
      <w:r>
        <w:t>36</w:t>
      </w:r>
      <w:r w:rsidRPr="00202F76">
        <w:t>.</w:t>
      </w:r>
      <w:r w:rsidRPr="00202F76">
        <w:tab/>
        <w:t>wzywa państwa członkowskie do zmiany wykazu wyłączeń EBI, aby umożliwić finansowanie produkcji broni i amunicji wykraczające poza zwykłe technologie podwójnego zastosowania, przyczyniając się tym samym do rozwoju europejskiego przemysłu obronnego;</w:t>
      </w:r>
    </w:p>
    <w:p w14:paraId="7F42509A" w14:textId="77777777" w:rsidR="00AA76C7" w:rsidRPr="00F40DC3" w:rsidRDefault="00AA76C7" w:rsidP="00AA76C7">
      <w:pPr>
        <w:pStyle w:val="Normal12a24b"/>
      </w:pPr>
      <w:r w:rsidRPr="00F40DC3">
        <w:rPr>
          <w:rStyle w:val="BoldItalic"/>
        </w:rPr>
        <w:t xml:space="preserve">Sprostanie wyzwaniom związanym z infrastrukturą społeczną, polityką spójności i mieszkalnictwem </w:t>
      </w:r>
    </w:p>
    <w:p w14:paraId="2E1B11B7" w14:textId="71DAFE03" w:rsidR="00AA76C7" w:rsidRPr="00F40DC3" w:rsidRDefault="00202F76" w:rsidP="00AA76C7">
      <w:pPr>
        <w:pStyle w:val="NormalHanging12a"/>
      </w:pPr>
      <w:r>
        <w:t>37</w:t>
      </w:r>
      <w:r w:rsidR="00AA76C7" w:rsidRPr="00F40DC3">
        <w:t>.</w:t>
      </w:r>
      <w:r w:rsidR="00AA76C7" w:rsidRPr="00F40DC3">
        <w:tab/>
        <w:t xml:space="preserve">z zadowoleniem przyjmuje główne priorytety strategiczne EBI dotyczące wzmocnienia europejskiej infrastruktury społecznej i nowoczesnej polityki spójności na rzecz zrównoważonego wzrostu sprzyjającego włączeniu społecznemu w całej Europie; </w:t>
      </w:r>
      <w:r w:rsidR="00AA76C7" w:rsidRPr="00F40DC3">
        <w:rPr>
          <w:rStyle w:val="normaltextrun"/>
          <w:color w:val="000000"/>
          <w:shd w:val="clear" w:color="auto" w:fill="FFFFFF"/>
        </w:rPr>
        <w:t>docenia fakt, że w podejściu EBI do kwestii spójności na lata 2021–2027 EBI zobowiązał się do przeznaczenia co najmniej 40% całkowitego finansowania w UE w latach 2022–2024 na projekty w regionach objętych polityką spójności, a w 2024 r. finansowanie to wyniosło 42% całkowitych pożyczek EBI w UE; wzywa EBI do dalszego wspierania rozwoju infrastruktury, w tym inwestycji w kolej, opiekę zdrowotną i infrastrukturę społeczną, które mają kluczowe znaczenie dla spójności społecznej i gospodarczej, odporności i wzrostu sprzyjającego włączeniu społecznemu; podkreśla, że w obliczu niepewności geopolitycznej i gospodarczej EBI może zapewnić długoterminowe rozwiązania pozwalające zaradzić kryzysowi związanemu z kosztami utrzymania;</w:t>
      </w:r>
    </w:p>
    <w:p w14:paraId="5F83775D" w14:textId="794FB70B" w:rsidR="00AA76C7" w:rsidRPr="00F40DC3" w:rsidRDefault="00202F76" w:rsidP="00AA76C7">
      <w:pPr>
        <w:pStyle w:val="NormalHanging12a"/>
      </w:pPr>
      <w:r>
        <w:t>38</w:t>
      </w:r>
      <w:r w:rsidR="00AA76C7" w:rsidRPr="00F40DC3">
        <w:t>.</w:t>
      </w:r>
      <w:r w:rsidR="00AA76C7" w:rsidRPr="00F40DC3">
        <w:tab/>
      </w:r>
      <w:r w:rsidR="00AA76C7" w:rsidRPr="00F40DC3">
        <w:rPr>
          <w:rStyle w:val="normaltextrun"/>
          <w:color w:val="000000"/>
          <w:shd w:val="clear" w:color="auto" w:fill="FFFFFF"/>
        </w:rPr>
        <w:t xml:space="preserve">podkreśla kluczową rolę rozwoju umiejętności w stymulowaniu długoterminowego zrównoważonego wzrostu gospodarczego, zatrudnienia i konkurencyjności w UE; </w:t>
      </w:r>
      <w:r w:rsidR="00AA76C7" w:rsidRPr="00F40DC3">
        <w:t>podkreśla, że finansowanie inicjatyw mających na celu wzmocnienie kapitału ludzkiego nie tylko sprzyja innowacyjności i wydajności oraz odpowiada na potrzeby rynku pracy, ale także wzmacnia spójność społeczną i odporność gospodarczą;</w:t>
      </w:r>
      <w:r w:rsidR="00AA76C7" w:rsidRPr="00F40DC3">
        <w:rPr>
          <w:rStyle w:val="normaltextrun"/>
          <w:b/>
          <w:i/>
          <w:color w:val="000000"/>
          <w:shd w:val="clear" w:color="auto" w:fill="FFFFFF"/>
        </w:rPr>
        <w:t xml:space="preserve"> </w:t>
      </w:r>
      <w:r w:rsidR="00AA76C7" w:rsidRPr="00F40DC3">
        <w:t>wzywa EBI do zwiększenia inwestycji w kształcenie, szkolenie, podnoszenie i zmianę kwalifikacji oraz w zdrowie, w ścisłej koordynacji i współpracy z inicjatywami państw członkowskich w tych obszarach, w celu uzupełnienia i wzmocnienia ich oddziaływania;</w:t>
      </w:r>
    </w:p>
    <w:p w14:paraId="51871B7A" w14:textId="022E07E0" w:rsidR="00AA76C7" w:rsidRPr="00F40DC3" w:rsidRDefault="00202F76" w:rsidP="00AA76C7">
      <w:pPr>
        <w:pStyle w:val="NormalHanging12a"/>
      </w:pPr>
      <w:r>
        <w:t>39</w:t>
      </w:r>
      <w:r w:rsidR="00AA76C7" w:rsidRPr="00F40DC3">
        <w:t>.</w:t>
      </w:r>
      <w:r w:rsidR="00AA76C7" w:rsidRPr="00F40DC3">
        <w:tab/>
        <w:t>z zadowoleniem przyjmuje zobowiązanie EBI do podjęcia problemu podwójnej nieprawidłowości rynku w sektorze mieszkaniowym, w tym niewystarczającej podaży energooszczędnych mieszkań po przystępnych cenach, a także niezdolnością rynku do zwiększenia efektywności energetycznej istniejących zasobów mieszkaniowych; odnotowuje różnice między państwami członkowskimi w strategiach politycznych i skali wspomnianych nieprawidłowości w funkcjonowaniu rynku;</w:t>
      </w:r>
    </w:p>
    <w:p w14:paraId="4735F85A" w14:textId="3AF0DEFD" w:rsidR="00AA76C7" w:rsidRPr="00F40DC3" w:rsidRDefault="00202F76" w:rsidP="00AA76C7">
      <w:pPr>
        <w:pStyle w:val="NormalHanging12a"/>
        <w:rPr>
          <w:szCs w:val="24"/>
        </w:rPr>
      </w:pPr>
      <w:r>
        <w:t>40</w:t>
      </w:r>
      <w:r w:rsidR="00AA76C7" w:rsidRPr="00F40DC3">
        <w:t>.</w:t>
      </w:r>
      <w:r w:rsidR="00AA76C7" w:rsidRPr="00F40DC3">
        <w:tab/>
        <w:t xml:space="preserve">z zadowoleniem przyjmuje „Action Plan for Affordable and Sustainable Housing” [plan działania EBI na rzecz przystępnych cenowo i zrównoważonych mieszkań], z planowanymi inwestycjami w wysokości 10 mld EUR w ciągu najbliższych dwóch lat; zwraca uwagę na wyniki analizy i spotkania zainteresowanych stron przeprowadzonych przez grupę EBI, w których zwrócono uwagę na szacunkową roczną lukę w inwestycjach publicznych i prywatnych w wysokości od 300 do 400 mld EUR potrzebną do budowy 1,5 mln nowych lokali mieszkalnych i renowacji 5 mln dodatkowych lokali rocznie; </w:t>
      </w:r>
      <w:r w:rsidR="00AA76C7" w:rsidRPr="00F40DC3">
        <w:rPr>
          <w:rStyle w:val="normaltextrun"/>
          <w:color w:val="000000"/>
          <w:shd w:val="clear" w:color="auto" w:fill="FFFFFF"/>
        </w:rPr>
        <w:t xml:space="preserve">zachęca EBI do mobilizowania jeszcze większych środków finansowych na projekty dotyczące przystępnego cenowo budownictwa mieszkaniowego we wszystkich państwach członkowskich; </w:t>
      </w:r>
      <w:r w:rsidR="00AA76C7" w:rsidRPr="00F40DC3">
        <w:t>zachęca EBI do skoncentrowania się na zrównoważonym rozwoju obszarów miejskich poprzez zapewnienie zaspokojenia potrzeb mieszkaniowych i infrastrukturalnych UE na rzecz silniejszej, zrównoważonej, spójniejszej i zamożnej Europy, w tym poprzez inwestycje w odnowę istniejącej infrastruktury, ze szczególnym uwzględnieniem wspierania projektów rewitalizacji obszarów miejskich i projektów przekształcania starych lub opuszczonych budynków w nowoczesne mieszkania socjalne;</w:t>
      </w:r>
    </w:p>
    <w:p w14:paraId="7C857726" w14:textId="45A755BF" w:rsidR="00AA76C7" w:rsidRPr="00F40DC3" w:rsidRDefault="00202F76" w:rsidP="00AA76C7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41</w:t>
      </w:r>
      <w:r w:rsidR="00AA76C7" w:rsidRPr="00F40DC3">
        <w:rPr>
          <w:rStyle w:val="normaltextrun"/>
          <w:color w:val="000000"/>
          <w:shd w:val="clear" w:color="auto" w:fill="FFFFFF"/>
        </w:rPr>
        <w:t>.</w:t>
      </w:r>
      <w:r w:rsidR="00AA76C7" w:rsidRPr="00F40DC3">
        <w:rPr>
          <w:rStyle w:val="normaltextrun"/>
          <w:color w:val="000000"/>
          <w:shd w:val="clear" w:color="auto" w:fill="FFFFFF"/>
        </w:rPr>
        <w:tab/>
        <w:t>wzywa EBI do uwzględnienia zróżnicowanego obciążenia kosztami mieszkaniowymi różnych grup dochodowych i struktur rodzinnych, zwłaszcza że niektóre grupy o niskich dochodach są narażone na marginalizację; zachęca EBI do współpracy z innymi europejskimi publicznymi bankami inwestycyjnymi, lokalnymi publicznymi instytucjami finansowymi, samorządami lokalnymi oraz spółdzielniami i przedsiębiorstwami zajmującymi się mieszkalnictwem socjalnym w celu finansowania rozwiązań mieszkaniowych dla grup znajdujących się w trudnej sytuacji i grup o niskich dochodach; z zadowoleniem przyjmuje zamiar EBI, aby zwiększyć nacisk na badania naukowe i innowacje w dziedzinie mieszkalnictwa;</w:t>
      </w:r>
    </w:p>
    <w:p w14:paraId="2738E092" w14:textId="3F9155F5" w:rsidR="00AA76C7" w:rsidRPr="00F40DC3" w:rsidRDefault="00202F76" w:rsidP="00AA76C7">
      <w:pPr>
        <w:pStyle w:val="NormalHanging12a"/>
      </w:pPr>
      <w:r>
        <w:rPr>
          <w:rStyle w:val="normaltextrun"/>
          <w:color w:val="000000"/>
          <w:shd w:val="clear" w:color="auto" w:fill="FFFFFF"/>
        </w:rPr>
        <w:t>42</w:t>
      </w:r>
      <w:r w:rsidR="00AA76C7" w:rsidRPr="00F40DC3">
        <w:rPr>
          <w:rStyle w:val="normaltextrun"/>
          <w:color w:val="000000"/>
          <w:shd w:val="clear" w:color="auto" w:fill="FFFFFF"/>
        </w:rPr>
        <w:t>.</w:t>
      </w:r>
      <w:r w:rsidR="00AA76C7" w:rsidRPr="00F40DC3">
        <w:rPr>
          <w:rStyle w:val="normaltextrun"/>
          <w:color w:val="000000"/>
          <w:shd w:val="clear" w:color="auto" w:fill="FFFFFF"/>
        </w:rPr>
        <w:tab/>
        <w:t xml:space="preserve">wzywa EBI do zwiększenia wsparcia finansowego poprzez wdrożenie standardowych, gotowych produktów finansowych w dziedzinie energii i renowacji budynków; podkreśla fakt, że model EBI „udzielasz i uciekasz”, polegający na kierowaniu oszczędności inwestorów instytucjonalnych, ma charakter innowacyjny i mógłby przyczynić się do integracji rynków kapitałowych UE; </w:t>
      </w:r>
    </w:p>
    <w:p w14:paraId="4C0C0CF1" w14:textId="459B5C1D" w:rsidR="00AA76C7" w:rsidRPr="00F40DC3" w:rsidRDefault="00202F76" w:rsidP="00AA76C7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43</w:t>
      </w:r>
      <w:r w:rsidR="00AA76C7" w:rsidRPr="00F40DC3">
        <w:rPr>
          <w:rStyle w:val="normaltextrun"/>
          <w:color w:val="000000"/>
          <w:shd w:val="clear" w:color="auto" w:fill="FFFFFF"/>
        </w:rPr>
        <w:t>.</w:t>
      </w:r>
      <w:r w:rsidR="00AA76C7" w:rsidRPr="00F40DC3">
        <w:rPr>
          <w:rStyle w:val="normaltextrun"/>
          <w:color w:val="000000"/>
          <w:shd w:val="clear" w:color="auto" w:fill="FFFFFF"/>
        </w:rPr>
        <w:tab/>
        <w:t>z zadowoleniem przyjmuje zamiar EBI rozszerzenia wsparcia finansowego i doradczego na rzecz budownictwa mieszkaniowego po przystępnych cenach, zwłaszcza dla młodszych pokoleń; zachęca do ścisłej współpracy i wymiany informacji z Komisją, gminami i władzami lokalnymi, spółdzielniami mieszkaniowymi, stowarzyszeniami mieszkaniowymi i sektorem budowlanym w celu wymiany najlepszych praktyk i promowania współpracy ogólnoeuropejskiej; zachęca EBI do wspierania projektów zapewniających przystępny cenowo dostęp do energii ze źródeł odnawialnych, mieszkań i usług publicznych, a także do wspierania inicjatyw kierowanych przez lokalną społeczność i małych projektów ukierunkowanych zwłaszcza na zwalczanie ubóstwa energetycznego;</w:t>
      </w:r>
    </w:p>
    <w:p w14:paraId="05595378" w14:textId="7429A2A4" w:rsidR="00AA76C7" w:rsidRPr="00F40DC3" w:rsidRDefault="00202F76" w:rsidP="00AA76C7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44</w:t>
      </w:r>
      <w:r w:rsidR="00AA76C7" w:rsidRPr="00F40DC3">
        <w:rPr>
          <w:rStyle w:val="normaltextrun"/>
          <w:color w:val="000000"/>
          <w:shd w:val="clear" w:color="auto" w:fill="FFFFFF"/>
        </w:rPr>
        <w:t>.</w:t>
      </w:r>
      <w:r w:rsidR="00AA76C7" w:rsidRPr="00F40DC3">
        <w:rPr>
          <w:rStyle w:val="normaltextrun"/>
          <w:color w:val="000000"/>
          <w:shd w:val="clear" w:color="auto" w:fill="FFFFFF"/>
        </w:rPr>
        <w:tab/>
        <w:t xml:space="preserve">z zadowoleniem przyjmuje włączenie rolnictwa i biogospodarki do kluczowych priorytetów grupy EBI; podkreśla, że rolnictwo jest kluczową siłą napędową wzrostu i rozwoju obszarów wiejskich, a zwiększenie wsparcia i promowanie innowacji w tym ważnym sektorze odgrywa istotną rolę w zapewnieniu bezpieczeństwa żywnościowego; podkreśla wyzwania finansowe stojące przed rolnikami, zwłaszcza młodymi, i zauważa, że rolnicy i przedsiębiorstwa w tym sektorze doświadczają niższych wskaźników sukcesu przy ubieganiu się o finansowanie; wzywa grupę EBI do zwiększenia zaangażowania w sektorze rolnym przez poprawę dostępu do finansowania; </w:t>
      </w:r>
    </w:p>
    <w:p w14:paraId="4EE3D4DF" w14:textId="7C51732C" w:rsidR="00AA76C7" w:rsidRPr="00F40DC3" w:rsidRDefault="00202F76" w:rsidP="00AA76C7">
      <w:pPr>
        <w:pStyle w:val="NormalHanging12a"/>
      </w:pPr>
      <w:r>
        <w:t>45</w:t>
      </w:r>
      <w:r w:rsidR="00AA76C7" w:rsidRPr="00F40DC3">
        <w:t>.</w:t>
      </w:r>
      <w:r w:rsidR="00AA76C7" w:rsidRPr="00F40DC3">
        <w:tab/>
        <w:t>wzywa EBI do zintensyfikowania wysiłków na rzecz promowania zatrudnienia młodzieży, w szczególności poprzez wspieranie projektów i programów sprzyjających przedsiębiorczości młodzieży, dostępowi do zatrudnienia, szkoleniom zawodowym i innowacjom, aby przyczynić się do bardziej sprawiedliwego i inkluzywnego rozwoju terytorialnego oraz pomóc w ograniczeniu drenażu mózgów, zwłaszcza w regionach wyspiarskich UE i obszarach znajdujących się w niekorzystnej sytuacji gospodarczej;</w:t>
      </w:r>
    </w:p>
    <w:p w14:paraId="156A4448" w14:textId="77777777" w:rsidR="00AA76C7" w:rsidRPr="00F40DC3" w:rsidRDefault="00AA76C7" w:rsidP="00AA76C7">
      <w:pPr>
        <w:pStyle w:val="Normal12a24b"/>
      </w:pPr>
      <w:r w:rsidRPr="00F40DC3">
        <w:rPr>
          <w:rStyle w:val="BoldItalic"/>
        </w:rPr>
        <w:t>Promowanie transformacji cyfrowej i nowych technologii</w:t>
      </w:r>
    </w:p>
    <w:p w14:paraId="28CA4CC2" w14:textId="5BBC5A17" w:rsidR="00AA76C7" w:rsidRPr="00F40DC3" w:rsidRDefault="00202F76" w:rsidP="00AA76C7">
      <w:pPr>
        <w:pStyle w:val="NormalHanging12a"/>
      </w:pPr>
      <w:r>
        <w:t>46</w:t>
      </w:r>
      <w:r w:rsidR="00AA76C7" w:rsidRPr="00F40DC3">
        <w:t>.</w:t>
      </w:r>
      <w:r w:rsidR="00AA76C7" w:rsidRPr="00F40DC3">
        <w:tab/>
        <w:t>wzywa EBI do zwiększenia finansowania otwartej strategicznej autonomii UE w dziedzinie cyfrowej oraz do promowania badań naukowych, wspierania rozwoju europejskiej infrastruktury cyfrowej, pobudzania nowych i przełomowych technologii, takich jak sztuczna inteligencja i informatyka kwantowa, oraz umożliwienia rozwoju cyfrowych przedsiębiorstw typu start-up; podkreśla, jak ważne jest eliminowanie podziałów cyfrowych zarówno w UE, jak i na świecie, aby zapewnić inkluzywny dostęp do infrastruktury cyfrowej i usług cyfrowych; podkreśla znaczenie dostosowania inwestycji cyfrowych EBI do strategicznych priorytetów UE, takich jak wartości docelowe cyfrowej dekady, w tym łączność, umiejętności cyfrowe i transformacja cyfrowa przedsiębiorstw;</w:t>
      </w:r>
    </w:p>
    <w:p w14:paraId="73EF76B4" w14:textId="63D90EFA" w:rsidR="00AA76C7" w:rsidRPr="00F40DC3" w:rsidRDefault="00202F76" w:rsidP="00AA76C7">
      <w:pPr>
        <w:pStyle w:val="NormalHanging12a"/>
      </w:pPr>
      <w:r>
        <w:t>47</w:t>
      </w:r>
      <w:r w:rsidR="00AA76C7" w:rsidRPr="00F40DC3">
        <w:t>.</w:t>
      </w:r>
      <w:r w:rsidR="00AA76C7" w:rsidRPr="00F40DC3">
        <w:tab/>
        <w:t xml:space="preserve">popiera rozszerzenie przez EIF European Tech Champions Initiative (europejskiej inicjatywy na rzecz liderów technologii, ETCI) w celu przyciągnięcia kapitału prywatnego, który pozwoli innowacyjnym przedsiębiorstwom typu start-up osiągnąć skalę umożliwiającą im zdobycie pozycji liderów globalnych, zapewniając tym samym, że przedsiębiorstwa i technologie powstałe w Europie pozostaną w UE również w późniejszej fazie rozwoju; </w:t>
      </w:r>
      <w:r w:rsidR="00AA76C7" w:rsidRPr="00F40DC3">
        <w:rPr>
          <w:rStyle w:val="normaltextrun"/>
          <w:color w:val="000000"/>
          <w:shd w:val="clear" w:color="auto" w:fill="FFFFFF"/>
        </w:rPr>
        <w:t xml:space="preserve">podkreśla potrzebę przyspieszenia wdrażania obecnej ETCI, aby nadążyć za tempem innowacji i przedsiębiorstw typu start-up; </w:t>
      </w:r>
      <w:r w:rsidR="00AA76C7" w:rsidRPr="00F40DC3">
        <w:t>wzywa ponadto do wykorzystania pozytywnych doświadczeń ETCI do opracowania innych podobnych inicjatyw w celu dalszego wspierania transformacji cyfrowej i innych strategicznych sektorów oraz zachęca EFI do zbadania możliwości utworzenia drugiej generacji tej inicjatywy, a także do zbadania możliwości inwestowania w fundusze funduszy;</w:t>
      </w:r>
    </w:p>
    <w:p w14:paraId="44A9DB7D" w14:textId="192078DF" w:rsidR="00AA76C7" w:rsidRPr="00F40DC3" w:rsidRDefault="00202F76" w:rsidP="00AA76C7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48</w:t>
      </w:r>
      <w:r w:rsidR="00AA76C7" w:rsidRPr="00F40DC3">
        <w:rPr>
          <w:rStyle w:val="normaltextrun"/>
          <w:color w:val="000000"/>
          <w:shd w:val="clear" w:color="auto" w:fill="FFFFFF"/>
        </w:rPr>
        <w:t>.</w:t>
      </w:r>
      <w:r w:rsidR="00AA76C7" w:rsidRPr="00F40DC3">
        <w:rPr>
          <w:rStyle w:val="normaltextrun"/>
          <w:color w:val="000000"/>
          <w:shd w:val="clear" w:color="auto" w:fill="FFFFFF"/>
        </w:rPr>
        <w:tab/>
        <w:t>podkreśla, że inwestorzy instytucjonalni w Europie mogliby odgrywać większą rolę we wspieraniu kapitału wysokiego ryzyka, zwłaszcza dla przedsiębiorstw typu scale-up; wzywa w związku z tym grupę EBI do utworzenia europejskiego forum technologicznego, skupiającego ekosystem kapitału wysokiego ryzyka, aby zaangażować inwestorów instytucjonalnych zgodnie z modelem inicjatywy Tibi</w:t>
      </w:r>
      <w:r w:rsidR="00AA76C7" w:rsidRPr="00F40DC3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7"/>
      </w:r>
      <w:r w:rsidR="00AA76C7" w:rsidRPr="00F40DC3">
        <w:rPr>
          <w:rStyle w:val="normaltextrun"/>
          <w:color w:val="000000"/>
          <w:shd w:val="clear" w:color="auto" w:fill="FFFFFF"/>
        </w:rPr>
        <w:t>; wzywa EBI do zaoferowania takim inwestorom możliwości rozwijania wiedzy fachowej i uczestnictwa w programach współinwestowania między EFI a inwestorami instytucjonalnymi, na przejrzystych i wcześniej uzgodnionych warunkach;</w:t>
      </w:r>
    </w:p>
    <w:p w14:paraId="43562D3E" w14:textId="0DC9B3A5" w:rsidR="00AA76C7" w:rsidRPr="00F40DC3" w:rsidRDefault="00202F76" w:rsidP="00AA76C7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49</w:t>
      </w:r>
      <w:r w:rsidR="00AA76C7" w:rsidRPr="00F40DC3">
        <w:rPr>
          <w:rStyle w:val="normaltextrun"/>
          <w:color w:val="000000"/>
          <w:shd w:val="clear" w:color="auto" w:fill="FFFFFF"/>
        </w:rPr>
        <w:t>.</w:t>
      </w:r>
      <w:r w:rsidR="00AA76C7" w:rsidRPr="00F40DC3">
        <w:rPr>
          <w:rStyle w:val="normaltextrun"/>
          <w:color w:val="000000"/>
          <w:shd w:val="clear" w:color="auto" w:fill="FFFFFF"/>
        </w:rPr>
        <w:tab/>
        <w:t>podkreśla fakt, że celem Paktu dla czystego przemysłu jest opracowanie programu TechEU we współpracy z EBI; podkreśla, jak ważne jest zapewnienia, aby fundusz ten miał konkretny cel alokacji środków na rzecz przedsiębiorstw typu start-up i przedsiębiorstw scale-up;</w:t>
      </w:r>
    </w:p>
    <w:p w14:paraId="5C126D67" w14:textId="0DFD7000" w:rsidR="00AA76C7" w:rsidRPr="00F40DC3" w:rsidRDefault="00202F76" w:rsidP="00AA76C7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50</w:t>
      </w:r>
      <w:r w:rsidR="00AA76C7" w:rsidRPr="00F40DC3">
        <w:rPr>
          <w:rStyle w:val="normaltextrun"/>
          <w:color w:val="000000"/>
          <w:shd w:val="clear" w:color="auto" w:fill="FFFFFF"/>
        </w:rPr>
        <w:t>.</w:t>
      </w:r>
      <w:r w:rsidR="00AA76C7" w:rsidRPr="00F40DC3">
        <w:rPr>
          <w:rStyle w:val="normaltextrun"/>
          <w:color w:val="000000"/>
          <w:shd w:val="clear" w:color="auto" w:fill="FFFFFF"/>
        </w:rPr>
        <w:tab/>
      </w:r>
      <w:proofErr w:type="gramStart"/>
      <w:r w:rsidR="00AA76C7" w:rsidRPr="00F40DC3">
        <w:rPr>
          <w:rStyle w:val="normaltextrun"/>
          <w:color w:val="000000"/>
          <w:shd w:val="clear" w:color="auto" w:fill="FFFFFF"/>
        </w:rPr>
        <w:t>wzywa</w:t>
      </w:r>
      <w:proofErr w:type="gramEnd"/>
      <w:r w:rsidR="00AA76C7" w:rsidRPr="00F40DC3">
        <w:rPr>
          <w:rStyle w:val="normaltextrun"/>
          <w:color w:val="000000"/>
          <w:shd w:val="clear" w:color="auto" w:fill="FFFFFF"/>
        </w:rPr>
        <w:t xml:space="preserve"> EBI, aby wspierał zwiększanie zdolności w zakresie cyberbezpieczeństwa w UE, aby Europa stała się bardziej odporna, a współpraca między państwami członkowskimi była lepsza, oraz aby chronić ważne podmioty i kluczowe usługi;</w:t>
      </w:r>
    </w:p>
    <w:p w14:paraId="49FBE601" w14:textId="4EBE662C" w:rsidR="00AA76C7" w:rsidRPr="00F40DC3" w:rsidRDefault="00202F76" w:rsidP="00AA76C7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51</w:t>
      </w:r>
      <w:r w:rsidR="00AA76C7" w:rsidRPr="00F40DC3">
        <w:rPr>
          <w:rStyle w:val="normaltextrun"/>
          <w:color w:val="000000"/>
          <w:shd w:val="clear" w:color="auto" w:fill="FFFFFF"/>
        </w:rPr>
        <w:t>.</w:t>
      </w:r>
      <w:r w:rsidR="00AA76C7" w:rsidRPr="00F40DC3">
        <w:rPr>
          <w:rStyle w:val="normaltextrun"/>
          <w:color w:val="000000"/>
          <w:shd w:val="clear" w:color="auto" w:fill="FFFFFF"/>
        </w:rPr>
        <w:tab/>
        <w:t>podkreśla fakt, że bezpieczeństwo dostaw krytycznych surowców ma kluczowe znaczenie dla transformacji ekologicznej i cyfrowej, sektora bezpieczeństwa oraz bazy przemysłowej UE w ogóle; przypomina o roli, jaką odgrywa EBI w unijnym sojuszu na rzecz surowców, oraz o celu Unii, jakim jest zapewnienie większej autonomii w zakresie dostaw surowców krytycznych; podkreśla znaczenie podejścia opartego na obiegu zamkniętym w odniesieniu do surowców krytycznych, aby zmniejszyć zależność UE od państw trzecich i zwiększyć jej strategiczną autonomię; w związku z tym wzywa EBI do zwiększenia inwestycji w sektor surowców krytycznych, by poprawić odporność surowców, ze szczególnym uwzględnieniem recyklingu surowców wtórnych;</w:t>
      </w:r>
    </w:p>
    <w:p w14:paraId="5FB3892E" w14:textId="79628C55" w:rsidR="00AA76C7" w:rsidRPr="00F40DC3" w:rsidRDefault="00202F76" w:rsidP="00AA76C7">
      <w:pPr>
        <w:widowControl/>
        <w:ind w:left="567" w:hanging="567"/>
      </w:pPr>
      <w:r>
        <w:rPr>
          <w:rStyle w:val="normaltextrun"/>
          <w:color w:val="000000"/>
          <w:shd w:val="clear" w:color="auto" w:fill="FFFFFF"/>
        </w:rPr>
        <w:t>52</w:t>
      </w:r>
      <w:r w:rsidR="00AA76C7" w:rsidRPr="00F40DC3">
        <w:rPr>
          <w:rStyle w:val="normaltextrun"/>
          <w:color w:val="000000"/>
          <w:shd w:val="clear" w:color="auto" w:fill="FFFFFF"/>
        </w:rPr>
        <w:t>.</w:t>
      </w:r>
      <w:r w:rsidR="00AA76C7" w:rsidRPr="00F40DC3">
        <w:rPr>
          <w:rStyle w:val="normaltextrun"/>
          <w:color w:val="000000"/>
          <w:shd w:val="clear" w:color="auto" w:fill="FFFFFF"/>
        </w:rPr>
        <w:tab/>
        <w:t>wzywa EBI do wspierania transformacji technologicznej europejskich przedsiębiorstw, a także rozwoju umiejętności cyfrowych pracowników i przedsiębiorców;</w:t>
      </w:r>
      <w:r w:rsidR="00AA76C7" w:rsidRPr="00F40DC3">
        <w:t xml:space="preserve"> </w:t>
      </w:r>
    </w:p>
    <w:p w14:paraId="05A29B3B" w14:textId="77777777" w:rsidR="00AA76C7" w:rsidRPr="00F40DC3" w:rsidRDefault="00AA76C7" w:rsidP="00AA76C7">
      <w:pPr>
        <w:pStyle w:val="Normal12a24b"/>
      </w:pPr>
      <w:r w:rsidRPr="00F40DC3">
        <w:rPr>
          <w:rStyle w:val="BoldItalic"/>
        </w:rPr>
        <w:t>EBI a sąsiedztwo i strategia Global Gateway</w:t>
      </w:r>
    </w:p>
    <w:p w14:paraId="4A29E107" w14:textId="54AE9DBA" w:rsidR="00AA76C7" w:rsidRPr="00F40DC3" w:rsidRDefault="00202F76" w:rsidP="00AA76C7">
      <w:pPr>
        <w:pStyle w:val="NormalHanging12a"/>
      </w:pPr>
      <w:r>
        <w:t>53</w:t>
      </w:r>
      <w:r w:rsidR="00AA76C7" w:rsidRPr="00F40DC3">
        <w:t>.</w:t>
      </w:r>
      <w:r w:rsidR="00AA76C7" w:rsidRPr="00F40DC3">
        <w:tab/>
        <w:t>z zadowoleniem przyjmuje kluczowe wsparcie EBI dla Ukrainy w świetle pełnoskalowej, nieuzasadnionej i nielegalnej wojny napastniczej prowadzonej przez Rosję; wzywa do zwiększenia gwarancji budżetowych UE, aby umożliwić EBI dalsze prowadzenie i wzmacnianie funkcjonowania sektora publicznego i prywatnego na Ukrainie, wspierając Ukrainę w pokonywaniu najpilniejszych wyzwań gospodarczych, ale także przewidując odbudowę kraju w perspektywie średnio- i długoterminowej;</w:t>
      </w:r>
    </w:p>
    <w:p w14:paraId="43AAA508" w14:textId="49E5C45B" w:rsidR="00AA76C7" w:rsidRPr="00F40DC3" w:rsidRDefault="00202F76" w:rsidP="00AA76C7">
      <w:pPr>
        <w:pStyle w:val="NormalHanging12a"/>
      </w:pPr>
      <w:r>
        <w:t>54</w:t>
      </w:r>
      <w:r w:rsidR="00AA76C7" w:rsidRPr="00F40DC3">
        <w:t>.</w:t>
      </w:r>
      <w:r w:rsidR="00AA76C7" w:rsidRPr="00F40DC3">
        <w:tab/>
        <w:t>podkreśla, że w celu zmniejszenia zależności od państw trzecich niezbędne jest wdrożenie odpornej infrastruktury kontrolowanej przez Europę, m.in. w dziedzinie łączności satelitarnej, energii i logistyki;</w:t>
      </w:r>
    </w:p>
    <w:p w14:paraId="0489F56F" w14:textId="0EAAC475" w:rsidR="00AA76C7" w:rsidRPr="00F40DC3" w:rsidRDefault="00202F76" w:rsidP="00AA76C7">
      <w:pPr>
        <w:pStyle w:val="NormalHanging12a"/>
      </w:pPr>
      <w:r>
        <w:t>55</w:t>
      </w:r>
      <w:r w:rsidR="00AA76C7" w:rsidRPr="00F40DC3">
        <w:t>.</w:t>
      </w:r>
      <w:r w:rsidR="00AA76C7" w:rsidRPr="00F40DC3">
        <w:tab/>
        <w:t>podkreśla ważną rolę, jaką EBI odgrywa we wspieraniu państw członkowskich i krajów spoza UE, zwłaszcza krajów kandydujących, w dostępie do rynków kapitału wysokiego ryzyka, co poszerza możliwości inwestycyjne;</w:t>
      </w:r>
    </w:p>
    <w:p w14:paraId="3B99486A" w14:textId="483F7779" w:rsidR="00AA76C7" w:rsidRPr="00F40DC3" w:rsidRDefault="00202F76" w:rsidP="00AA76C7">
      <w:pPr>
        <w:pStyle w:val="NormalHanging12a"/>
      </w:pPr>
      <w:r>
        <w:t>56</w:t>
      </w:r>
      <w:r w:rsidR="00AA76C7" w:rsidRPr="00F40DC3">
        <w:t>.</w:t>
      </w:r>
      <w:r w:rsidR="00AA76C7" w:rsidRPr="00F40DC3">
        <w:tab/>
        <w:t>podkreśla, że strategia Global Gateway, jako część zestawu narzędzi działań zewnętrznych, ma kluczowe znaczenie dla pozycji Europy na arenie międzynarodowej i ma na celu promowanie wielostronnego systemu opartego na zasadach, zrównoważonego rozwoju, demokracji, praw człowieka, równości płci i praworządności; z zadowoleniem przyjmuje rolę EBI jako wiodącego banku rozwoju UE w tym zakresie; przypomina o znaczeniu przewidywalnych gwarancji z budżetu UE, aby umożliwić EBI dalsze prowadzenie działań poza UE;</w:t>
      </w:r>
    </w:p>
    <w:p w14:paraId="027BE0FB" w14:textId="45D734EC" w:rsidR="00AA76C7" w:rsidRPr="00F40DC3" w:rsidRDefault="00202F76" w:rsidP="00AA76C7">
      <w:pPr>
        <w:pStyle w:val="NormalHanging12a"/>
      </w:pPr>
      <w:r>
        <w:t>57</w:t>
      </w:r>
      <w:r w:rsidR="00AA76C7" w:rsidRPr="00F40DC3">
        <w:t>.</w:t>
      </w:r>
      <w:r w:rsidR="00AA76C7" w:rsidRPr="00F40DC3">
        <w:tab/>
        <w:t>wzywa do zwiększenia przejrzystości i praktyk w zakresie ujawniania informacji zgodnie z innymi wielostronnymi bankami rozwoju, a także do ustanowienia niezależnego mechanizmu rozpatrywania skarg, który zapewni skuteczne rozpatrywanie skarg i usuwanie nieprawidłowości; podkreśla potrzebę stworzenia skutecznych mechanizmów zapewniających udział społeczności, których dotyczą projekty finansowane przez EBI, oraz odpowiedzialność wobec tych społeczności, aby projekty Global Gateway odpowiadały lokalnym potrzebom, uwzględniały aspekt płci i przynosiły wymierne rezultaty w zakresie rozwoju; podkreśla znaczenie udziału społeczeństwa, w szczególności w procesach planowania, oceny i monitorowania EBI w odniesieniu do surowców krytycznych, włączając w to wcześniejszą, dobrowolną i świadomą zgodę społeczności tubylczych, zgodnie z postanowieniami Deklaracji ONZ o prawach ludności rdzennej;</w:t>
      </w:r>
    </w:p>
    <w:p w14:paraId="6572A1D2" w14:textId="6C162503" w:rsidR="00AA76C7" w:rsidRPr="00F40DC3" w:rsidRDefault="00202F76" w:rsidP="00AA76C7">
      <w:pPr>
        <w:pStyle w:val="NormalHanging12a"/>
      </w:pPr>
      <w:r>
        <w:t>58</w:t>
      </w:r>
      <w:r w:rsidR="00AA76C7" w:rsidRPr="00F40DC3">
        <w:t>.</w:t>
      </w:r>
      <w:r w:rsidR="00AA76C7" w:rsidRPr="00F40DC3">
        <w:tab/>
        <w:t>ponawia swój apel do EBI Global o skoncentrowanie działań łączonych na obszarach, na których mogą one zapewnić wartość dodaną dla lokalnej gospodarki, o unikanie wypierania kapitału prywatnego oraz o dopilnowanie, aby finansowanie mieszane nie było wykorzystywane na potrzeby podstawowych usług publicznych, zwłaszcza związanych ze zdrowiem, edukacją i ochroną socjalną; przypomina, że inwestycjom EBI w tej dziedzinie powinny przyświecać cele polityki rozwojowej UE, zwłaszcza zwiększenie dostępu do przystępnej cenowo opieki zdrowotnej, aby zapewnić lepszy stan zdrowia wszystkim, w szczególności kobietom;</w:t>
      </w:r>
    </w:p>
    <w:p w14:paraId="79B6EEAC" w14:textId="2896D7C8" w:rsidR="00AA76C7" w:rsidRPr="00F40DC3" w:rsidRDefault="00202F76" w:rsidP="00AA76C7">
      <w:pPr>
        <w:pStyle w:val="NormalHanging12a"/>
      </w:pPr>
      <w:r>
        <w:t>59</w:t>
      </w:r>
      <w:r w:rsidR="00AA76C7" w:rsidRPr="00F40DC3">
        <w:t>.</w:t>
      </w:r>
      <w:r w:rsidR="00AA76C7" w:rsidRPr="00F40DC3">
        <w:tab/>
        <w:t>oczekuje, że EBI szybko zareaguje także na zmieniające się realia i pilne potrzeby w swej globalnej działalności; podkreśla lukę w finansowaniu pomocy rozwojowej wynikającą z zamrożenia pomocy przez USA i ograniczenia finansowania na rzecz krajów globalnego Południa; wzywa do podjęcia konkretnych inicjatyw mających na celu zapobieganie kryzysom humanitarnym lub zdrowotnym, wspieranie handlu panafrykańskiego, infrastruktury i integracji regionalnej oraz wzmocnienie więzi z Europą; z zadowoleniem przyjmuje zamiar EBI Global zwiększenia skali operacji obarczonych wyższym ryzykiem, co jest możliwe dzięki mandatowi Instrumentu Sąsiedztwa oraz Współpracy Międzynarodowej i Rozwojowej – Globalny Wymiar Europy;</w:t>
      </w:r>
    </w:p>
    <w:p w14:paraId="79EF3737" w14:textId="3DE0D884" w:rsidR="00AA76C7" w:rsidRPr="00F40DC3" w:rsidRDefault="00202F76" w:rsidP="00AA76C7">
      <w:pPr>
        <w:pStyle w:val="NormalHanging12a"/>
      </w:pPr>
      <w:r>
        <w:t>60</w:t>
      </w:r>
      <w:r w:rsidR="00AA76C7" w:rsidRPr="00F40DC3">
        <w:t>.</w:t>
      </w:r>
      <w:r w:rsidR="00AA76C7" w:rsidRPr="00F40DC3">
        <w:tab/>
        <w:t>wyraża zaniepokojenie doniesieniami, że niektóre projekty finansowane przez UE poza Unią, w tym w ramach strategii Global Gateway, są realizowane przez chińskie przedsiębiorstwa, które czasami otrzymują więcej kontraktów finansowanych przez EBI niż przedsiębiorstwa z UE; wzywa Komisję do zapewnienia równych warunków działania poprzez współpracę z EBI w celu zwiększenia udziału europejskich przedsiębiorstw; zaleca takie praktyki zamówień publicznych, które przedkładają najlepszy stosunek jakości do ceny nad najniższą cenę, aby promować uczciwą konkurencję i dostosować się do wartości UE;</w:t>
      </w:r>
    </w:p>
    <w:p w14:paraId="69262733" w14:textId="75DF1704" w:rsidR="00AA76C7" w:rsidRPr="00F40DC3" w:rsidRDefault="00202F76" w:rsidP="00AA76C7">
      <w:pPr>
        <w:pStyle w:val="NormalHanging12a"/>
      </w:pPr>
      <w:r>
        <w:t>61</w:t>
      </w:r>
      <w:r w:rsidR="00AA76C7" w:rsidRPr="00F40DC3">
        <w:t>.</w:t>
      </w:r>
      <w:r w:rsidR="00AA76C7" w:rsidRPr="00F40DC3">
        <w:tab/>
        <w:t>z zadowoleniem przyjmuje wysiłki EBI, podejmowane wspólnie z dziewięcioma innymi wielostronnymi bankami rozwoju, na rzecz zacieśnienia współpracy w zakresie realizacji celów zrównoważonego rozwoju; zwraca się do EBI, by nadal współpracował z innymi instytucjami dwustronnymi i wielostronnymi oraz stosował wspólne metody analizy wpływu na rozwój, aby zapewnić długoterminowy pozytywny wpływ i wartość dodaną;</w:t>
      </w:r>
    </w:p>
    <w:p w14:paraId="77BAB0DB" w14:textId="0A82F735" w:rsidR="00AA76C7" w:rsidRPr="00F40DC3" w:rsidRDefault="00202F76" w:rsidP="00AA76C7">
      <w:pPr>
        <w:pStyle w:val="NormalHanging12a"/>
      </w:pPr>
      <w:r>
        <w:t>62</w:t>
      </w:r>
      <w:r w:rsidR="00AA76C7" w:rsidRPr="00F40DC3">
        <w:t>.</w:t>
      </w:r>
      <w:r w:rsidR="00AA76C7" w:rsidRPr="00F40DC3">
        <w:tab/>
        <w:t>z zadowoleniem przyjmuje zapowiedź EBI dotyczącą zwiększenia wsparcia dla takich sektorów jak zaopatrzenie w wodę, małe przedsiębiorstwa, energia odnawialna i efektywność energetyczna, a także dalszego wzmacniania partnerstw w Europie i na świecie, w tym z podmiotami prywatnymi, aby osiągnąć maksymalny wpływ w terenie;</w:t>
      </w:r>
    </w:p>
    <w:p w14:paraId="501FBFE3" w14:textId="77777777" w:rsidR="00AA76C7" w:rsidRPr="00F40DC3" w:rsidRDefault="00AA76C7" w:rsidP="00AA76C7">
      <w:pPr>
        <w:pStyle w:val="Normal12a24b"/>
      </w:pPr>
      <w:r w:rsidRPr="00F40DC3">
        <w:rPr>
          <w:rStyle w:val="BoldItalic"/>
        </w:rPr>
        <w:t xml:space="preserve">Zarządzanie: odpowiedzialność i przejrzystość </w:t>
      </w:r>
    </w:p>
    <w:p w14:paraId="6D114AE4" w14:textId="5D525E61" w:rsidR="00AA76C7" w:rsidRPr="00F40DC3" w:rsidRDefault="00202F76" w:rsidP="00AA76C7">
      <w:pPr>
        <w:pStyle w:val="NormalHanging12a"/>
      </w:pPr>
      <w:r>
        <w:t>63</w:t>
      </w:r>
      <w:r w:rsidR="00AA76C7" w:rsidRPr="00F40DC3">
        <w:t>.</w:t>
      </w:r>
      <w:r w:rsidR="00AA76C7" w:rsidRPr="00F40DC3">
        <w:tab/>
        <w:t>podkreśla, że rosnącej roli EBI powinna towarzyszyć większa demokratyczna odpowiedzialność i przejrzystość, w tym bardziej terminowa publikacja dokumentów związanych z projektami; ponownie apeluje o zawarcie porozumienia międzyinstytucjonalnego między Parlamentem a EBI w celu sformalizowania i wzmocnienia dotychczasowej współpracy, w tym przez regularny zorganizowany dialog, lepszy dostęp Parlamentu do dokumentów i danych EBI oraz możliwość kierowania przez Parlament do EBI pytań wymagających odpowiedzi na piśmie, tak jak ma to już miejsce w przypadku Europejskiego Banku Centralnego; w tym kontekście zwraca się do EBI o przedstawienie Parlamentowi jasnego i uproszczonego przeglądu wkładu budżetu UE w jego pozycje bilansowe i pozabilansowe oraz rachunku zysków i strat;</w:t>
      </w:r>
    </w:p>
    <w:p w14:paraId="4B730E74" w14:textId="3BFB9CEF" w:rsidR="00AA76C7" w:rsidRPr="00F40DC3" w:rsidRDefault="00202F76" w:rsidP="00AA76C7">
      <w:pPr>
        <w:pStyle w:val="NormalHanging12a"/>
      </w:pPr>
      <w:r>
        <w:rPr>
          <w:rStyle w:val="normaltextrun"/>
          <w:color w:val="000000"/>
          <w:shd w:val="clear" w:color="auto" w:fill="FFFFFF"/>
        </w:rPr>
        <w:t>64</w:t>
      </w:r>
      <w:r w:rsidR="00AA76C7" w:rsidRPr="00F40DC3">
        <w:rPr>
          <w:rStyle w:val="normaltextrun"/>
          <w:color w:val="000000"/>
          <w:shd w:val="clear" w:color="auto" w:fill="FFFFFF"/>
        </w:rPr>
        <w:t>.</w:t>
      </w:r>
      <w:r w:rsidR="00AA76C7" w:rsidRPr="00F40DC3">
        <w:rPr>
          <w:rStyle w:val="normaltextrun"/>
          <w:color w:val="000000"/>
          <w:shd w:val="clear" w:color="auto" w:fill="FFFFFF"/>
        </w:rPr>
        <w:tab/>
      </w:r>
      <w:r w:rsidR="00AA76C7" w:rsidRPr="00F40DC3">
        <w:t>podkreśla znaczenie zapewnienia przez EBI pełnej przejrzystości i identyfikowalności finansowanych projektów, w tym bardziej szczegółowych informacji, aby umożliwić właściwy nadzór ze strony wszystkich zainteresowanych stron, w tym organizacji społeczeństwa obywatelskiego, a nie wyłącznie ministerstw odpowiedzialnych za te projekty;</w:t>
      </w:r>
      <w:r w:rsidR="00AA76C7" w:rsidRPr="00F40DC3">
        <w:rPr>
          <w:rStyle w:val="normaltextrun"/>
          <w:color w:val="000000"/>
          <w:shd w:val="clear" w:color="auto" w:fill="FFFFFF"/>
        </w:rPr>
        <w:t xml:space="preserve"> przypomina, że wszyscy beneficjenci środków unijnych mają ogólny obowiązek uznania ich pochodzenia i zapewnienia widoczności otrzymanych środków unijnych; wzywa grupę EBI do dopilnowania, by odbiorcy końcowi spełniali warunki widoczności dotyczące wsparcia finansowego UE;</w:t>
      </w:r>
    </w:p>
    <w:p w14:paraId="17FE5B46" w14:textId="3EC053AB" w:rsidR="00AA76C7" w:rsidRPr="00F40DC3" w:rsidRDefault="00202F76" w:rsidP="00AA76C7">
      <w:pPr>
        <w:pStyle w:val="NormalHanging12a"/>
      </w:pPr>
      <w:r>
        <w:t>65</w:t>
      </w:r>
      <w:r w:rsidR="00AA76C7" w:rsidRPr="00F40DC3">
        <w:t>.</w:t>
      </w:r>
      <w:r w:rsidR="00AA76C7" w:rsidRPr="00F40DC3">
        <w:tab/>
        <w:t>zachęca EBI do zwiększenia udziału przedsiębiorstw europejskich w procedurach udzielania zamówień dotyczących projektów finansowanych przez EBI; zachęca EBI do doradzania pożyczkobiorcom, aby priorytetowo traktowali kwalifikowalność europejskich przedsiębiorstw w celu wzmocnienia europejskiej konkurencyjności;</w:t>
      </w:r>
    </w:p>
    <w:p w14:paraId="14004BD2" w14:textId="73568E9A" w:rsidR="00AA76C7" w:rsidRPr="00F40DC3" w:rsidRDefault="00202F76" w:rsidP="00AA76C7">
      <w:pPr>
        <w:pStyle w:val="NormalHanging12a"/>
      </w:pPr>
      <w:r>
        <w:t>66</w:t>
      </w:r>
      <w:r w:rsidR="00AA76C7" w:rsidRPr="00F40DC3">
        <w:t>.</w:t>
      </w:r>
      <w:r w:rsidR="00AA76C7" w:rsidRPr="00F40DC3">
        <w:tab/>
        <w:t xml:space="preserve">podkreśla znaczenie utrzymania przez grupę EBI najwyższych standardów w zakresie zapobiegania wszelkim formom nadużyć finansowych, uchylania się od opodatkowania, unikania opodatkowania, prania pieniędzy i finansowania terroryzmu; zauważa, że ochrona integralności finansowania grupy EBI ma zasadnicze znaczenie dla zapewnienia zaufania publicznego i skutecznego wykorzystania zasobów; odnotowuje dochodzenia przeprowadzone przez Europejskiego Rzecznika Praw Obywatelskich oraz trwające dochodzenia prowadzone przez Prokuraturę Europejską i Europejski Urząd ds. Zwalczania Nadużyć Finansowych i oczekuje pełnej jasności oraz podjęcia odpowiednich działań następczych, w tym wszelkich niezbędnych konsekwencji; </w:t>
      </w:r>
    </w:p>
    <w:p w14:paraId="6A698463" w14:textId="5AA98EB9" w:rsidR="00AA76C7" w:rsidRPr="00F40DC3" w:rsidRDefault="00202F76" w:rsidP="00AA76C7">
      <w:pPr>
        <w:pStyle w:val="NormalHanging12a"/>
      </w:pPr>
      <w:r>
        <w:t>67</w:t>
      </w:r>
      <w:r w:rsidR="00AA76C7" w:rsidRPr="00F40DC3">
        <w:t>.</w:t>
      </w:r>
      <w:r w:rsidR="00AA76C7" w:rsidRPr="00F40DC3">
        <w:tab/>
        <w:t>ponownie apeluje do EBI, aby rozważył dostosowanie podziału zadań w ramach Komitetu Zarządzającego do zaleceń instytucji UE, aby pomóc w ograniczeniu potencjalnych konfliktów interesów;</w:t>
      </w:r>
    </w:p>
    <w:p w14:paraId="6D08C6A5" w14:textId="35D534E3" w:rsidR="00AA76C7" w:rsidRPr="00F40DC3" w:rsidRDefault="00202F76" w:rsidP="00AA76C7">
      <w:pPr>
        <w:pStyle w:val="NormalHanging12a"/>
      </w:pPr>
      <w:r>
        <w:t>68</w:t>
      </w:r>
      <w:r w:rsidR="00AA76C7" w:rsidRPr="00F40DC3">
        <w:t>.</w:t>
      </w:r>
      <w:r w:rsidR="00AA76C7" w:rsidRPr="00F40DC3">
        <w:tab/>
        <w:t>z zadowoleniem przyjmuje ramy uznawania związków zawodowych w Europejskim Banku Inwestycyjnym z 2024 r.;</w:t>
      </w:r>
    </w:p>
    <w:p w14:paraId="04B98B60" w14:textId="4F5AAE99" w:rsidR="00AA76C7" w:rsidRPr="00F40DC3" w:rsidRDefault="00202F76" w:rsidP="00AA76C7">
      <w:pPr>
        <w:pStyle w:val="NormalHanging12a"/>
      </w:pPr>
      <w:r>
        <w:t>69</w:t>
      </w:r>
      <w:r w:rsidR="00AA76C7" w:rsidRPr="00F40DC3">
        <w:t>.</w:t>
      </w:r>
      <w:r w:rsidR="00AA76C7" w:rsidRPr="00F40DC3">
        <w:tab/>
        <w:t>z zadowoleniem przyjmuje zasady EBI dotyczące różnorodności, równości i włączenia, w tym cel zakładający, że do końca 2026 r. kobiety będą zajmować co najmniej 40% stanowisk kierowniczych; wzywa do równomiernej pod względem geograficznym reprezentacji narodowości UE wśród pracowników;</w:t>
      </w:r>
    </w:p>
    <w:p w14:paraId="5D2496D9" w14:textId="64E8FE05" w:rsidR="00AA76C7" w:rsidRPr="00F40DC3" w:rsidRDefault="00202F76" w:rsidP="00AA76C7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t>70</w:t>
      </w:r>
      <w:r w:rsidR="00AA76C7" w:rsidRPr="00F40DC3">
        <w:t>.</w:t>
      </w:r>
      <w:r w:rsidR="00AA76C7" w:rsidRPr="00F40DC3">
        <w:tab/>
        <w:t>podkreśla potrzebę wzmocnienia polityki EBI w zakresie praw człowieka, w tym do ustanowienia jasnych i skutecznych ram i strategii należytej staranności w zakresie praw człowieka; podkreśla, że oceny oddziaływania na środowisko i społeczeństwo powinni przeprowadzać niezależni eksperci, oraz że należy wprowadzić niezależne mechanizmy weryfikacji w celu nadzorowania procesów monitorowania własnej działalności i samodzielnego powiadamiania prowadzonych przez klientów EBI;</w:t>
      </w:r>
      <w:r w:rsidR="00AA76C7" w:rsidRPr="00F40DC3">
        <w:rPr>
          <w:rStyle w:val="normaltextrun"/>
          <w:color w:val="000000"/>
          <w:shd w:val="clear" w:color="auto" w:fill="FFFFFF"/>
        </w:rPr>
        <w:t xml:space="preserve"> </w:t>
      </w:r>
    </w:p>
    <w:p w14:paraId="5FBBECC7" w14:textId="77777777" w:rsidR="00AA76C7" w:rsidRPr="00F40DC3" w:rsidRDefault="00AA76C7" w:rsidP="00AA76C7">
      <w:pPr>
        <w:pStyle w:val="NormalHanging12a"/>
        <w:jc w:val="center"/>
      </w:pPr>
      <w:r w:rsidRPr="00F40DC3">
        <w:t>°</w:t>
      </w:r>
    </w:p>
    <w:p w14:paraId="4777885A" w14:textId="77777777" w:rsidR="00AA76C7" w:rsidRPr="00F40DC3" w:rsidRDefault="00AA76C7" w:rsidP="00AA76C7">
      <w:pPr>
        <w:pStyle w:val="NormalHanging12a"/>
        <w:jc w:val="center"/>
      </w:pPr>
      <w:r w:rsidRPr="00F40DC3">
        <w:t>°</w:t>
      </w:r>
      <w:r w:rsidRPr="00F40DC3">
        <w:tab/>
        <w:t>°</w:t>
      </w:r>
    </w:p>
    <w:p w14:paraId="4FB6BA6A" w14:textId="5965E8DF" w:rsidR="00F40DC3" w:rsidRPr="00F40DC3" w:rsidRDefault="00202F76" w:rsidP="00F40DC3">
      <w:pPr>
        <w:pStyle w:val="NormalHanging12a"/>
      </w:pPr>
      <w:r>
        <w:t>71</w:t>
      </w:r>
      <w:r w:rsidR="00AA76C7" w:rsidRPr="00F40DC3">
        <w:t>.</w:t>
      </w:r>
      <w:r w:rsidR="00AA76C7" w:rsidRPr="00F40DC3">
        <w:tab/>
        <w:t>zobowiązuje swoją przewodniczącą do przekazania niniejszej rezolucji Radzie, Komisji oraz Europejskiemu Bankowi Inwestycyjnemu.</w:t>
      </w:r>
    </w:p>
    <w:p w14:paraId="301A468E" w14:textId="77777777" w:rsidR="00E365E1" w:rsidRPr="00F40DC3" w:rsidRDefault="00E365E1" w:rsidP="00410CFD"/>
    <w:sectPr w:rsidR="00E365E1" w:rsidRPr="00F40DC3" w:rsidSect="00F40D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EBE1B3" w14:textId="77777777" w:rsidR="00410CFD" w:rsidRPr="00F40DC3" w:rsidRDefault="00410CFD">
      <w:r w:rsidRPr="00F40DC3">
        <w:separator/>
      </w:r>
    </w:p>
  </w:endnote>
  <w:endnote w:type="continuationSeparator" w:id="0">
    <w:p w14:paraId="0CEC2CC8" w14:textId="77777777" w:rsidR="00410CFD" w:rsidRPr="00F40DC3" w:rsidRDefault="00410CFD">
      <w:r w:rsidRPr="00F40D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C70FB" w14:textId="77777777" w:rsidR="00064002" w:rsidRPr="00F40D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B18B5" w14:textId="77777777" w:rsidR="00064002" w:rsidRPr="00F40D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55260" w14:textId="77777777" w:rsidR="00064002" w:rsidRPr="00F40D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F75EE" w14:textId="77777777" w:rsidR="00410CFD" w:rsidRPr="00F40DC3" w:rsidRDefault="00410CFD">
      <w:r w:rsidRPr="00F40DC3">
        <w:separator/>
      </w:r>
    </w:p>
  </w:footnote>
  <w:footnote w:type="continuationSeparator" w:id="0">
    <w:p w14:paraId="4F6EA8F7" w14:textId="77777777" w:rsidR="00410CFD" w:rsidRPr="00F40DC3" w:rsidRDefault="00410CFD">
      <w:r w:rsidRPr="00F40DC3">
        <w:continuationSeparator/>
      </w:r>
    </w:p>
  </w:footnote>
  <w:footnote w:id="1">
    <w:p w14:paraId="7B19AB5D" w14:textId="77777777" w:rsidR="00AA76C7" w:rsidRPr="00202F76" w:rsidRDefault="00AA76C7" w:rsidP="00F40DC3">
      <w:pPr>
        <w:pStyle w:val="FootnoteText"/>
        <w:ind w:left="567" w:hanging="567"/>
        <w:rPr>
          <w:sz w:val="24"/>
          <w:lang w:val="fi-FI"/>
        </w:rPr>
      </w:pPr>
      <w:r w:rsidRPr="00F40DC3">
        <w:rPr>
          <w:rStyle w:val="FootnoteReference"/>
          <w:sz w:val="24"/>
          <w:lang w:val="pl-PL"/>
        </w:rPr>
        <w:footnoteRef/>
      </w:r>
      <w:r w:rsidR="00F40DC3" w:rsidRPr="00202F76">
        <w:rPr>
          <w:sz w:val="24"/>
          <w:lang w:val="fi-FI"/>
        </w:rPr>
        <w:t xml:space="preserve"> </w:t>
      </w:r>
      <w:r w:rsidR="00F40DC3" w:rsidRPr="00202F76">
        <w:rPr>
          <w:sz w:val="24"/>
          <w:lang w:val="fi-FI"/>
        </w:rPr>
        <w:tab/>
      </w:r>
      <w:r w:rsidRPr="00202F76">
        <w:rPr>
          <w:sz w:val="24"/>
          <w:lang w:val="fi-FI"/>
        </w:rPr>
        <w:t xml:space="preserve">Dz.U. L, 2025/504, 14.3.2025, ELI: </w:t>
      </w:r>
      <w:hyperlink r:id="rId1" w:history="1">
        <w:r w:rsidRPr="00202F76">
          <w:rPr>
            <w:rStyle w:val="Hyperlink"/>
            <w:sz w:val="24"/>
            <w:lang w:val="fi-FI"/>
          </w:rPr>
          <w:t>http://data.europa.eu/eli/dec/2025/504/oj</w:t>
        </w:r>
      </w:hyperlink>
      <w:r w:rsidRPr="00202F76">
        <w:rPr>
          <w:sz w:val="24"/>
          <w:lang w:val="fi-FI"/>
        </w:rPr>
        <w:t>.</w:t>
      </w:r>
    </w:p>
  </w:footnote>
  <w:footnote w:id="2">
    <w:p w14:paraId="22CFF643" w14:textId="77777777" w:rsidR="00AA76C7" w:rsidRPr="00F40DC3" w:rsidRDefault="00AA76C7" w:rsidP="00F40DC3">
      <w:pPr>
        <w:pStyle w:val="FootnoteText"/>
        <w:ind w:left="567" w:hanging="567"/>
        <w:rPr>
          <w:i/>
          <w:sz w:val="24"/>
          <w:lang w:val="pl-PL"/>
        </w:rPr>
      </w:pPr>
      <w:r w:rsidRPr="00F40DC3">
        <w:rPr>
          <w:rStyle w:val="FootnoteReference"/>
          <w:sz w:val="24"/>
          <w:lang w:val="pl-PL"/>
        </w:rPr>
        <w:footnoteRef/>
      </w:r>
      <w:r w:rsidR="00F40DC3" w:rsidRPr="00F40DC3">
        <w:rPr>
          <w:sz w:val="24"/>
          <w:lang w:val="pl-PL"/>
        </w:rPr>
        <w:t xml:space="preserve"> </w:t>
      </w:r>
      <w:r w:rsidR="00F40DC3" w:rsidRPr="00F40DC3">
        <w:rPr>
          <w:sz w:val="24"/>
          <w:lang w:val="pl-PL"/>
        </w:rPr>
        <w:tab/>
      </w:r>
      <w:r w:rsidRPr="00F40DC3">
        <w:rPr>
          <w:sz w:val="24"/>
          <w:lang w:val="pl-PL"/>
        </w:rPr>
        <w:t xml:space="preserve">Komisja Europejska: Dyrekcja Generalna ds. Przemysłu Obronnego i Przestrzeni Kosmicznej, </w:t>
      </w:r>
      <w:r w:rsidRPr="00F40DC3">
        <w:rPr>
          <w:i/>
          <w:sz w:val="24"/>
          <w:lang w:val="pl-PL"/>
        </w:rPr>
        <w:t>Access to equity financing for European defence SMEs</w:t>
      </w:r>
      <w:r w:rsidRPr="00F40DC3">
        <w:rPr>
          <w:sz w:val="24"/>
          <w:lang w:val="pl-PL"/>
        </w:rPr>
        <w:t xml:space="preserve"> [Dostęp do finansowania kapitałowego dla europejskich MŚP z sektora obronnego], Urząd Publikacji Unii Europejskiej, 2024, </w:t>
      </w:r>
      <w:hyperlink r:id="rId2" w:history="1">
        <w:r w:rsidRPr="00F40DC3">
          <w:rPr>
            <w:rStyle w:val="Hyperlink"/>
            <w:sz w:val="24"/>
            <w:lang w:val="pl-PL"/>
          </w:rPr>
          <w:t>https://data.europa.eu/doi/10.2889/698738</w:t>
        </w:r>
      </w:hyperlink>
      <w:r w:rsidRPr="00F40DC3">
        <w:rPr>
          <w:sz w:val="24"/>
          <w:lang w:val="pl-PL"/>
        </w:rPr>
        <w:t>.</w:t>
      </w:r>
    </w:p>
  </w:footnote>
  <w:footnote w:id="3">
    <w:p w14:paraId="1F273C56" w14:textId="77777777" w:rsidR="00AA76C7" w:rsidRPr="00F40DC3" w:rsidRDefault="00AA76C7" w:rsidP="00F40DC3">
      <w:pPr>
        <w:pStyle w:val="FootnoteText"/>
        <w:ind w:left="567" w:hanging="567"/>
        <w:rPr>
          <w:sz w:val="24"/>
          <w:lang w:val="pl-PL"/>
        </w:rPr>
      </w:pPr>
      <w:r w:rsidRPr="00F40DC3">
        <w:rPr>
          <w:rStyle w:val="FootnoteReference"/>
          <w:sz w:val="24"/>
          <w:lang w:val="pl-PL"/>
        </w:rPr>
        <w:footnoteRef/>
      </w:r>
      <w:r w:rsidR="00F40DC3" w:rsidRPr="00F40DC3">
        <w:rPr>
          <w:sz w:val="24"/>
          <w:lang w:val="pl-PL"/>
        </w:rPr>
        <w:t xml:space="preserve"> </w:t>
      </w:r>
      <w:r w:rsidR="00F40DC3" w:rsidRPr="00F40DC3">
        <w:rPr>
          <w:sz w:val="24"/>
          <w:lang w:val="pl-PL"/>
        </w:rPr>
        <w:tab/>
      </w:r>
      <w:r w:rsidRPr="00F40DC3">
        <w:rPr>
          <w:sz w:val="24"/>
          <w:lang w:val="pl-PL"/>
        </w:rPr>
        <w:t xml:space="preserve">Dz.U. L 57 z 18.2.2021, s. 17, ELI: </w:t>
      </w:r>
      <w:hyperlink r:id="rId3" w:history="1">
        <w:r w:rsidRPr="00F40DC3">
          <w:rPr>
            <w:rStyle w:val="Hyperlink"/>
            <w:sz w:val="24"/>
            <w:lang w:val="pl-PL"/>
          </w:rPr>
          <w:t>http://data.europa.eu/eli/reg/2021/241/oj</w:t>
        </w:r>
      </w:hyperlink>
      <w:r w:rsidRPr="00F40DC3">
        <w:rPr>
          <w:sz w:val="24"/>
          <w:lang w:val="pl-PL"/>
        </w:rPr>
        <w:t>.</w:t>
      </w:r>
    </w:p>
  </w:footnote>
  <w:footnote w:id="4">
    <w:p w14:paraId="3F427A78" w14:textId="77777777" w:rsidR="00AA76C7" w:rsidRPr="00F40DC3" w:rsidRDefault="00AA76C7" w:rsidP="00F40DC3">
      <w:pPr>
        <w:pStyle w:val="FootnoteText"/>
        <w:ind w:left="567" w:hanging="567"/>
        <w:rPr>
          <w:sz w:val="24"/>
          <w:lang w:val="pl-PL"/>
        </w:rPr>
      </w:pPr>
      <w:r w:rsidRPr="00F40DC3">
        <w:rPr>
          <w:rStyle w:val="FootnoteReference"/>
          <w:sz w:val="24"/>
          <w:lang w:val="pl-PL"/>
        </w:rPr>
        <w:footnoteRef/>
      </w:r>
      <w:r w:rsidR="00F40DC3" w:rsidRPr="00F40DC3">
        <w:rPr>
          <w:sz w:val="24"/>
          <w:lang w:val="pl-PL"/>
        </w:rPr>
        <w:t xml:space="preserve"> </w:t>
      </w:r>
      <w:r w:rsidR="00F40DC3" w:rsidRPr="00F40DC3">
        <w:rPr>
          <w:sz w:val="24"/>
          <w:lang w:val="pl-PL"/>
        </w:rPr>
        <w:tab/>
      </w:r>
      <w:r w:rsidRPr="00F40DC3">
        <w:rPr>
          <w:sz w:val="24"/>
          <w:lang w:val="pl-PL"/>
        </w:rPr>
        <w:t xml:space="preserve">Dz.U. L 107 z 26.3.2021, s. 30, ELI: </w:t>
      </w:r>
      <w:hyperlink r:id="rId4" w:history="1">
        <w:r w:rsidRPr="00F40DC3">
          <w:rPr>
            <w:rStyle w:val="Hyperlink"/>
            <w:sz w:val="24"/>
            <w:lang w:val="pl-PL"/>
          </w:rPr>
          <w:t>http://data.europa.eu/eli/reg/2021/523/oj</w:t>
        </w:r>
      </w:hyperlink>
      <w:r w:rsidRPr="00F40DC3">
        <w:rPr>
          <w:sz w:val="24"/>
          <w:lang w:val="pl-PL"/>
        </w:rPr>
        <w:t>.</w:t>
      </w:r>
    </w:p>
  </w:footnote>
  <w:footnote w:id="5">
    <w:p w14:paraId="74613584" w14:textId="77777777" w:rsidR="00AA76C7" w:rsidRPr="00F40DC3" w:rsidRDefault="00AA76C7" w:rsidP="00F40DC3">
      <w:pPr>
        <w:pStyle w:val="FootnoteText"/>
        <w:ind w:left="567" w:hanging="567"/>
        <w:rPr>
          <w:sz w:val="24"/>
          <w:lang w:val="pl-PL"/>
        </w:rPr>
      </w:pPr>
      <w:r w:rsidRPr="00F40DC3">
        <w:rPr>
          <w:rStyle w:val="FootnoteReference"/>
          <w:sz w:val="24"/>
          <w:lang w:val="pl-PL"/>
        </w:rPr>
        <w:footnoteRef/>
      </w:r>
      <w:r w:rsidR="00F40DC3" w:rsidRPr="00F40DC3">
        <w:rPr>
          <w:sz w:val="24"/>
          <w:lang w:val="pl-PL"/>
        </w:rPr>
        <w:t xml:space="preserve"> </w:t>
      </w:r>
      <w:r w:rsidR="00F40DC3" w:rsidRPr="00F40DC3">
        <w:rPr>
          <w:sz w:val="24"/>
          <w:lang w:val="pl-PL"/>
        </w:rPr>
        <w:tab/>
      </w:r>
      <w:r w:rsidRPr="00F40DC3">
        <w:rPr>
          <w:sz w:val="24"/>
          <w:lang w:val="pl-PL"/>
        </w:rPr>
        <w:t xml:space="preserve">Dz.U. L 209 z 14.6.2021, s. 1, ELI: </w:t>
      </w:r>
      <w:hyperlink r:id="rId5" w:history="1">
        <w:r w:rsidRPr="00F40DC3">
          <w:rPr>
            <w:rStyle w:val="Hyperlink"/>
            <w:sz w:val="24"/>
            <w:lang w:val="pl-PL"/>
          </w:rPr>
          <w:t>http://data.europa.eu/eli/reg/2021/947/oj</w:t>
        </w:r>
      </w:hyperlink>
      <w:r w:rsidRPr="00F40DC3">
        <w:rPr>
          <w:sz w:val="24"/>
          <w:lang w:val="pl-PL"/>
        </w:rPr>
        <w:t>.</w:t>
      </w:r>
    </w:p>
  </w:footnote>
  <w:footnote w:id="6">
    <w:p w14:paraId="504F06AF" w14:textId="77777777" w:rsidR="00AA76C7" w:rsidRPr="00F40DC3" w:rsidRDefault="00AA76C7" w:rsidP="00F40DC3">
      <w:pPr>
        <w:pStyle w:val="FootnoteText"/>
        <w:ind w:left="567" w:hanging="567"/>
        <w:rPr>
          <w:sz w:val="24"/>
          <w:lang w:val="pl-PL"/>
        </w:rPr>
      </w:pPr>
      <w:r w:rsidRPr="00F40DC3">
        <w:rPr>
          <w:rStyle w:val="FootnoteReference"/>
          <w:sz w:val="24"/>
          <w:lang w:val="pl-PL"/>
        </w:rPr>
        <w:footnoteRef/>
      </w:r>
      <w:r w:rsidR="00F40DC3" w:rsidRPr="00F40DC3">
        <w:rPr>
          <w:sz w:val="24"/>
          <w:lang w:val="pl-PL"/>
        </w:rPr>
        <w:t xml:space="preserve"> </w:t>
      </w:r>
      <w:r w:rsidR="00F40DC3" w:rsidRPr="00F40DC3">
        <w:rPr>
          <w:sz w:val="24"/>
          <w:lang w:val="pl-PL"/>
        </w:rPr>
        <w:tab/>
      </w:r>
      <w:r w:rsidRPr="00F40DC3">
        <w:rPr>
          <w:sz w:val="24"/>
          <w:lang w:val="pl-PL"/>
        </w:rPr>
        <w:t xml:space="preserve">Dz.U. L 231 z 30.6.2021, s. 1, ELI: </w:t>
      </w:r>
      <w:hyperlink r:id="rId6" w:history="1">
        <w:r w:rsidRPr="00F40DC3">
          <w:rPr>
            <w:rStyle w:val="Hyperlink"/>
            <w:sz w:val="24"/>
            <w:lang w:val="pl-PL"/>
          </w:rPr>
          <w:t>http://data.europa.eu/eli/reg/2021/1056/oj</w:t>
        </w:r>
      </w:hyperlink>
      <w:r w:rsidRPr="00F40DC3">
        <w:rPr>
          <w:sz w:val="24"/>
          <w:lang w:val="pl-PL"/>
        </w:rPr>
        <w:t>.</w:t>
      </w:r>
    </w:p>
  </w:footnote>
  <w:footnote w:id="7">
    <w:p w14:paraId="02C039A0" w14:textId="77777777" w:rsidR="00AA76C7" w:rsidRPr="00F40DC3" w:rsidRDefault="00AA76C7" w:rsidP="00F40DC3">
      <w:pPr>
        <w:pStyle w:val="FootnoteText"/>
        <w:ind w:left="567" w:hanging="567"/>
        <w:rPr>
          <w:sz w:val="24"/>
          <w:lang w:val="pl-PL"/>
        </w:rPr>
      </w:pPr>
      <w:r w:rsidRPr="00F40DC3">
        <w:rPr>
          <w:rStyle w:val="FootnoteReference"/>
          <w:sz w:val="24"/>
          <w:lang w:val="pl-PL"/>
        </w:rPr>
        <w:footnoteRef/>
      </w:r>
      <w:r w:rsidR="00F40DC3" w:rsidRPr="00F40DC3">
        <w:rPr>
          <w:sz w:val="24"/>
          <w:lang w:val="pl-PL"/>
        </w:rPr>
        <w:t xml:space="preserve"> </w:t>
      </w:r>
      <w:r w:rsidR="00F40DC3" w:rsidRPr="00F40DC3">
        <w:rPr>
          <w:sz w:val="24"/>
          <w:lang w:val="pl-PL"/>
        </w:rPr>
        <w:tab/>
      </w:r>
      <w:r w:rsidRPr="00F40DC3">
        <w:rPr>
          <w:sz w:val="24"/>
          <w:lang w:val="pl-PL"/>
        </w:rPr>
        <w:t xml:space="preserve">Dz.U. L 274 z 30.7.2021, s. 1, ELI: </w:t>
      </w:r>
      <w:hyperlink r:id="rId7" w:history="1">
        <w:r w:rsidRPr="00F40DC3">
          <w:rPr>
            <w:rStyle w:val="Hyperlink"/>
            <w:sz w:val="24"/>
            <w:lang w:val="pl-PL"/>
          </w:rPr>
          <w:t>http://data.europa.eu/eli/reg/2021/1229/oj</w:t>
        </w:r>
      </w:hyperlink>
      <w:r w:rsidRPr="00F40DC3">
        <w:rPr>
          <w:sz w:val="24"/>
          <w:lang w:val="pl-PL"/>
        </w:rPr>
        <w:t>.</w:t>
      </w:r>
    </w:p>
  </w:footnote>
  <w:footnote w:id="8">
    <w:p w14:paraId="236F5EA2" w14:textId="73417469" w:rsidR="00AA76C7" w:rsidRPr="00F40DC3" w:rsidRDefault="00AA76C7" w:rsidP="00F40DC3">
      <w:pPr>
        <w:pStyle w:val="FootnoteText"/>
        <w:ind w:left="567" w:hanging="567"/>
        <w:rPr>
          <w:sz w:val="24"/>
          <w:lang w:val="pl-PL"/>
        </w:rPr>
      </w:pPr>
      <w:r w:rsidRPr="00F40DC3">
        <w:rPr>
          <w:rStyle w:val="FootnoteReference"/>
          <w:sz w:val="24"/>
          <w:lang w:val="pl-PL"/>
        </w:rPr>
        <w:footnoteRef/>
      </w:r>
      <w:r w:rsidR="00F40DC3" w:rsidRPr="00F40DC3">
        <w:rPr>
          <w:sz w:val="24"/>
          <w:lang w:val="pl-PL"/>
        </w:rPr>
        <w:t xml:space="preserve"> </w:t>
      </w:r>
      <w:r w:rsidR="00F40DC3" w:rsidRPr="00F40DC3">
        <w:rPr>
          <w:sz w:val="24"/>
          <w:lang w:val="pl-PL"/>
        </w:rPr>
        <w:tab/>
      </w:r>
      <w:r w:rsidRPr="00F40DC3">
        <w:rPr>
          <w:sz w:val="24"/>
          <w:lang w:val="pl-PL"/>
        </w:rPr>
        <w:t>Dz.U. L</w:t>
      </w:r>
      <w:r w:rsidR="00775D9B">
        <w:rPr>
          <w:sz w:val="24"/>
          <w:lang w:val="pl-PL"/>
        </w:rPr>
        <w:t>,</w:t>
      </w:r>
      <w:r w:rsidRPr="00F40DC3">
        <w:rPr>
          <w:sz w:val="24"/>
          <w:lang w:val="pl-PL"/>
        </w:rPr>
        <w:t xml:space="preserve"> 2024/795</w:t>
      </w:r>
      <w:r w:rsidR="00775D9B">
        <w:rPr>
          <w:sz w:val="24"/>
          <w:lang w:val="pl-PL"/>
        </w:rPr>
        <w:t>,</w:t>
      </w:r>
      <w:r w:rsidRPr="00F40DC3">
        <w:rPr>
          <w:sz w:val="24"/>
          <w:lang w:val="pl-PL"/>
        </w:rPr>
        <w:t xml:space="preserve"> 29.2.2024, ELI: </w:t>
      </w:r>
      <w:hyperlink r:id="rId8" w:history="1">
        <w:r w:rsidRPr="00F40DC3">
          <w:rPr>
            <w:rStyle w:val="Hyperlink"/>
            <w:sz w:val="24"/>
            <w:lang w:val="pl-PL"/>
          </w:rPr>
          <w:t>http://data.europa.eu/eli/reg/2024/795/oj</w:t>
        </w:r>
      </w:hyperlink>
      <w:r w:rsidRPr="00F40DC3">
        <w:rPr>
          <w:sz w:val="24"/>
          <w:lang w:val="pl-PL"/>
        </w:rPr>
        <w:t>.</w:t>
      </w:r>
    </w:p>
  </w:footnote>
  <w:footnote w:id="9">
    <w:p w14:paraId="028E267A" w14:textId="77777777" w:rsidR="00AA76C7" w:rsidRPr="00F40DC3" w:rsidRDefault="00AA76C7" w:rsidP="00F40DC3">
      <w:pPr>
        <w:pStyle w:val="FootnoteText"/>
        <w:ind w:left="567" w:hanging="567"/>
        <w:rPr>
          <w:sz w:val="24"/>
          <w:lang w:val="pl-PL"/>
        </w:rPr>
      </w:pPr>
      <w:r w:rsidRPr="00F40DC3">
        <w:rPr>
          <w:rStyle w:val="FootnoteReference"/>
          <w:sz w:val="24"/>
          <w:lang w:val="pl-PL"/>
        </w:rPr>
        <w:footnoteRef/>
      </w:r>
      <w:r w:rsidR="00F40DC3" w:rsidRPr="00F40DC3">
        <w:rPr>
          <w:sz w:val="24"/>
          <w:lang w:val="pl-PL"/>
        </w:rPr>
        <w:t xml:space="preserve"> </w:t>
      </w:r>
      <w:r w:rsidR="00F40DC3" w:rsidRPr="00F40DC3">
        <w:rPr>
          <w:sz w:val="24"/>
          <w:lang w:val="pl-PL"/>
        </w:rPr>
        <w:tab/>
      </w:r>
      <w:r w:rsidRPr="00F40DC3">
        <w:rPr>
          <w:sz w:val="24"/>
          <w:lang w:val="pl-PL"/>
        </w:rPr>
        <w:t>Teksty przyjęte, P10_TA(2025)0034.</w:t>
      </w:r>
    </w:p>
  </w:footnote>
  <w:footnote w:id="10">
    <w:p w14:paraId="2266D496" w14:textId="77777777" w:rsidR="00AA76C7" w:rsidRPr="00F40DC3" w:rsidRDefault="00AA76C7" w:rsidP="00F40DC3">
      <w:pPr>
        <w:pStyle w:val="FootnoteText"/>
        <w:ind w:left="567" w:hanging="567"/>
        <w:rPr>
          <w:sz w:val="24"/>
          <w:lang w:val="pl-PL"/>
        </w:rPr>
      </w:pPr>
      <w:r w:rsidRPr="00F40DC3">
        <w:rPr>
          <w:rStyle w:val="FootnoteReference"/>
          <w:sz w:val="24"/>
          <w:lang w:val="pl-PL"/>
        </w:rPr>
        <w:footnoteRef/>
      </w:r>
      <w:r w:rsidR="00F40DC3" w:rsidRPr="00F40DC3">
        <w:rPr>
          <w:sz w:val="24"/>
          <w:lang w:val="pl-PL"/>
        </w:rPr>
        <w:t xml:space="preserve"> </w:t>
      </w:r>
      <w:r w:rsidR="00F40DC3" w:rsidRPr="00F40DC3">
        <w:rPr>
          <w:sz w:val="24"/>
          <w:lang w:val="pl-PL"/>
        </w:rPr>
        <w:tab/>
      </w:r>
      <w:hyperlink r:id="rId9" w:history="1">
        <w:r w:rsidRPr="00F40DC3">
          <w:rPr>
            <w:rStyle w:val="Hyperlink"/>
            <w:sz w:val="24"/>
            <w:lang w:val="pl-PL"/>
          </w:rPr>
          <w:t>Uwagi wstępne przewodniczącej von der Leyen podczas wspólnej konferencji prasowej z przewodniczącym Ch. Michelem po specjalnym posiedzeniu Rady Europejskiej 18 kwietnia 2024 r.</w:t>
        </w:r>
      </w:hyperlink>
    </w:p>
  </w:footnote>
  <w:footnote w:id="11">
    <w:p w14:paraId="5DF65629" w14:textId="77777777" w:rsidR="00AA76C7" w:rsidRPr="00F40DC3" w:rsidRDefault="00AA76C7" w:rsidP="00F40DC3">
      <w:pPr>
        <w:pStyle w:val="FootnoteText"/>
        <w:ind w:left="567" w:hanging="567"/>
        <w:rPr>
          <w:sz w:val="24"/>
          <w:lang w:val="pl-PL"/>
        </w:rPr>
      </w:pPr>
      <w:r w:rsidRPr="00F40DC3">
        <w:rPr>
          <w:rStyle w:val="FootnoteReference"/>
          <w:sz w:val="24"/>
          <w:lang w:val="pl-PL"/>
        </w:rPr>
        <w:footnoteRef/>
      </w:r>
      <w:r w:rsidR="00F40DC3" w:rsidRPr="00F40DC3">
        <w:rPr>
          <w:sz w:val="24"/>
          <w:lang w:val="pl-PL"/>
        </w:rPr>
        <w:t xml:space="preserve"> </w:t>
      </w:r>
      <w:r w:rsidR="00F40DC3" w:rsidRPr="00F40DC3">
        <w:rPr>
          <w:sz w:val="24"/>
          <w:lang w:val="pl-PL"/>
        </w:rPr>
        <w:tab/>
      </w:r>
      <w:r w:rsidRPr="00F40DC3">
        <w:rPr>
          <w:sz w:val="24"/>
          <w:lang w:val="pl-PL"/>
        </w:rPr>
        <w:t>Pakt dla czystego przemysłu: wspólny plan działania na rzecz konkurencyjności i dekarbonizacji (</w:t>
      </w:r>
      <w:r w:rsidRPr="000866C7">
        <w:rPr>
          <w:sz w:val="24"/>
          <w:lang w:val="pl-PL"/>
        </w:rPr>
        <w:t>COM(2025)0085</w:t>
      </w:r>
      <w:r w:rsidRPr="00F40DC3">
        <w:rPr>
          <w:sz w:val="24"/>
          <w:lang w:val="pl-PL"/>
        </w:rPr>
        <w:t>).</w:t>
      </w:r>
    </w:p>
  </w:footnote>
  <w:footnote w:id="12">
    <w:p w14:paraId="4E54414E" w14:textId="77777777" w:rsidR="00AA76C7" w:rsidRPr="00F40DC3" w:rsidRDefault="00AA76C7" w:rsidP="00F40DC3">
      <w:pPr>
        <w:pStyle w:val="FootnoteText"/>
        <w:ind w:left="567" w:hanging="567"/>
        <w:rPr>
          <w:sz w:val="24"/>
          <w:lang w:val="pl-PL"/>
        </w:rPr>
      </w:pPr>
      <w:r w:rsidRPr="00F40DC3">
        <w:rPr>
          <w:rStyle w:val="FootnoteReference"/>
          <w:sz w:val="24"/>
          <w:lang w:val="pl-PL"/>
        </w:rPr>
        <w:footnoteRef/>
      </w:r>
      <w:r w:rsidR="00F40DC3" w:rsidRPr="00F40DC3">
        <w:rPr>
          <w:sz w:val="24"/>
          <w:lang w:val="pl-PL"/>
        </w:rPr>
        <w:t xml:space="preserve"> </w:t>
      </w:r>
      <w:r w:rsidR="00F40DC3" w:rsidRPr="00F40DC3">
        <w:rPr>
          <w:sz w:val="24"/>
          <w:lang w:val="pl-PL"/>
        </w:rPr>
        <w:tab/>
      </w:r>
      <w:r w:rsidRPr="00F40DC3">
        <w:rPr>
          <w:sz w:val="24"/>
          <w:lang w:val="pl-PL"/>
        </w:rPr>
        <w:t>Najniższe wskaźniki odnotowano w Irlandii, na Łotwie i na Węgrzech.</w:t>
      </w:r>
    </w:p>
  </w:footnote>
  <w:footnote w:id="13">
    <w:p w14:paraId="115A2215" w14:textId="77777777" w:rsidR="00AA76C7" w:rsidRPr="00F40DC3" w:rsidRDefault="00AA76C7" w:rsidP="00F40DC3">
      <w:pPr>
        <w:pStyle w:val="FootnoteText"/>
        <w:ind w:left="567" w:hanging="567"/>
        <w:rPr>
          <w:sz w:val="24"/>
          <w:lang w:val="pl-PL"/>
        </w:rPr>
      </w:pPr>
      <w:r w:rsidRPr="00F40DC3">
        <w:rPr>
          <w:rStyle w:val="FootnoteReference"/>
          <w:sz w:val="24"/>
          <w:lang w:val="pl-PL"/>
        </w:rPr>
        <w:footnoteRef/>
      </w:r>
      <w:r w:rsidR="00F40DC3" w:rsidRPr="00F40DC3">
        <w:rPr>
          <w:sz w:val="24"/>
          <w:lang w:val="pl-PL"/>
        </w:rPr>
        <w:t xml:space="preserve"> </w:t>
      </w:r>
      <w:r w:rsidR="00F40DC3" w:rsidRPr="00F40DC3">
        <w:rPr>
          <w:sz w:val="24"/>
          <w:lang w:val="pl-PL"/>
        </w:rPr>
        <w:tab/>
      </w:r>
      <w:r w:rsidRPr="00F40DC3">
        <w:rPr>
          <w:sz w:val="24"/>
          <w:lang w:val="pl-PL"/>
        </w:rPr>
        <w:t xml:space="preserve">Europejski Bank Inwestycyjny, </w:t>
      </w:r>
      <w:hyperlink r:id="rId10" w:history="1">
        <w:r w:rsidRPr="00F40DC3">
          <w:rPr>
            <w:rStyle w:val="Hyperlink"/>
            <w:i/>
            <w:sz w:val="24"/>
            <w:lang w:val="pl-PL"/>
          </w:rPr>
          <w:t xml:space="preserve">European Investment Bank Climate Action and Environmental Sustainability– List of eligible sectors and eligibility criteria </w:t>
        </w:r>
      </w:hyperlink>
      <w:r w:rsidRPr="00F40DC3">
        <w:rPr>
          <w:sz w:val="24"/>
          <w:lang w:val="pl-PL"/>
        </w:rPr>
        <w:t xml:space="preserve"> [Działania EBI na rzecz klimatu i zrównoważony rozwój środowiskowy: wykaz kwalifikujących się sektorów oraz kryteria kwalifikowalności]</w:t>
      </w:r>
      <w:r w:rsidRPr="00F40DC3">
        <w:rPr>
          <w:i/>
          <w:sz w:val="24"/>
          <w:lang w:val="pl-PL"/>
        </w:rPr>
        <w:t xml:space="preserve">, </w:t>
      </w:r>
      <w:r w:rsidRPr="00F40DC3">
        <w:rPr>
          <w:sz w:val="24"/>
          <w:lang w:val="pl-PL"/>
        </w:rPr>
        <w:t>2024.</w:t>
      </w:r>
    </w:p>
  </w:footnote>
  <w:footnote w:id="14">
    <w:p w14:paraId="49DA43D0" w14:textId="77777777" w:rsidR="00AA76C7" w:rsidRPr="00F40DC3" w:rsidRDefault="00AA76C7" w:rsidP="00F40DC3">
      <w:pPr>
        <w:pStyle w:val="FootnoteText"/>
        <w:ind w:left="567" w:hanging="567"/>
        <w:rPr>
          <w:sz w:val="24"/>
          <w:lang w:val="pl-PL"/>
        </w:rPr>
      </w:pPr>
      <w:r w:rsidRPr="00F40DC3">
        <w:rPr>
          <w:rStyle w:val="FootnoteReference"/>
          <w:sz w:val="24"/>
          <w:lang w:val="pl-PL"/>
        </w:rPr>
        <w:footnoteRef/>
      </w:r>
      <w:r w:rsidR="00F40DC3" w:rsidRPr="00F40DC3">
        <w:rPr>
          <w:sz w:val="24"/>
          <w:lang w:val="pl-PL"/>
        </w:rPr>
        <w:t xml:space="preserve"> </w:t>
      </w:r>
      <w:r w:rsidR="00F40DC3" w:rsidRPr="00F40DC3">
        <w:rPr>
          <w:sz w:val="24"/>
          <w:lang w:val="pl-PL"/>
        </w:rPr>
        <w:tab/>
      </w:r>
      <w:r w:rsidRPr="00F40DC3">
        <w:rPr>
          <w:sz w:val="24"/>
          <w:lang w:val="pl-PL"/>
        </w:rPr>
        <w:t xml:space="preserve">Grupa Europejskiego Banku Inwestycyjnego, </w:t>
      </w:r>
      <w:hyperlink r:id="rId11" w:history="1">
        <w:r w:rsidRPr="00F40DC3">
          <w:rPr>
            <w:rStyle w:val="Hyperlink"/>
            <w:i/>
            <w:sz w:val="24"/>
            <w:lang w:val="pl-PL"/>
          </w:rPr>
          <w:t>Paris Alignment Framework – Low carbon</w:t>
        </w:r>
      </w:hyperlink>
      <w:r w:rsidRPr="00F40DC3">
        <w:rPr>
          <w:sz w:val="24"/>
          <w:lang w:val="pl-PL"/>
        </w:rPr>
        <w:t xml:space="preserve"> [Ramowe zasady zgodności z Porozumieniem Paryskim – niskoemisyjność], wersja 1.1, 2023 r.; Grupa Europejskiego Banku Inwestycyjnego, </w:t>
      </w:r>
      <w:hyperlink r:id="rId12" w:history="1">
        <w:r w:rsidRPr="00F40DC3">
          <w:rPr>
            <w:rStyle w:val="Hyperlink"/>
            <w:i/>
            <w:sz w:val="24"/>
            <w:lang w:val="pl-PL"/>
          </w:rPr>
          <w:t>EIB Group Climate Bank Roadmap 2021-2025</w:t>
        </w:r>
      </w:hyperlink>
      <w:r w:rsidRPr="00F40DC3">
        <w:rPr>
          <w:sz w:val="24"/>
          <w:lang w:val="pl-PL"/>
        </w:rPr>
        <w:t xml:space="preserve"> [Plan działania grupy EBI w roli banku klimatycznego na lata 2021–2025], listopad 2020 r.</w:t>
      </w:r>
    </w:p>
  </w:footnote>
  <w:footnote w:id="15">
    <w:p w14:paraId="556867A4" w14:textId="77777777" w:rsidR="00AA76C7" w:rsidRPr="00F40DC3" w:rsidRDefault="00AA76C7" w:rsidP="00F40DC3">
      <w:pPr>
        <w:pStyle w:val="FootnoteText"/>
        <w:ind w:left="567" w:hanging="567"/>
        <w:rPr>
          <w:sz w:val="24"/>
          <w:lang w:val="pl-PL"/>
        </w:rPr>
      </w:pPr>
      <w:r w:rsidRPr="00F40DC3">
        <w:rPr>
          <w:rStyle w:val="FootnoteReference"/>
          <w:sz w:val="24"/>
          <w:lang w:val="pl-PL"/>
        </w:rPr>
        <w:footnoteRef/>
      </w:r>
      <w:r w:rsidR="00F40DC3" w:rsidRPr="00F40DC3">
        <w:rPr>
          <w:rStyle w:val="normaltextrun"/>
          <w:color w:val="000000"/>
          <w:sz w:val="24"/>
          <w:shd w:val="clear" w:color="auto" w:fill="FFFFFF"/>
          <w:lang w:val="pl-PL"/>
        </w:rPr>
        <w:t xml:space="preserve"> </w:t>
      </w:r>
      <w:r w:rsidR="00F40DC3" w:rsidRPr="00F40DC3">
        <w:rPr>
          <w:rStyle w:val="normaltextrun"/>
          <w:color w:val="000000"/>
          <w:sz w:val="24"/>
          <w:shd w:val="clear" w:color="auto" w:fill="FFFFFF"/>
          <w:lang w:val="pl-PL"/>
        </w:rPr>
        <w:tab/>
      </w:r>
      <w:r w:rsidRPr="00F40DC3">
        <w:rPr>
          <w:rStyle w:val="normaltextrun"/>
          <w:color w:val="000000"/>
          <w:sz w:val="24"/>
          <w:shd w:val="clear" w:color="auto" w:fill="FFFFFF"/>
          <w:lang w:val="pl-PL"/>
        </w:rPr>
        <w:t xml:space="preserve">Rozporządzenie Parlamentu Europejskiego i Rady (UE) 2023/2631 z dnia 22 listopada 2023 r. w sprawie europejskich zielonych obligacji oraz opcjonalnego ujawniania informacji na temat obligacji wprowadzanych do obrotu jako zrównoważone środowiskowo i obligacji powiązanych ze zrównoważonym rozwojem (Dz.U. L, 2023/2631, 30.11.2023, ELI: </w:t>
      </w:r>
      <w:hyperlink r:id="rId13" w:history="1">
        <w:r w:rsidRPr="00F40DC3">
          <w:rPr>
            <w:rStyle w:val="Hyperlink"/>
            <w:sz w:val="24"/>
            <w:shd w:val="clear" w:color="auto" w:fill="FFFFFF"/>
            <w:lang w:val="pl-PL"/>
          </w:rPr>
          <w:t>http://data.europa.eu/eli/reg/2023/2631/oj</w:t>
        </w:r>
      </w:hyperlink>
      <w:r w:rsidRPr="00F40DC3">
        <w:rPr>
          <w:rStyle w:val="normaltextrun"/>
          <w:color w:val="000000"/>
          <w:sz w:val="24"/>
          <w:shd w:val="clear" w:color="auto" w:fill="FFFFFF"/>
          <w:lang w:val="pl-PL"/>
        </w:rPr>
        <w:t>).</w:t>
      </w:r>
    </w:p>
  </w:footnote>
  <w:footnote w:id="16">
    <w:p w14:paraId="215CD9B1" w14:textId="77777777" w:rsidR="00AA76C7" w:rsidRPr="00F40DC3" w:rsidRDefault="00AA76C7" w:rsidP="00F40DC3">
      <w:pPr>
        <w:pStyle w:val="FootnoteText"/>
        <w:ind w:left="567" w:hanging="567"/>
        <w:rPr>
          <w:sz w:val="24"/>
          <w:lang w:val="pl-PL"/>
        </w:rPr>
      </w:pPr>
      <w:r w:rsidRPr="00F40DC3">
        <w:rPr>
          <w:rStyle w:val="FootnoteReference"/>
          <w:sz w:val="24"/>
          <w:lang w:val="pl-PL"/>
        </w:rPr>
        <w:footnoteRef/>
      </w:r>
      <w:r w:rsidR="00F40DC3" w:rsidRPr="00F40DC3">
        <w:rPr>
          <w:sz w:val="24"/>
          <w:lang w:val="pl-PL"/>
        </w:rPr>
        <w:t xml:space="preserve"> </w:t>
      </w:r>
      <w:r w:rsidR="00F40DC3" w:rsidRPr="00F40DC3">
        <w:rPr>
          <w:sz w:val="24"/>
          <w:lang w:val="pl-PL"/>
        </w:rPr>
        <w:tab/>
      </w:r>
      <w:r w:rsidRPr="00F40DC3">
        <w:rPr>
          <w:sz w:val="24"/>
          <w:lang w:val="pl-PL"/>
        </w:rPr>
        <w:t>Pismo prezes EBI Nadii Calviño do przywódców UE z 4 marca 2025 r.</w:t>
      </w:r>
    </w:p>
  </w:footnote>
  <w:footnote w:id="17">
    <w:p w14:paraId="02183059" w14:textId="77777777" w:rsidR="00AA76C7" w:rsidRPr="00F40DC3" w:rsidRDefault="00AA76C7" w:rsidP="000866C7">
      <w:pPr>
        <w:pStyle w:val="CommentText"/>
        <w:ind w:left="567" w:hanging="567"/>
        <w:rPr>
          <w:sz w:val="24"/>
        </w:rPr>
      </w:pPr>
      <w:r w:rsidRPr="00F40DC3">
        <w:rPr>
          <w:rStyle w:val="FootnoteReference"/>
          <w:sz w:val="24"/>
        </w:rPr>
        <w:footnoteRef/>
      </w:r>
      <w:r w:rsidR="00F40DC3" w:rsidRPr="00F40DC3">
        <w:rPr>
          <w:sz w:val="24"/>
        </w:rPr>
        <w:t xml:space="preserve"> </w:t>
      </w:r>
      <w:r w:rsidR="00F40DC3" w:rsidRPr="00F40DC3">
        <w:rPr>
          <w:sz w:val="24"/>
        </w:rPr>
        <w:tab/>
      </w:r>
      <w:r w:rsidRPr="00F40DC3">
        <w:rPr>
          <w:sz w:val="24"/>
        </w:rPr>
        <w:t>Tibi, P., ‘</w:t>
      </w:r>
      <w:hyperlink r:id="rId14" w:history="1">
        <w:r w:rsidRPr="00F40DC3">
          <w:rPr>
            <w:rStyle w:val="Hyperlink"/>
            <w:sz w:val="24"/>
          </w:rPr>
          <w:t>Financing the Fourth Industrial Revolution – Solving the financing grid-lock for technology companies</w:t>
        </w:r>
      </w:hyperlink>
      <w:r w:rsidRPr="00F40DC3">
        <w:rPr>
          <w:sz w:val="24"/>
        </w:rPr>
        <w:t xml:space="preserve">’ [Finansowanie czwartej rewolucji przemysłowej – rozwiązanie impasu finansowego przedsiębiorstw technologicznych], francuskie Ministerstwo Gospodarki i Finansów, lipiec 2019 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9516F" w14:textId="77777777" w:rsidR="00064002" w:rsidRPr="00F40D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6075C" w14:textId="77777777" w:rsidR="00064002" w:rsidRPr="00F40D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EBC73" w14:textId="77777777" w:rsidR="00064002" w:rsidRPr="00F40D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2/2025"/>
    <w:docVar w:name="dvlangue" w:val="PL"/>
    <w:docVar w:name="dvnumam" w:val="45"/>
    <w:docVar w:name="dvpe" w:val="770.192"/>
    <w:docVar w:name="dvrapporteur" w:val="Sprawozdawca: "/>
    <w:docVar w:name="dvstar" w:val="??"/>
    <w:docVar w:name="dvtitre" w:val="Rezolucja Parlamentu Europejskiego z dnia  2025 r. w sprawie sprawozdania rocznego z działalności finansowej Europejskiego Banku Inwestycyjnego za rok 2024(2024/2053(INI))"/>
  </w:docVars>
  <w:rsids>
    <w:rsidRoot w:val="00410CFD"/>
    <w:rsid w:val="00002272"/>
    <w:rsid w:val="00064002"/>
    <w:rsid w:val="000677B9"/>
    <w:rsid w:val="000831BA"/>
    <w:rsid w:val="000866C7"/>
    <w:rsid w:val="000A42CC"/>
    <w:rsid w:val="000E7DD9"/>
    <w:rsid w:val="0010095E"/>
    <w:rsid w:val="00125B37"/>
    <w:rsid w:val="00187494"/>
    <w:rsid w:val="001F32AE"/>
    <w:rsid w:val="00202F76"/>
    <w:rsid w:val="002767FF"/>
    <w:rsid w:val="002B18FE"/>
    <w:rsid w:val="002B5493"/>
    <w:rsid w:val="00343214"/>
    <w:rsid w:val="00361C00"/>
    <w:rsid w:val="00395FA1"/>
    <w:rsid w:val="003E15D4"/>
    <w:rsid w:val="00410CFD"/>
    <w:rsid w:val="00411CCE"/>
    <w:rsid w:val="0041666E"/>
    <w:rsid w:val="00421060"/>
    <w:rsid w:val="00435D7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D9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158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76C7"/>
    <w:rsid w:val="00AB441E"/>
    <w:rsid w:val="00AB6293"/>
    <w:rsid w:val="00AE0928"/>
    <w:rsid w:val="00AF3B82"/>
    <w:rsid w:val="00B12E95"/>
    <w:rsid w:val="00B22876"/>
    <w:rsid w:val="00B558F0"/>
    <w:rsid w:val="00B9078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DC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C26F54"/>
  <w15:chartTrackingRefBased/>
  <w15:docId w15:val="{F446E775-7287-4DEF-B28A-3239985DF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A76C7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AA76C7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AA76C7"/>
    <w:rPr>
      <w:b/>
      <w:i/>
      <w:u w:val="none"/>
    </w:rPr>
  </w:style>
  <w:style w:type="character" w:customStyle="1" w:styleId="Italic">
    <w:name w:val="Italic"/>
    <w:uiPriority w:val="1"/>
    <w:rsid w:val="00AA76C7"/>
    <w:rPr>
      <w:i/>
    </w:rPr>
  </w:style>
  <w:style w:type="paragraph" w:customStyle="1" w:styleId="Normal12a24b">
    <w:name w:val="Normal12a24b"/>
    <w:basedOn w:val="Normal"/>
    <w:rsid w:val="00AA76C7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AA76C7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AA76C7"/>
  </w:style>
  <w:style w:type="character" w:customStyle="1" w:styleId="tabchar">
    <w:name w:val="tabchar"/>
    <w:basedOn w:val="DefaultParagraphFont"/>
    <w:rsid w:val="00AA76C7"/>
  </w:style>
  <w:style w:type="character" w:customStyle="1" w:styleId="eop">
    <w:name w:val="eop"/>
    <w:basedOn w:val="DefaultParagraphFont"/>
    <w:rsid w:val="00AA76C7"/>
  </w:style>
  <w:style w:type="paragraph" w:styleId="CommentText">
    <w:name w:val="annotation text"/>
    <w:basedOn w:val="Normal"/>
    <w:link w:val="CommentTextChar"/>
    <w:unhideWhenUsed/>
    <w:rsid w:val="00AA76C7"/>
    <w:pPr>
      <w:snapToGrid w:val="0"/>
    </w:pPr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AA76C7"/>
    <w:rPr>
      <w:lang w:val="pl-PL" w:eastAsia="en-US"/>
    </w:rPr>
  </w:style>
  <w:style w:type="paragraph" w:styleId="Revision">
    <w:name w:val="Revision"/>
    <w:hidden/>
    <w:uiPriority w:val="99"/>
    <w:semiHidden/>
    <w:rsid w:val="00202F76"/>
    <w:rPr>
      <w:sz w:val="24"/>
      <w:lang w:val="pl-PL"/>
    </w:rPr>
  </w:style>
  <w:style w:type="character" w:styleId="FollowedHyperlink">
    <w:name w:val="FollowedHyperlink"/>
    <w:basedOn w:val="DefaultParagraphFont"/>
    <w:rsid w:val="00775D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795/oj" TargetMode="External"/><Relationship Id="rId13" Type="http://schemas.openxmlformats.org/officeDocument/2006/relationships/hyperlink" Target="http://data.europa.eu/eli/reg/2023/2631/oj" TargetMode="External"/><Relationship Id="rId3" Type="http://schemas.openxmlformats.org/officeDocument/2006/relationships/hyperlink" Target="http://data.europa.eu/eli/reg/2021/241/oj" TargetMode="External"/><Relationship Id="rId7" Type="http://schemas.openxmlformats.org/officeDocument/2006/relationships/hyperlink" Target="http://data.europa.eu/eli/reg/2021/1229/oj" TargetMode="External"/><Relationship Id="rId12" Type="http://schemas.openxmlformats.org/officeDocument/2006/relationships/hyperlink" Target="https://www.eib.org/files/publications/thematic/eib_group_climate_bank_roadmap_en.pdf" TargetMode="External"/><Relationship Id="rId2" Type="http://schemas.openxmlformats.org/officeDocument/2006/relationships/hyperlink" Target="https://data.europa.eu/doi/10.2889/698738" TargetMode="External"/><Relationship Id="rId1" Type="http://schemas.openxmlformats.org/officeDocument/2006/relationships/hyperlink" Target="http://data.europa.eu/eli/dec/2025/504/oj" TargetMode="External"/><Relationship Id="rId6" Type="http://schemas.openxmlformats.org/officeDocument/2006/relationships/hyperlink" Target="http://data.europa.eu/eli/reg/2021/1056/oj" TargetMode="External"/><Relationship Id="rId11" Type="http://schemas.openxmlformats.org/officeDocument/2006/relationships/hyperlink" Target="https://www.eib.org/attachments/lucalli/20230342_paris_alignment_framework_low_carbon_v1_1_en.pdf" TargetMode="External"/><Relationship Id="rId5" Type="http://schemas.openxmlformats.org/officeDocument/2006/relationships/hyperlink" Target="http://data.europa.eu/eli/reg/2021/947/oj" TargetMode="External"/><Relationship Id="rId10" Type="http://schemas.openxmlformats.org/officeDocument/2006/relationships/hyperlink" Target="https://www.eib.org/attachments/lucalli/20240166_climate_action_eligibility_list_en.pdf" TargetMode="External"/><Relationship Id="rId4" Type="http://schemas.openxmlformats.org/officeDocument/2006/relationships/hyperlink" Target="http://data.europa.eu/eli/reg/2021/523/oj" TargetMode="External"/><Relationship Id="rId9" Type="http://schemas.openxmlformats.org/officeDocument/2006/relationships/hyperlink" Target="https://ec.europa.eu/commission/presscorner/detail/en/statement_24_2148" TargetMode="External"/><Relationship Id="rId14" Type="http://schemas.openxmlformats.org/officeDocument/2006/relationships/hyperlink" Target="https://minefi.hosting.augure.com/Augure_Minefi/r/ContenuEnLigne/Download?id=64E9EE59-8C0E-42E1-950F-1E0A25C80029&amp;filename=Rapport%20Tibi%20-%20EN%20-%20Financing%20the%20fourth%20industrial%20revolu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BD316-50D2-4EA7-8558-395303A67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7913</Words>
  <Characters>53050</Characters>
  <Application>Microsoft Office Word</Application>
  <DocSecurity>0</DocSecurity>
  <Lines>442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4</cp:revision>
  <cp:lastPrinted>2004-11-19T15:42:00Z</cp:lastPrinted>
  <dcterms:created xsi:type="dcterms:W3CDTF">2025-07-08T12:49:00Z</dcterms:created>
  <dcterms:modified xsi:type="dcterms:W3CDTF">2025-07-19T10:12:00Z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A10-0112/2025</vt:lpwstr>
  </property>
  <property fmtid="{D5CDD505-2E9C-101B-9397-08002B2CF9AE}" pid="4" name="&lt;Type&gt;">
    <vt:lpwstr>RR</vt:lpwstr>
  </property>
</Properties>
</file>