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16ED" w14:paraId="6479932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C02E16" w14:textId="77777777" w:rsidR="00751A4A" w:rsidRPr="001516ED" w:rsidRDefault="009C61B7" w:rsidP="0010095E">
            <w:pPr>
              <w:pStyle w:val="EPName"/>
            </w:pPr>
            <w:r w:rsidRPr="001516ED">
              <w:t>Parlamento Europeu</w:t>
            </w:r>
          </w:p>
          <w:p w14:paraId="4CB4DDDB" w14:textId="77777777" w:rsidR="00751A4A" w:rsidRPr="001516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16ED">
              <w:t>2024</w:t>
            </w:r>
            <w:r w:rsidR="00817416" w:rsidRPr="001516ED">
              <w:t>-202</w:t>
            </w:r>
            <w:r w:rsidRPr="001516ED">
              <w:t>9</w:t>
            </w:r>
          </w:p>
        </w:tc>
        <w:tc>
          <w:tcPr>
            <w:tcW w:w="2268" w:type="dxa"/>
            <w:shd w:val="clear" w:color="auto" w:fill="auto"/>
          </w:tcPr>
          <w:p w14:paraId="51AFE88F" w14:textId="77777777" w:rsidR="00751A4A" w:rsidRPr="001516ED" w:rsidRDefault="00187494" w:rsidP="0010095E">
            <w:pPr>
              <w:pStyle w:val="EPLogo"/>
            </w:pPr>
            <w:r w:rsidRPr="001516ED">
              <w:rPr>
                <w:noProof/>
                <w:lang w:val="en-GB"/>
              </w:rPr>
              <w:drawing>
                <wp:inline distT="0" distB="0" distL="0" distR="0" wp14:anchorId="1CFEE916" wp14:editId="7A40B95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0F643D" w14:textId="77777777" w:rsidR="00D058B8" w:rsidRPr="001516ED" w:rsidRDefault="00D058B8" w:rsidP="004C5D52">
      <w:pPr>
        <w:pStyle w:val="LineTop"/>
      </w:pPr>
    </w:p>
    <w:p w14:paraId="1485318F" w14:textId="77777777" w:rsidR="00680577" w:rsidRPr="001516ED" w:rsidRDefault="009C61B7" w:rsidP="00680577">
      <w:pPr>
        <w:pStyle w:val="EPBodyTA1"/>
      </w:pPr>
      <w:r w:rsidRPr="001516ED">
        <w:t>TEXTOS APROVADOS</w:t>
      </w:r>
    </w:p>
    <w:p w14:paraId="54CAF3AB" w14:textId="77777777" w:rsidR="00D058B8" w:rsidRPr="001516ED" w:rsidRDefault="00D058B8" w:rsidP="00D058B8">
      <w:pPr>
        <w:pStyle w:val="LineBottom"/>
      </w:pPr>
    </w:p>
    <w:p w14:paraId="08F2D438" w14:textId="23D0BE7E" w:rsidR="009C61B7" w:rsidRPr="001516ED" w:rsidRDefault="009C61B7" w:rsidP="009C61B7">
      <w:pPr>
        <w:pStyle w:val="ATHeading1"/>
      </w:pPr>
      <w:bookmarkStart w:id="0" w:name="TANumber"/>
      <w:r w:rsidRPr="001516ED">
        <w:t>P10_TA(2025)0</w:t>
      </w:r>
      <w:r w:rsidR="001516ED" w:rsidRPr="001516ED">
        <w:t>146</w:t>
      </w:r>
      <w:bookmarkEnd w:id="0"/>
    </w:p>
    <w:p w14:paraId="66C42DCD" w14:textId="77777777" w:rsidR="009C61B7" w:rsidRPr="001516ED" w:rsidRDefault="009C61B7" w:rsidP="009C61B7">
      <w:pPr>
        <w:pStyle w:val="ATHeading2"/>
      </w:pPr>
      <w:bookmarkStart w:id="1" w:name="title"/>
      <w:r w:rsidRPr="001516ED">
        <w:t>Segurança do aprovisionamento energético na UE</w:t>
      </w:r>
      <w:bookmarkEnd w:id="1"/>
    </w:p>
    <w:p w14:paraId="0F1DF9ED" w14:textId="77777777" w:rsidR="009C61B7" w:rsidRPr="001516ED" w:rsidRDefault="009C61B7" w:rsidP="009C61B7">
      <w:pPr>
        <w:rPr>
          <w:i/>
          <w:vanish/>
        </w:rPr>
      </w:pPr>
      <w:r w:rsidRPr="001516ED">
        <w:rPr>
          <w:i/>
        </w:rPr>
        <w:fldChar w:fldCharType="begin"/>
      </w:r>
      <w:r w:rsidRPr="001516ED">
        <w:rPr>
          <w:i/>
        </w:rPr>
        <w:instrText xml:space="preserve"> TC"(</w:instrText>
      </w:r>
      <w:bookmarkStart w:id="2" w:name="DocNumber"/>
      <w:r w:rsidRPr="001516ED">
        <w:rPr>
          <w:i/>
        </w:rPr>
        <w:instrText>A10-0121/2025</w:instrText>
      </w:r>
      <w:bookmarkEnd w:id="2"/>
      <w:r w:rsidRPr="001516ED">
        <w:rPr>
          <w:i/>
        </w:rPr>
        <w:instrText xml:space="preserve"> - Relator: Beata Szydło)"\l3 \n&gt; \* MERGEFORMAT </w:instrText>
      </w:r>
      <w:r w:rsidRPr="001516ED">
        <w:rPr>
          <w:i/>
        </w:rPr>
        <w:fldChar w:fldCharType="end"/>
      </w:r>
    </w:p>
    <w:p w14:paraId="0C09B485" w14:textId="77777777" w:rsidR="009C61B7" w:rsidRPr="001516ED" w:rsidRDefault="009C61B7" w:rsidP="009C61B7">
      <w:pPr>
        <w:rPr>
          <w:vanish/>
        </w:rPr>
      </w:pPr>
      <w:bookmarkStart w:id="3" w:name="Commission"/>
      <w:r w:rsidRPr="001516ED">
        <w:rPr>
          <w:vanish/>
        </w:rPr>
        <w:t>Comissão da Indústria, da Investigação e da Energia</w:t>
      </w:r>
      <w:bookmarkEnd w:id="3"/>
    </w:p>
    <w:p w14:paraId="6B5F075D" w14:textId="77777777" w:rsidR="009C61B7" w:rsidRPr="001516ED" w:rsidRDefault="009C61B7" w:rsidP="009C61B7">
      <w:pPr>
        <w:rPr>
          <w:vanish/>
        </w:rPr>
      </w:pPr>
      <w:bookmarkStart w:id="4" w:name="PE"/>
      <w:r w:rsidRPr="001516ED">
        <w:rPr>
          <w:vanish/>
        </w:rPr>
        <w:t>PE769.948</w:t>
      </w:r>
      <w:bookmarkEnd w:id="4"/>
    </w:p>
    <w:p w14:paraId="37AA6BB4" w14:textId="259E607E" w:rsidR="009C61B7" w:rsidRPr="001516ED" w:rsidRDefault="009C61B7" w:rsidP="009C61B7">
      <w:pPr>
        <w:pStyle w:val="ATHeading3"/>
      </w:pPr>
      <w:bookmarkStart w:id="5" w:name="Sujet"/>
      <w:r w:rsidRPr="001516ED">
        <w:t xml:space="preserve">Resolução do Parlamento Europeu, de </w:t>
      </w:r>
      <w:r w:rsidR="006F6164" w:rsidRPr="001516ED">
        <w:t>8</w:t>
      </w:r>
      <w:r w:rsidRPr="001516ED">
        <w:t xml:space="preserve"> de </w:t>
      </w:r>
      <w:r w:rsidR="006F6164" w:rsidRPr="001516ED">
        <w:t>jul</w:t>
      </w:r>
      <w:r w:rsidR="00503019" w:rsidRPr="001516ED">
        <w:t>ho</w:t>
      </w:r>
      <w:r w:rsidRPr="001516ED">
        <w:t xml:space="preserve"> de 2025, sobre a segurança do aprovisionamento energético na UE</w:t>
      </w:r>
      <w:bookmarkEnd w:id="5"/>
      <w:r w:rsidRPr="001516ED">
        <w:t xml:space="preserve"> </w:t>
      </w:r>
      <w:bookmarkStart w:id="6" w:name="References"/>
      <w:r w:rsidRPr="001516ED">
        <w:t>(2025/2055(INI))</w:t>
      </w:r>
      <w:bookmarkEnd w:id="6"/>
    </w:p>
    <w:p w14:paraId="1FF2A80B" w14:textId="77777777" w:rsidR="007A70F3" w:rsidRPr="001516ED" w:rsidRDefault="007A70F3" w:rsidP="007A70F3">
      <w:pPr>
        <w:pStyle w:val="EPComma"/>
      </w:pPr>
      <w:r w:rsidRPr="001516ED">
        <w:rPr>
          <w:i/>
        </w:rPr>
        <w:t>O Parlamento Europeu</w:t>
      </w:r>
      <w:r w:rsidRPr="001516ED">
        <w:t>,</w:t>
      </w:r>
    </w:p>
    <w:p w14:paraId="3B2564B2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o Tratado sobre o Funcionamento da União Europeia, nomeadamente o artigo 194.º,</w:t>
      </w:r>
    </w:p>
    <w:p w14:paraId="2494CB12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a Diretiva 2009/119/CE do Conselho, de 14 de setembro de 2009, que obriga os Estados-Membros a manterem um nível mínimo de reservas de petróleo bruto e/ou de produtos petrolíferos</w:t>
      </w:r>
      <w:r w:rsidRPr="001516ED">
        <w:rPr>
          <w:rStyle w:val="FootnoteReference"/>
        </w:rPr>
        <w:footnoteReference w:id="1"/>
      </w:r>
      <w:r w:rsidRPr="001516ED">
        <w:t xml:space="preserve"> (Diretiva Reservas de Petróleo),</w:t>
      </w:r>
    </w:p>
    <w:p w14:paraId="7B3F332C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a comunicação da Comissão, de 28 de maio de 2014, intitulada «Estratégia europeia de segurança energética» (COM(2014)0330),</w:t>
      </w:r>
    </w:p>
    <w:p w14:paraId="429B23AF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o Regulamento (UE) 2017/1938 do Parlamento Europeu e do Conselho, de 25 de outubro de 2017, relativo a medidas destinadas a garantir a segurança do aprovisionamento de gás e que revoga o Regulamento (UE) n.º 994/2010</w:t>
      </w:r>
      <w:r w:rsidRPr="001516ED">
        <w:rPr>
          <w:rStyle w:val="FootnoteReference"/>
        </w:rPr>
        <w:footnoteReference w:id="2"/>
      </w:r>
      <w:r w:rsidRPr="001516ED">
        <w:t>,</w:t>
      </w:r>
    </w:p>
    <w:p w14:paraId="54B4BE6C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a Diretiva (UE) 2019/944 do Parlamento Europeu e do Conselho, de 5 de junho de 2019, relativa a regras comuns para o mercado interno da eletricidade e que altera a Diretiva 2012/27/UE</w:t>
      </w:r>
      <w:r w:rsidRPr="001516ED">
        <w:rPr>
          <w:rStyle w:val="FootnoteReference"/>
        </w:rPr>
        <w:footnoteReference w:id="3"/>
      </w:r>
      <w:r w:rsidRPr="001516ED">
        <w:t>,</w:t>
      </w:r>
    </w:p>
    <w:p w14:paraId="34FA2ADF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o Regulamento (UE) 2019/943 do Parlamento Europeu e do Conselho, de 5 de junho de 2019, relativo ao mercado interno da eletricidade</w:t>
      </w:r>
      <w:r w:rsidRPr="001516ED">
        <w:rPr>
          <w:rStyle w:val="FootnoteReference"/>
        </w:rPr>
        <w:footnoteReference w:id="4"/>
      </w:r>
      <w:r w:rsidRPr="001516ED">
        <w:t>,</w:t>
      </w:r>
    </w:p>
    <w:p w14:paraId="7C4B8D97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o Regulamento (UE) 2019/941 do Parlamento Europeu e do Conselho, de 5 de junho de 2019, relativo à preparação para riscos no setor da eletricidade e que revoga a Diretiva 2005/89/CE</w:t>
      </w:r>
      <w:r w:rsidRPr="001516ED">
        <w:rPr>
          <w:rStyle w:val="FootnoteReference"/>
        </w:rPr>
        <w:footnoteReference w:id="5"/>
      </w:r>
      <w:r w:rsidRPr="001516ED">
        <w:t>,</w:t>
      </w:r>
    </w:p>
    <w:p w14:paraId="7983DF3A" w14:textId="0D51873C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 xml:space="preserve">Tendo em conta a </w:t>
      </w:r>
      <w:r w:rsidR="006F6164" w:rsidRPr="001516ED">
        <w:t>c</w:t>
      </w:r>
      <w:r w:rsidRPr="001516ED">
        <w:t xml:space="preserve">omunicação da Comissão, de 11 de dezembro de 2019, intitulada </w:t>
      </w:r>
      <w:r w:rsidRPr="001516ED">
        <w:lastRenderedPageBreak/>
        <w:t>«Pacto Ecológico Europeu» (COM(2019)0640),</w:t>
      </w:r>
    </w:p>
    <w:p w14:paraId="53179A32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a comunicação da Comissão, de 8 de julho de 2020, intitulada «Potenciar uma Economia com Impacto Neutro no Clima: Estratégia da UE para a Integração do Sistema Energético» (COM(2020)0299),</w:t>
      </w:r>
    </w:p>
    <w:p w14:paraId="4B83602E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o Regulamento (UE) 2021/1153 do Parlamento Europeu e do Conselho, de 7 de julho de 2021, que cria o Mecanismo Interligar a Europa e revoga os Regulamentos (UE) n.º 1316/2013 e (UE) n.º 283/2014</w:t>
      </w:r>
      <w:r w:rsidRPr="001516ED">
        <w:rPr>
          <w:rStyle w:val="FootnoteReference"/>
        </w:rPr>
        <w:footnoteReference w:id="6"/>
      </w:r>
      <w:r w:rsidRPr="001516ED">
        <w:t>,</w:t>
      </w:r>
    </w:p>
    <w:p w14:paraId="0A0DB3C2" w14:textId="77777777" w:rsidR="007A70F3" w:rsidRPr="001516ED" w:rsidRDefault="007A70F3" w:rsidP="007A70F3">
      <w:pPr>
        <w:spacing w:after="240"/>
        <w:ind w:left="567" w:hanging="567"/>
      </w:pPr>
      <w:r w:rsidRPr="001516ED">
        <w:t>–</w:t>
      </w:r>
      <w:r w:rsidRPr="001516ED">
        <w:tab/>
        <w:t>Tendo em conta o Regulamento (UE) 2021/1119 do Parlamento Europeu e do Conselho, de 30 de junho de 2021, que cria o regime para alcançar a neutralidade climática e que altera os Regulamentos (CE) n.º 401/2009 e (UE) 2018/1999 («Lei europeia em matéria de clima»)</w:t>
      </w:r>
      <w:r w:rsidRPr="001516ED">
        <w:rPr>
          <w:rStyle w:val="FootnoteReference"/>
        </w:rPr>
        <w:footnoteReference w:id="7"/>
      </w:r>
      <w:r w:rsidRPr="001516ED">
        <w:t>,</w:t>
      </w:r>
    </w:p>
    <w:p w14:paraId="4AB5D44C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o Regulamento (UE) 2022/869 do Parlamento Europeu e do Conselho, de 30 de maio de 2022, relativo às orientações para as infraestruturas energéticas transeuropeias, que altera os Regulamentos (CE) n.º 715/2009, (UE) 2019/942 e (UE) 2019/943 e as Diretivas 2009/73/CE e (UE) 2019/944 e que revoga o Regulamento (UE) n.º 347/2013</w:t>
      </w:r>
      <w:r w:rsidRPr="001516ED">
        <w:rPr>
          <w:rStyle w:val="FootnoteReference"/>
        </w:rPr>
        <w:footnoteReference w:id="8"/>
      </w:r>
      <w:r w:rsidRPr="001516ED">
        <w:t>,</w:t>
      </w:r>
    </w:p>
    <w:p w14:paraId="3C9E31A4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a comunicação conjunta da Comissão e da Alta Representante da União para os Negócios Estrangeiros e a Política de Segurança, de 18 de maio de 2022, intitulada «Ação externa da UE no domínio da energia num mundo em mudança» (JOIN(2022)0023),</w:t>
      </w:r>
    </w:p>
    <w:p w14:paraId="1BE325BD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 xml:space="preserve">Tendo em conta a comunicação da Comissão, de 18 de maio de 2022, intitulada «Plano </w:t>
      </w:r>
      <w:proofErr w:type="spellStart"/>
      <w:r w:rsidRPr="001516ED">
        <w:t>REPowerEU</w:t>
      </w:r>
      <w:proofErr w:type="spellEnd"/>
      <w:r w:rsidRPr="001516ED">
        <w:t>» (COM(2022)0230),</w:t>
      </w:r>
    </w:p>
    <w:p w14:paraId="742B903C" w14:textId="0BBDB05D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 xml:space="preserve">Tendo em conta a comunicação da Comissão, de 18 de outubro de 2022, intitulada «Digitalizar o sistema energético </w:t>
      </w:r>
      <w:r w:rsidR="00CF1A6E" w:rsidRPr="001516ED">
        <w:t>–</w:t>
      </w:r>
      <w:r w:rsidRPr="001516ED">
        <w:t xml:space="preserve"> plano de ação da UE» (COM(2022)0552),</w:t>
      </w:r>
    </w:p>
    <w:p w14:paraId="46494010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o relatório de avaliação final do Grupo de Trabalho UE-OTAN sobre a resiliência das infraestruturas críticas, publicado em junho de 2023,</w:t>
      </w:r>
    </w:p>
    <w:p w14:paraId="032B7FCE" w14:textId="07238FAB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a Diretiva (UE) 2023/1791 do Parlamento Europeu e do Conselho, de 13 de setembro de 2023, relativa à eficiência energética e que altera o Regulamento (UE) 2023/955</w:t>
      </w:r>
      <w:r w:rsidRPr="001516ED">
        <w:rPr>
          <w:rStyle w:val="FootnoteReference"/>
        </w:rPr>
        <w:footnoteReference w:id="9"/>
      </w:r>
      <w:r w:rsidRPr="001516ED">
        <w:t xml:space="preserve"> (Diretiva Eficiência Energética),</w:t>
      </w:r>
    </w:p>
    <w:p w14:paraId="36D2BB15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o relatório anual de 2023 da Agência de Aprovisionamento da Euratom,</w:t>
      </w:r>
    </w:p>
    <w:p w14:paraId="4D5FE5C7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 xml:space="preserve">Tendo em conta a Diretiva (UE) 2023/2413 do Parlamento Europeu e do Conselho, de 18 de outubro de 2023, que altera a Diretiva (UE) 2018/2001, o Regulamento (UE) 2018/1999 e a Diretiva 98/70/CE no que respeita à promoção de energia de fontes renováveis e que revoga a Diretiva (UE) 2015/652 do Conselho (Diretiva Energias </w:t>
      </w:r>
      <w:r w:rsidRPr="001516ED">
        <w:lastRenderedPageBreak/>
        <w:t>Renováveis)</w:t>
      </w:r>
      <w:r w:rsidRPr="001516ED">
        <w:rPr>
          <w:rStyle w:val="FootnoteReference"/>
        </w:rPr>
        <w:footnoteReference w:id="10"/>
      </w:r>
      <w:r w:rsidRPr="001516ED">
        <w:t>,</w:t>
      </w:r>
    </w:p>
    <w:p w14:paraId="72FEE945" w14:textId="7A4B493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a Diretiva (UE) 2024/1788 do Parlamento Europeu e do Conselho, de 13 de junho de 2024, relativa a regras comuns para os mercados internos do gás renovável, do gás natural e do hidrogénio, que altera a Diretiva (UE) 2023/1791 e revoga a Diretiva 2009/73/CE</w:t>
      </w:r>
      <w:r w:rsidRPr="001516ED">
        <w:rPr>
          <w:rStyle w:val="FootnoteReference"/>
        </w:rPr>
        <w:footnoteReference w:id="11"/>
      </w:r>
      <w:r w:rsidRPr="001516ED">
        <w:t>,</w:t>
      </w:r>
    </w:p>
    <w:p w14:paraId="3847DE13" w14:textId="2AD56A41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o Regulamento (UE) 2024/1789 do Parlamento Europeu e do Conselho</w:t>
      </w:r>
      <w:r w:rsidR="00282E86" w:rsidRPr="001516ED">
        <w:t>, de 13 de junho de 2024,</w:t>
      </w:r>
      <w:r w:rsidRPr="001516ED">
        <w:t xml:space="preserve"> relativo aos mercados internos do gás renovável, do gás natural e do hidrogénio, que altera os Regulamentos (UE) n.º 1227/2011, (UE) 2017/1938, (UE) 2019/942 e (UE) 2022/869 e a Decisão (UE) 2017/684 e que revoga o Regulamento (CE) n.º 715/2009</w:t>
      </w:r>
      <w:r w:rsidRPr="001516ED">
        <w:rPr>
          <w:rStyle w:val="FootnoteReference"/>
        </w:rPr>
        <w:footnoteReference w:id="12"/>
      </w:r>
      <w:r w:rsidRPr="001516ED">
        <w:t>,</w:t>
      </w:r>
    </w:p>
    <w:p w14:paraId="381F48DB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o Regulamento (UE) 2024/1787 do Parlamento Europeu e do Conselho, de 13 de junho de 2024, relativo à redução das emissões de metano no setor da energia e que altera o Regulamento (UE) 2019/942</w:t>
      </w:r>
      <w:r w:rsidRPr="001516ED">
        <w:rPr>
          <w:rStyle w:val="FootnoteReference"/>
        </w:rPr>
        <w:footnoteReference w:id="13"/>
      </w:r>
      <w:r w:rsidRPr="001516ED">
        <w:t>,</w:t>
      </w:r>
    </w:p>
    <w:p w14:paraId="233ADE1D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a Diretiva (UE) 2024/1711 do Parlamento Europeu e do Conselho, de 13 de junho de 2024, que altera as Diretivas (UE) 2018/2001 e (UE) 2019/944 no que diz respeito à melhoria da configuração do mercado da eletricidade da União</w:t>
      </w:r>
      <w:r w:rsidRPr="001516ED">
        <w:rPr>
          <w:rStyle w:val="FootnoteReference"/>
        </w:rPr>
        <w:footnoteReference w:id="14"/>
      </w:r>
      <w:r w:rsidRPr="001516ED">
        <w:t>,</w:t>
      </w:r>
    </w:p>
    <w:p w14:paraId="2467CF3C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o Regulamento (UE) 2024/1747 do Parlamento Europeu e do Conselho, de 13 de junho de 2024, que altera os Regulamentos (UE) 2019/942 e (UE) 2019/943 no que diz respeito à melhoria da configuração do mercado da eletricidade da União (Regulamento Configuração do Mercado de Eletricidade (CME))</w:t>
      </w:r>
      <w:r w:rsidRPr="001516ED">
        <w:rPr>
          <w:rStyle w:val="FootnoteReference"/>
        </w:rPr>
        <w:footnoteReference w:id="15"/>
      </w:r>
      <w:r w:rsidRPr="001516ED">
        <w:t>,</w:t>
      </w:r>
    </w:p>
    <w:p w14:paraId="3D85FC53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a Resolução, de 14 de novembro de 2024, sobre as ações da UE contra a «frota-fantasma» russa e a garantia de uma aplicação integral das sanções contra a Rússia</w:t>
      </w:r>
      <w:r w:rsidRPr="001516ED">
        <w:rPr>
          <w:rStyle w:val="FootnoteReference"/>
        </w:rPr>
        <w:footnoteReference w:id="16"/>
      </w:r>
      <w:r w:rsidRPr="001516ED">
        <w:t>,</w:t>
      </w:r>
    </w:p>
    <w:p w14:paraId="582DD996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 xml:space="preserve">Tendo em conta o relatório de </w:t>
      </w:r>
      <w:proofErr w:type="spellStart"/>
      <w:r w:rsidRPr="001516ED">
        <w:t>Sauli</w:t>
      </w:r>
      <w:proofErr w:type="spellEnd"/>
      <w:r w:rsidRPr="001516ED">
        <w:t xml:space="preserve"> Niinistö intitulado «</w:t>
      </w:r>
      <w:proofErr w:type="spellStart"/>
      <w:r w:rsidRPr="001516ED">
        <w:t>Safer</w:t>
      </w:r>
      <w:proofErr w:type="spellEnd"/>
      <w:r w:rsidRPr="001516ED">
        <w:t xml:space="preserve"> </w:t>
      </w:r>
      <w:proofErr w:type="spellStart"/>
      <w:r w:rsidRPr="001516ED">
        <w:t>together</w:t>
      </w:r>
      <w:proofErr w:type="spellEnd"/>
      <w:r w:rsidRPr="001516ED">
        <w:t xml:space="preserve"> –– </w:t>
      </w:r>
      <w:proofErr w:type="spellStart"/>
      <w:r w:rsidRPr="001516ED">
        <w:t>strengthening</w:t>
      </w:r>
      <w:proofErr w:type="spellEnd"/>
      <w:r w:rsidRPr="001516ED">
        <w:t xml:space="preserve"> </w:t>
      </w:r>
      <w:proofErr w:type="spellStart"/>
      <w:r w:rsidRPr="001516ED">
        <w:t>Europe’s</w:t>
      </w:r>
      <w:proofErr w:type="spellEnd"/>
      <w:r w:rsidRPr="001516ED">
        <w:t xml:space="preserve"> </w:t>
      </w:r>
      <w:proofErr w:type="spellStart"/>
      <w:r w:rsidRPr="001516ED">
        <w:t>civilian</w:t>
      </w:r>
      <w:proofErr w:type="spellEnd"/>
      <w:r w:rsidRPr="001516ED">
        <w:t xml:space="preserve"> </w:t>
      </w:r>
      <w:proofErr w:type="spellStart"/>
      <w:r w:rsidRPr="001516ED">
        <w:t>and</w:t>
      </w:r>
      <w:proofErr w:type="spellEnd"/>
      <w:r w:rsidRPr="001516ED">
        <w:t xml:space="preserve"> </w:t>
      </w:r>
      <w:proofErr w:type="spellStart"/>
      <w:r w:rsidRPr="001516ED">
        <w:t>military</w:t>
      </w:r>
      <w:proofErr w:type="spellEnd"/>
      <w:r w:rsidRPr="001516ED">
        <w:t xml:space="preserve"> </w:t>
      </w:r>
      <w:proofErr w:type="spellStart"/>
      <w:r w:rsidRPr="001516ED">
        <w:t>preparedness</w:t>
      </w:r>
      <w:proofErr w:type="spellEnd"/>
      <w:r w:rsidRPr="001516ED">
        <w:t xml:space="preserve"> </w:t>
      </w:r>
      <w:proofErr w:type="spellStart"/>
      <w:r w:rsidRPr="001516ED">
        <w:t>and</w:t>
      </w:r>
      <w:proofErr w:type="spellEnd"/>
      <w:r w:rsidRPr="001516ED">
        <w:t xml:space="preserve"> </w:t>
      </w:r>
      <w:proofErr w:type="spellStart"/>
      <w:r w:rsidRPr="001516ED">
        <w:t>readiness</w:t>
      </w:r>
      <w:proofErr w:type="spellEnd"/>
      <w:r w:rsidRPr="001516ED">
        <w:t>» [Mais seguros juntos: reforçar a prontidão e a preparação civil e militar da Europa] (relatório Niinistö), publicado em 30 de outubro de 2024,</w:t>
      </w:r>
    </w:p>
    <w:p w14:paraId="72013CBC" w14:textId="61AA8AE0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o Relatório Especial 09/2024 do Tribunal de Contas Europeu, intitulado «Segurança do aprovisionamento de gás na UE»</w:t>
      </w:r>
      <w:r w:rsidRPr="001516ED">
        <w:rPr>
          <w:rStyle w:val="FootnoteReference"/>
        </w:rPr>
        <w:footnoteReference w:id="17"/>
      </w:r>
      <w:r w:rsidRPr="001516ED">
        <w:t>,</w:t>
      </w:r>
    </w:p>
    <w:p w14:paraId="3483F20E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a comunicação da Comissão, de 29 de janeiro de 2025, intitulada «Uma Bússola para a Competitividade da UE» (COM(2025)0030),</w:t>
      </w:r>
    </w:p>
    <w:p w14:paraId="44E9E35E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 xml:space="preserve">Tendo em conta a Comunicação conjunta da Comissão e da Alta Representante da União para os Negócios Estrangeiros e a Política de Segurança, de 21 de fevereiro de </w:t>
      </w:r>
      <w:r w:rsidRPr="001516ED">
        <w:lastRenderedPageBreak/>
        <w:t>2025, intitulada «Plano de ação da UE para a segurança dos cabos (JOIN(2025)0009),</w:t>
      </w:r>
    </w:p>
    <w:p w14:paraId="5BC476A5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a Comunicação da Comissão, de 26 de fevereiro de 2025, intitulada «Plano de Ação para Energia a Preços Acessíveis» (COM(2025)0079),</w:t>
      </w:r>
    </w:p>
    <w:p w14:paraId="1B088E8E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a Comunicação conjunta da Comissão e da Alta Representante da União para os Negócios Estrangeiros e a Política de Segurança, de 26 de março de 2025, relativa à Estratégia para uma União da Preparação (JOIN(2025)0130),</w:t>
      </w:r>
    </w:p>
    <w:p w14:paraId="3251A5AB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o artigo 55.º do seu Regimento,</w:t>
      </w:r>
    </w:p>
    <w:p w14:paraId="014D60ED" w14:textId="77777777" w:rsidR="007A70F3" w:rsidRPr="001516ED" w:rsidRDefault="007A70F3" w:rsidP="007A70F3">
      <w:pPr>
        <w:pStyle w:val="NormalHanging12a"/>
      </w:pPr>
      <w:r w:rsidRPr="001516ED">
        <w:t>–</w:t>
      </w:r>
      <w:r w:rsidRPr="001516ED">
        <w:tab/>
        <w:t>Tendo em conta o relatório da Comissão da Indústria, da Investigação e da Energia (A10-0121/2025),</w:t>
      </w:r>
    </w:p>
    <w:p w14:paraId="108C025F" w14:textId="5859FB8E" w:rsidR="007A70F3" w:rsidRPr="001516ED" w:rsidRDefault="007A70F3" w:rsidP="007A70F3">
      <w:pPr>
        <w:pStyle w:val="NormalHanging12a"/>
      </w:pPr>
      <w:r w:rsidRPr="001516ED">
        <w:t>A.</w:t>
      </w:r>
      <w:r w:rsidRPr="001516ED">
        <w:tab/>
        <w:t>Considerando que a segurança energética é uma característica essencial de uma economia resiliente, sustentável e competitiva</w:t>
      </w:r>
      <w:r w:rsidR="00282E86" w:rsidRPr="001516ED">
        <w:t>; considerando que</w:t>
      </w:r>
      <w:r w:rsidRPr="001516ED">
        <w:t xml:space="preserve"> um aprovisionamento energético fiável e a preços acessíveis é essencial para o crescimento económico, a produtividade industrial e o bem-estar social;</w:t>
      </w:r>
    </w:p>
    <w:p w14:paraId="6643B8AC" w14:textId="77777777" w:rsidR="007A70F3" w:rsidRPr="001516ED" w:rsidRDefault="007A70F3" w:rsidP="007A70F3">
      <w:pPr>
        <w:pStyle w:val="NormalHanging12a"/>
      </w:pPr>
      <w:r w:rsidRPr="001516ED">
        <w:t>B.</w:t>
      </w:r>
      <w:r w:rsidRPr="001516ED">
        <w:tab/>
        <w:t>Considerando que, no contexto de uma crise geral de segurança e da necessidade de preparação para os desafios em matéria de defesa, a garantia do aprovisionamento energético constitui uma prioridade;</w:t>
      </w:r>
    </w:p>
    <w:p w14:paraId="4F1092BC" w14:textId="0F145C6B" w:rsidR="007A70F3" w:rsidRPr="001516ED" w:rsidRDefault="007A70F3" w:rsidP="007A70F3">
      <w:pPr>
        <w:pStyle w:val="NormalHanging12a"/>
      </w:pPr>
      <w:r w:rsidRPr="001516ED">
        <w:t>C.</w:t>
      </w:r>
      <w:r w:rsidRPr="001516ED">
        <w:tab/>
        <w:t>Considerando que, apesar do potencial de desenvolvimento de fontes de energia limpas e renováveis a nível interno, a UE importa mais de 60 % da sua energia, incluindo 90</w:t>
      </w:r>
      <w:r w:rsidR="00282E86" w:rsidRPr="001516ED">
        <w:t> </w:t>
      </w:r>
      <w:r w:rsidRPr="001516ED">
        <w:t>% do seu gás e 97 % do seu petróleo</w:t>
      </w:r>
      <w:r w:rsidRPr="001516ED">
        <w:rPr>
          <w:rStyle w:val="FootnoteReference"/>
        </w:rPr>
        <w:footnoteReference w:id="18"/>
      </w:r>
      <w:r w:rsidRPr="001516ED">
        <w:t>, o que a torna vulnerável a potenciais perturbações do aprovisionamento energético;</w:t>
      </w:r>
    </w:p>
    <w:p w14:paraId="49DA1C33" w14:textId="75F1162B" w:rsidR="007A70F3" w:rsidRPr="001516ED" w:rsidRDefault="007A70F3" w:rsidP="007A70F3">
      <w:pPr>
        <w:pStyle w:val="NormalHanging12a"/>
      </w:pPr>
      <w:r w:rsidRPr="001516ED">
        <w:t>D.</w:t>
      </w:r>
      <w:r w:rsidRPr="001516ED">
        <w:tab/>
        <w:t xml:space="preserve">Considerando que a UE tem potencial para desenvolver recursos renováveis e que, desde a publicação da última Estratégia de Segurança Energética da Comissão, em 2014, a produção de energia renovável doméstica aumentou substancialmente </w:t>
      </w:r>
      <w:r w:rsidR="00282E86" w:rsidRPr="001516ED">
        <w:t>–</w:t>
      </w:r>
      <w:r w:rsidRPr="001516ED">
        <w:t xml:space="preserve"> a energia eólica em 98 %, a energia solar fotovoltaica em 314 %, a energia solar térmica em 22 % e a energia oceânica em 244 %</w:t>
      </w:r>
      <w:r w:rsidR="00282E86" w:rsidRPr="001516ED">
        <w:t>; considerando que</w:t>
      </w:r>
      <w:r w:rsidRPr="001516ED">
        <w:t>, durante o mesmo período, a produção interna de combustíveis fósseis da UE diminuiu, tendo a produção de carvão descido 53</w:t>
      </w:r>
      <w:r w:rsidR="00282E86" w:rsidRPr="001516ED">
        <w:t> </w:t>
      </w:r>
      <w:r w:rsidRPr="001516ED">
        <w:t>%, a de petróleo 31 % e a de gás 73 %;</w:t>
      </w:r>
    </w:p>
    <w:p w14:paraId="4F78AB91" w14:textId="77777777" w:rsidR="007A70F3" w:rsidRPr="001516ED" w:rsidRDefault="007A70F3" w:rsidP="007A70F3">
      <w:pPr>
        <w:pStyle w:val="NormalHanging12a"/>
      </w:pPr>
      <w:r w:rsidRPr="001516ED">
        <w:t>E.</w:t>
      </w:r>
      <w:r w:rsidRPr="001516ED">
        <w:tab/>
        <w:t>Considerando que, mesmo com uma rede dominada por energias renováveis, a Europa precisará de mais de 100 GW de nova potência disponível de energia limpa até 2035 para garantir fiabilidade, segurança energética e custos mais baixos</w:t>
      </w:r>
      <w:r w:rsidRPr="001516ED">
        <w:rPr>
          <w:rStyle w:val="FootnoteReference"/>
        </w:rPr>
        <w:footnoteReference w:id="19"/>
      </w:r>
      <w:r w:rsidRPr="001516ED">
        <w:t>;</w:t>
      </w:r>
    </w:p>
    <w:p w14:paraId="635AA7C0" w14:textId="553A4705" w:rsidR="007A70F3" w:rsidRPr="001516ED" w:rsidRDefault="007A70F3" w:rsidP="007A70F3">
      <w:pPr>
        <w:pStyle w:val="NormalHanging12a"/>
      </w:pPr>
      <w:r w:rsidRPr="001516ED">
        <w:t>F.</w:t>
      </w:r>
      <w:r w:rsidRPr="001516ED">
        <w:tab/>
        <w:t xml:space="preserve">Considerando que o fosso entre a produção de energia e a procura da UE afeta negativamente a balança comercial da UE, tendo as importações de energia ascendido a 427 mil milhões de EUR em 2024 </w:t>
      </w:r>
      <w:r w:rsidR="00282E86" w:rsidRPr="001516ED">
        <w:t xml:space="preserve">– </w:t>
      </w:r>
      <w:r w:rsidRPr="001516ED">
        <w:t xml:space="preserve">face a um pico de 602 mil milhões de EUR em </w:t>
      </w:r>
      <w:r w:rsidRPr="001516ED">
        <w:lastRenderedPageBreak/>
        <w:t xml:space="preserve">2022 </w:t>
      </w:r>
      <w:r w:rsidR="00282E86" w:rsidRPr="001516ED">
        <w:t xml:space="preserve">– </w:t>
      </w:r>
      <w:r w:rsidRPr="001516ED">
        <w:t>para o carvão, o petróleo e o gás</w:t>
      </w:r>
      <w:r w:rsidRPr="001516ED">
        <w:rPr>
          <w:rStyle w:val="FootnoteReference"/>
        </w:rPr>
        <w:footnoteReference w:id="20"/>
      </w:r>
      <w:r w:rsidRPr="001516ED">
        <w:t>;</w:t>
      </w:r>
    </w:p>
    <w:p w14:paraId="27E254EE" w14:textId="37C36B7A" w:rsidR="007A70F3" w:rsidRPr="001516ED" w:rsidRDefault="007A70F3" w:rsidP="007A70F3">
      <w:pPr>
        <w:pStyle w:val="NormalHanging12a"/>
      </w:pPr>
      <w:r w:rsidRPr="001516ED">
        <w:t>G.</w:t>
      </w:r>
      <w:r w:rsidRPr="001516ED">
        <w:tab/>
        <w:t>Considerando que a produção nuclear da UE diminuiu 24 % desde 2014</w:t>
      </w:r>
      <w:r w:rsidRPr="001516ED">
        <w:rPr>
          <w:rStyle w:val="FootnoteReference"/>
        </w:rPr>
        <w:footnoteReference w:id="21"/>
      </w:r>
      <w:r w:rsidR="00282E86" w:rsidRPr="001516ED">
        <w:t>; considerando que</w:t>
      </w:r>
      <w:r w:rsidRPr="001516ED">
        <w:t xml:space="preserve"> vários Estados-Membros estão a demonstrar o seu empenho em expandir a energia nuclear como pilar das suas estratégias energéticas e em fazer avançar os seus projetos no domínio da energia nuclear;</w:t>
      </w:r>
    </w:p>
    <w:p w14:paraId="30E102AE" w14:textId="77777777" w:rsidR="007A70F3" w:rsidRPr="001516ED" w:rsidRDefault="007A70F3" w:rsidP="007A70F3">
      <w:pPr>
        <w:pStyle w:val="NormalHanging12a"/>
      </w:pPr>
      <w:r w:rsidRPr="001516ED">
        <w:t>H.</w:t>
      </w:r>
      <w:r w:rsidRPr="001516ED">
        <w:tab/>
        <w:t>Considerando que a diversificação das fontes de energia contribui para a autonomia estratégica aberta, a segurança energética e a resiliência da UE face a perturbações no aprovisionamento externo;</w:t>
      </w:r>
    </w:p>
    <w:p w14:paraId="4330AD58" w14:textId="5EFEE6EF" w:rsidR="007A70F3" w:rsidRPr="001516ED" w:rsidRDefault="007A70F3" w:rsidP="007A70F3">
      <w:pPr>
        <w:pStyle w:val="NormalHanging12a"/>
      </w:pPr>
      <w:r w:rsidRPr="001516ED">
        <w:t>I.</w:t>
      </w:r>
      <w:r w:rsidRPr="001516ED">
        <w:tab/>
        <w:t>Considerando que a aplicação de medidas de produção de energia doméstica renovável e limpa, de eficiência energética e de poupança de energia em toda a cadeia de valor diminui a dependência de fontes de energia externas e aumenta a segurança do aprovisionamento energético</w:t>
      </w:r>
      <w:r w:rsidR="00282E86" w:rsidRPr="001516ED">
        <w:t>; considerando que</w:t>
      </w:r>
      <w:r w:rsidRPr="001516ED">
        <w:t xml:space="preserve"> as políticas de eficiência energética da UE produziram resultados estruturais, tendo a procura de energia atingido o pico em 2006 e diminuído 20 % em 2023</w:t>
      </w:r>
      <w:r w:rsidRPr="001516ED">
        <w:rPr>
          <w:rStyle w:val="FootnoteReference"/>
        </w:rPr>
        <w:footnoteReference w:id="22"/>
      </w:r>
      <w:r w:rsidRPr="001516ED">
        <w:t>, o que demonstra que a eficiência energética é a forma mais eficaz em termos de custos para reduzir as emissões, reforçar a competitividade, tornar o consumo de energia mais acessível e melhorar a segurança energética;</w:t>
      </w:r>
    </w:p>
    <w:p w14:paraId="3D76E488" w14:textId="77777777" w:rsidR="007A70F3" w:rsidRPr="001516ED" w:rsidRDefault="007A70F3" w:rsidP="007A70F3">
      <w:pPr>
        <w:pStyle w:val="NormalHanging12a"/>
      </w:pPr>
      <w:r w:rsidRPr="001516ED">
        <w:t>J.</w:t>
      </w:r>
      <w:r w:rsidRPr="001516ED">
        <w:tab/>
        <w:t>Considerando que os Estados-Membros diferem em termos de caraterísticas naturais e geográficas, aprovisionamento energético, segurança, fontes e políticas;</w:t>
      </w:r>
    </w:p>
    <w:p w14:paraId="152A0DE6" w14:textId="49B82CE4" w:rsidR="007A70F3" w:rsidRPr="001516ED" w:rsidRDefault="007A70F3" w:rsidP="007A70F3">
      <w:pPr>
        <w:pStyle w:val="NormalHanging12a"/>
      </w:pPr>
      <w:r w:rsidRPr="001516ED">
        <w:t>K.</w:t>
      </w:r>
      <w:r w:rsidRPr="001516ED">
        <w:tab/>
        <w:t>Considerando que a Federação da Rússia utiliza há décadas o seu aprovisionamento de petróleo e gás à União Europeia como arma para criar desunião entre os Estados-Membros e, desde o verão de 2021, para gerar inflação e enfraquecer a determinação europeia de apoiar a Ucrânia na sua justa luta pela liberdade</w:t>
      </w:r>
      <w:r w:rsidR="00282E86" w:rsidRPr="001516ED">
        <w:t>; considerando que</w:t>
      </w:r>
      <w:r w:rsidRPr="001516ED">
        <w:t xml:space="preserve"> a guerra da Rússia contra a Ucrânia teve início em 2014</w:t>
      </w:r>
      <w:r w:rsidR="00282E86" w:rsidRPr="001516ED">
        <w:t>; considerando que</w:t>
      </w:r>
      <w:r w:rsidRPr="001516ED">
        <w:t xml:space="preserve"> a Rússia tem vindo a travar uma guerra de agressão em larga escala ilegal, não provocada e injustificada contra a Ucrânia desde 24 de fevereiro de 2022</w:t>
      </w:r>
      <w:r w:rsidR="00282E86" w:rsidRPr="001516ED">
        <w:t>; considerando que</w:t>
      </w:r>
      <w:r w:rsidRPr="001516ED">
        <w:t xml:space="preserve"> os Estados-Membros da UE decidiram, na Declaração de Versalhes</w:t>
      </w:r>
      <w:r w:rsidRPr="001516ED">
        <w:rPr>
          <w:rStyle w:val="FootnoteReference"/>
          <w:color w:val="000000"/>
        </w:rPr>
        <w:footnoteReference w:id="23"/>
      </w:r>
      <w:r w:rsidRPr="001516ED">
        <w:t xml:space="preserve">, reavaliar a forma de garantir a segurança do seu aprovisionamento energético e de acabar progressivamente com a sua dependência das importações russas de gás, petróleo e carvão «o mais rapidamente possível», nomeadamente, acelerando o desenvolvimento das energias renováveis, a produção dos seus principais componentes e a redução da dependência global da UE em relação aos combustíveis fósseis, tendo em conta as circunstâncias nacionais e as opções </w:t>
      </w:r>
      <w:r w:rsidRPr="001516ED">
        <w:lastRenderedPageBreak/>
        <w:t>dos Estados-Membros em matéria de cabaz energético</w:t>
      </w:r>
      <w:r w:rsidR="00282E86" w:rsidRPr="001516ED">
        <w:t>; considerando que</w:t>
      </w:r>
      <w:r w:rsidRPr="001516ED">
        <w:t xml:space="preserve">, no plano </w:t>
      </w:r>
      <w:proofErr w:type="spellStart"/>
      <w:r w:rsidRPr="001516ED">
        <w:t>REPowerEU</w:t>
      </w:r>
      <w:proofErr w:type="spellEnd"/>
      <w:r w:rsidRPr="001516ED">
        <w:t>, são apresentadas uma série de medidas que visam pôr termo à importação de combustíveis fósseis russos o mais tardar até 2027;</w:t>
      </w:r>
    </w:p>
    <w:p w14:paraId="0963F7E4" w14:textId="77777777" w:rsidR="007A70F3" w:rsidRPr="001516ED" w:rsidRDefault="007A70F3" w:rsidP="007A70F3">
      <w:pPr>
        <w:pStyle w:val="NormalHanging12a"/>
      </w:pPr>
      <w:r w:rsidRPr="001516ED">
        <w:t>L.</w:t>
      </w:r>
      <w:r w:rsidRPr="001516ED">
        <w:tab/>
        <w:t>Considerando que, embora a maioria das importações russas de petróleo e carvão tenham sido objeto de sanções, as importações de gás e de energia nuclear russos, por seu lado, continuam lamentavelmente a estar fora do regime de sanções da UE, num contexto de preocupações quanto à segurança do aprovisionamento;</w:t>
      </w:r>
    </w:p>
    <w:p w14:paraId="5B29964E" w14:textId="2D0A2CE1" w:rsidR="007A70F3" w:rsidRPr="001516ED" w:rsidRDefault="007A70F3" w:rsidP="007A70F3">
      <w:pPr>
        <w:pStyle w:val="NormalHanging12a"/>
      </w:pPr>
      <w:r w:rsidRPr="001516ED">
        <w:t>M.</w:t>
      </w:r>
      <w:r w:rsidRPr="001516ED">
        <w:tab/>
        <w:t>Considerando que a percentagem de gás russo transportado por gasoduto, tanto gás natural liquefeito (GNL) como por gasoduto, no total das importações de energia da UE diminuiu significativamente, passando de 45 % em 2021 para cerca de 19 % em 2024</w:t>
      </w:r>
      <w:r w:rsidR="00282E86" w:rsidRPr="001516ED">
        <w:t>; considerando que</w:t>
      </w:r>
      <w:r w:rsidRPr="001516ED">
        <w:t xml:space="preserve"> as importações da UE de combustíveis fósseis russos no terceiro ano da invasão ultrapassam a ajuda financeira (18,7 mil milhões de EUR em 2024) enviada à Ucrânia nesse ano</w:t>
      </w:r>
      <w:r w:rsidRPr="001516ED">
        <w:rPr>
          <w:rStyle w:val="FootnoteReference"/>
        </w:rPr>
        <w:footnoteReference w:id="24"/>
      </w:r>
      <w:r w:rsidR="00282E86" w:rsidRPr="001516ED">
        <w:t>; considerando que</w:t>
      </w:r>
      <w:r w:rsidRPr="001516ED">
        <w:t>, desde o início da guerra, a Rússia arrecadou um total de 206 mil milhões de EUR em receitas provenientes das exportações de combustíveis fósseis para a UE</w:t>
      </w:r>
      <w:r w:rsidR="00282E86" w:rsidRPr="001516ED">
        <w:t>; considerando que</w:t>
      </w:r>
      <w:r w:rsidRPr="001516ED">
        <w:t xml:space="preserve"> as exportações de combustíveis fósseis constituem a maior fonte de receitas da Federação da Rússia, representando 250 mil milhões de EUR por ano</w:t>
      </w:r>
      <w:r w:rsidRPr="001516ED">
        <w:rPr>
          <w:rStyle w:val="FootnoteReference"/>
        </w:rPr>
        <w:footnoteReference w:id="25"/>
      </w:r>
      <w:r w:rsidRPr="001516ED">
        <w:t>, o equivalente a 160 % do orçamento militar russo para este ano</w:t>
      </w:r>
      <w:r w:rsidRPr="001516ED">
        <w:rPr>
          <w:rStyle w:val="FootnoteReference"/>
        </w:rPr>
        <w:footnoteReference w:id="26"/>
      </w:r>
      <w:r w:rsidRPr="001516ED">
        <w:t>;</w:t>
      </w:r>
    </w:p>
    <w:p w14:paraId="65781C2E" w14:textId="7A686F74" w:rsidR="007A70F3" w:rsidRPr="001516ED" w:rsidRDefault="007A70F3" w:rsidP="007A70F3">
      <w:pPr>
        <w:pStyle w:val="NormalHanging12a"/>
      </w:pPr>
      <w:r w:rsidRPr="001516ED">
        <w:t>N.</w:t>
      </w:r>
      <w:r w:rsidRPr="001516ED">
        <w:tab/>
        <w:t xml:space="preserve">Considerando que entre os 100 reatores ativos na UE 18 estão localizados em cinco países da UE e são de conceção russa ou soviética, tendo cada um deles diferentes níveis de dependência intrínseca da </w:t>
      </w:r>
      <w:proofErr w:type="spellStart"/>
      <w:r w:rsidRPr="001516ED">
        <w:t>Rosatom</w:t>
      </w:r>
      <w:proofErr w:type="spellEnd"/>
      <w:r w:rsidRPr="001516ED">
        <w:t>, o que representa um especial risco para a segurança energética europeia</w:t>
      </w:r>
      <w:r w:rsidR="00282E86" w:rsidRPr="001516ED">
        <w:t>; considerando que</w:t>
      </w:r>
      <w:r w:rsidRPr="001516ED">
        <w:t>, em 2024, a Rússia satisfez cerca de 23 % da procura total da UE de serviços de conversão de urânio e 24 % de serviços de enriquecimento de urânio;</w:t>
      </w:r>
    </w:p>
    <w:p w14:paraId="4BDDF57D" w14:textId="1388AC6E" w:rsidR="007A70F3" w:rsidRPr="001516ED" w:rsidRDefault="007A70F3" w:rsidP="007A70F3">
      <w:pPr>
        <w:pStyle w:val="NormalHanging12a"/>
      </w:pPr>
      <w:r w:rsidRPr="001516ED">
        <w:t>O.</w:t>
      </w:r>
      <w:r w:rsidRPr="001516ED">
        <w:tab/>
        <w:t>Considerando que a Rússia tem estado a contornar as sanções através da sua frota-fantasma, que transporta petróleo para compradores dispostos a comprá-lo, sob bandeiras falsas ou sem bandeiras, e que apresenta graves riscos ambientais</w:t>
      </w:r>
      <w:r w:rsidR="00282E86" w:rsidRPr="001516ED">
        <w:t>; considerando que</w:t>
      </w:r>
      <w:r w:rsidRPr="001516ED">
        <w:t xml:space="preserve"> os Estados-Membros ainda não aplicaram as medidas eficazes adotadas pelo Conselho no 15.º pacote de sanções contra a evasão às sanções através da frota-fantasma;</w:t>
      </w:r>
    </w:p>
    <w:p w14:paraId="1D1FA204" w14:textId="77777777" w:rsidR="007A70F3" w:rsidRPr="001516ED" w:rsidRDefault="007A70F3" w:rsidP="007A70F3">
      <w:pPr>
        <w:pStyle w:val="NormalHanging12a"/>
      </w:pPr>
      <w:r w:rsidRPr="001516ED">
        <w:t>P.</w:t>
      </w:r>
      <w:r w:rsidRPr="001516ED">
        <w:tab/>
        <w:t xml:space="preserve">Considerando que, na sua resolução de novembro de 2024, o Parlamento exortou a UE e os seus Estados-Membros a proibirem todas as importações de energia russa, incluindo o GNL e a energia nuclear, a exigirem que os navios que exportam GNL da Rússia sejam proibidos de entrar nos portos da UE e a absterem-se de celebrar novos acordos </w:t>
      </w:r>
      <w:r w:rsidRPr="001516ED">
        <w:lastRenderedPageBreak/>
        <w:t xml:space="preserve">com a </w:t>
      </w:r>
      <w:proofErr w:type="spellStart"/>
      <w:r w:rsidRPr="001516ED">
        <w:t>Rosatom</w:t>
      </w:r>
      <w:proofErr w:type="spellEnd"/>
      <w:r w:rsidRPr="001516ED">
        <w:t xml:space="preserve"> ou as suas filiais;</w:t>
      </w:r>
    </w:p>
    <w:p w14:paraId="6197329E" w14:textId="7D4BB207" w:rsidR="007A70F3" w:rsidRPr="001516ED" w:rsidRDefault="007A70F3" w:rsidP="007A70F3">
      <w:pPr>
        <w:pStyle w:val="NormalHanging12a"/>
      </w:pPr>
      <w:r w:rsidRPr="001516ED">
        <w:t>Q.</w:t>
      </w:r>
      <w:r w:rsidRPr="001516ED">
        <w:tab/>
        <w:t>Considerando que a ausência de uma estratégia sólida e atualizada da UE em matéria de segurança energética está a afetar negativamente as empresas, as indústrias e os agregados familiares</w:t>
      </w:r>
      <w:r w:rsidR="00282E86" w:rsidRPr="001516ED">
        <w:t>; considerando que</w:t>
      </w:r>
      <w:r w:rsidRPr="001516ED">
        <w:t>, entre outros fatores que contribuíram para a situação, tal conduziu a um aumento acentuado da pobreza energética, com quase um em cada dez agregados familiares (10,6 %) incapazes de aquecer adequadamente as suas casas em 2023</w:t>
      </w:r>
      <w:r w:rsidRPr="001516ED">
        <w:rPr>
          <w:rStyle w:val="FootnoteReference"/>
        </w:rPr>
        <w:footnoteReference w:id="27"/>
      </w:r>
      <w:r w:rsidRPr="001516ED">
        <w:t>, um aumento em relação aos 6,9 % registados em 2021</w:t>
      </w:r>
      <w:r w:rsidRPr="001516ED">
        <w:rPr>
          <w:rStyle w:val="FootnoteReference"/>
        </w:rPr>
        <w:footnoteReference w:id="28"/>
      </w:r>
      <w:r w:rsidRPr="001516ED">
        <w:t>;</w:t>
      </w:r>
    </w:p>
    <w:p w14:paraId="007DB5F6" w14:textId="16286660" w:rsidR="007A70F3" w:rsidRPr="001516ED" w:rsidRDefault="007A70F3" w:rsidP="007A70F3">
      <w:pPr>
        <w:spacing w:after="240"/>
        <w:ind w:left="567" w:hanging="567"/>
      </w:pPr>
      <w:r w:rsidRPr="001516ED">
        <w:t>R.</w:t>
      </w:r>
      <w:r w:rsidRPr="001516ED">
        <w:tab/>
        <w:t>Considerando que os ataques contra infraestruturas energéticas críticas podem conduzir a uma perda de energia que afeta simultaneamente vários Estados-Membros e causar prejuízos económicos substanciais, comprometer a segurança pública e ter implicações para as capacidades de defesa da UE</w:t>
      </w:r>
      <w:r w:rsidR="00282E86" w:rsidRPr="001516ED">
        <w:t>; considerando que</w:t>
      </w:r>
      <w:r w:rsidRPr="001516ED">
        <w:t xml:space="preserve"> o setor da energia da Europa foi objeto de inúmeros com ciberataques desde a invasão da Ucrânia pela Rússia</w:t>
      </w:r>
      <w:r w:rsidR="00282E86" w:rsidRPr="001516ED">
        <w:t>; considerando que</w:t>
      </w:r>
      <w:r w:rsidRPr="001516ED">
        <w:t xml:space="preserve"> as infraestruturas energéticas críticas do mar Báltico são alvo de ataques regulares por parte da Rússia</w:t>
      </w:r>
      <w:r w:rsidR="00282E86" w:rsidRPr="001516ED">
        <w:t>; considerando que</w:t>
      </w:r>
      <w:r w:rsidRPr="001516ED">
        <w:t xml:space="preserve"> o número crescente de incidentes de ameaça no perímetro das infraestruturas de energia ao largo suscita graves preocupações;</w:t>
      </w:r>
    </w:p>
    <w:p w14:paraId="71BA5AAF" w14:textId="4E2F8BDD" w:rsidR="007A70F3" w:rsidRPr="001516ED" w:rsidRDefault="007A70F3" w:rsidP="007A70F3">
      <w:pPr>
        <w:spacing w:after="240"/>
        <w:ind w:left="540" w:hanging="567"/>
      </w:pPr>
      <w:r w:rsidRPr="001516ED">
        <w:t>S.</w:t>
      </w:r>
      <w:r w:rsidRPr="001516ED">
        <w:tab/>
        <w:t>Considerando que o papel da OTAN na segurança energética foi definido pela primeira vez na Cimeira de Bucareste de 2008 e que, desde então, foi reforçado</w:t>
      </w:r>
      <w:r w:rsidR="00282E86" w:rsidRPr="001516ED">
        <w:t>; considerando que</w:t>
      </w:r>
      <w:r w:rsidRPr="001516ED">
        <w:t xml:space="preserve"> a OTAN está a reforçar a segurança de infraestruturas críticas para evitar a sabotagem, nomeadamente através da iniciativa «</w:t>
      </w:r>
      <w:proofErr w:type="spellStart"/>
      <w:r w:rsidRPr="001516ED">
        <w:t>Baltic</w:t>
      </w:r>
      <w:proofErr w:type="spellEnd"/>
      <w:r w:rsidRPr="001516ED">
        <w:t xml:space="preserve"> </w:t>
      </w:r>
      <w:proofErr w:type="spellStart"/>
      <w:r w:rsidRPr="001516ED">
        <w:t>Sentry</w:t>
      </w:r>
      <w:proofErr w:type="spellEnd"/>
      <w:r w:rsidRPr="001516ED">
        <w:t>» lançada recentemente</w:t>
      </w:r>
      <w:r w:rsidR="00282E86" w:rsidRPr="001516ED">
        <w:t>; considerando que</w:t>
      </w:r>
      <w:r w:rsidRPr="001516ED">
        <w:t xml:space="preserve"> a OTAN está a apoiar as autoridades nacionais no reforço da sua resiliência contra perturbações do aprovisionamento energético que possam afetar a defesa nacional e coletiva;</w:t>
      </w:r>
    </w:p>
    <w:p w14:paraId="1535CDE2" w14:textId="77777777" w:rsidR="007A70F3" w:rsidRPr="001516ED" w:rsidRDefault="007A70F3" w:rsidP="007A70F3">
      <w:pPr>
        <w:spacing w:after="240"/>
        <w:ind w:left="567" w:hanging="567"/>
      </w:pPr>
      <w:r w:rsidRPr="001516ED">
        <w:t>T.</w:t>
      </w:r>
      <w:r w:rsidRPr="001516ED">
        <w:tab/>
        <w:t>Considerando que a integração dos sistemas elétricos dos Estados bálticos na rede continental europeia, em fevereiro de 2025, constituiu um passo fundamental para reforçar a sua segurança energética, uma vez que eliminou a dependência da rede controlada pela Rússia, reduzindo assim as vulnerabilidades geopolíticas e reforçando a resiliência da região do Báltico;</w:t>
      </w:r>
    </w:p>
    <w:p w14:paraId="4C28221B" w14:textId="77777777" w:rsidR="007A70F3" w:rsidRPr="001516ED" w:rsidRDefault="007A70F3" w:rsidP="007A70F3">
      <w:pPr>
        <w:pStyle w:val="Normal12a24b"/>
      </w:pPr>
      <w:r w:rsidRPr="001516ED">
        <w:rPr>
          <w:rStyle w:val="BoldItalic"/>
        </w:rPr>
        <w:t>Uma nova visão da segurança energética</w:t>
      </w:r>
      <w:r w:rsidRPr="001516ED">
        <w:rPr>
          <w:b/>
          <w:i/>
          <w:color w:val="000000"/>
        </w:rPr>
        <w:t xml:space="preserve"> num panorama</w:t>
      </w:r>
      <w:r w:rsidRPr="001516ED">
        <w:rPr>
          <w:b/>
          <w:i/>
        </w:rPr>
        <w:t xml:space="preserve"> mundial</w:t>
      </w:r>
      <w:r w:rsidRPr="001516ED">
        <w:rPr>
          <w:b/>
          <w:i/>
          <w:color w:val="000000"/>
        </w:rPr>
        <w:t xml:space="preserve"> em mutação</w:t>
      </w:r>
    </w:p>
    <w:p w14:paraId="3AB138D4" w14:textId="77777777" w:rsidR="007A70F3" w:rsidRPr="001516ED" w:rsidRDefault="007A70F3" w:rsidP="007A70F3">
      <w:pPr>
        <w:pStyle w:val="NormalHanging12a"/>
      </w:pPr>
      <w:r w:rsidRPr="001516ED">
        <w:t>1.</w:t>
      </w:r>
      <w:r w:rsidRPr="001516ED">
        <w:tab/>
        <w:t>Recorda que a Agência Europeia do Ambiente define segurança energética como «a disponibilidade permanente de energia sob diversas formas, em quantidades suficientes e a preços razoáveis e/ou acessíveis»; considera que uma abordagem global da segurança energética deve ter em conta a dimensão das infraestruturas físicas, a disponibilidade, a fiabilidade, a estabilidade e a acessibilidade dos preços dos fornecimentos e a sua sustentabilidade, e deve incidir sobre as dimensões geopolítica e climática;</w:t>
      </w:r>
    </w:p>
    <w:p w14:paraId="3BDE00BF" w14:textId="77777777" w:rsidR="007A70F3" w:rsidRPr="001516ED" w:rsidRDefault="007A70F3" w:rsidP="007A70F3">
      <w:pPr>
        <w:pStyle w:val="NormalHanging12a"/>
      </w:pPr>
      <w:r w:rsidRPr="001516ED">
        <w:t>2.</w:t>
      </w:r>
      <w:r w:rsidRPr="001516ED">
        <w:tab/>
        <w:t xml:space="preserve">Salienta que a segurança energética é uma questão </w:t>
      </w:r>
      <w:proofErr w:type="spellStart"/>
      <w:r w:rsidRPr="001516ED">
        <w:t>intersetorial</w:t>
      </w:r>
      <w:proofErr w:type="spellEnd"/>
      <w:r w:rsidRPr="001516ED">
        <w:t xml:space="preserve"> que está na base do funcionamento de todos os setores críticos, tornando-a indispensável para a estabilidade económica, a segurança pública e a resiliência nacional; sublinha que a integração de </w:t>
      </w:r>
      <w:r w:rsidRPr="001516ED">
        <w:lastRenderedPageBreak/>
        <w:t>considerações de segurança energética nas políticas pertinentes e nas avaliações de impacto subjacentes é crucial para reforçar a coerência, a consistência e a eficácia global da elaboração de políticas da UE;</w:t>
      </w:r>
    </w:p>
    <w:p w14:paraId="4ECF7029" w14:textId="77777777" w:rsidR="007A70F3" w:rsidRPr="001516ED" w:rsidRDefault="007A70F3" w:rsidP="007A70F3">
      <w:pPr>
        <w:pStyle w:val="NormalHanging12a"/>
      </w:pPr>
      <w:r w:rsidRPr="001516ED">
        <w:t>3.</w:t>
      </w:r>
      <w:r w:rsidRPr="001516ED">
        <w:tab/>
        <w:t>Assinala que a atual situação geopolítica e as persistentes dependências perigosas do aprovisionamento energético demonstram a necessidade de rever a compreensão da segurança energética e reconhece que a resiliência dos sistemas energéticos, entendida como a capacidade de antecipar, resistir, se adaptar e recuperar rapidamente de eventuais perturbações, é agora um imperativo estratégico;</w:t>
      </w:r>
    </w:p>
    <w:p w14:paraId="070EA765" w14:textId="77777777" w:rsidR="007A70F3" w:rsidRPr="001516ED" w:rsidRDefault="007A70F3" w:rsidP="007A70F3">
      <w:pPr>
        <w:pStyle w:val="NormalHanging12a"/>
      </w:pPr>
      <w:r w:rsidRPr="001516ED">
        <w:t>4.</w:t>
      </w:r>
      <w:r w:rsidRPr="001516ED">
        <w:tab/>
        <w:t>Sublinha que, à medida que o sistema energético continua a descarbonizar, a quota de energias renováveis aumenta e a eletrificação avança, que um mercado da energia funcional e integrado, a eficiência energética, a integração de fontes de flexibilidade (armazenamento de eletricidade e calor, hidrogénio, infraestruturas plenamente desenvolvidas e resilientes, resposta à procura, etc.) e uma capacidade mobilizável suficiente serão cruciais para gerir com êxito a intermitência das fontes de energia renováveis e libertar todo o potencial da transição energética;</w:t>
      </w:r>
    </w:p>
    <w:p w14:paraId="583880A4" w14:textId="77777777" w:rsidR="007A70F3" w:rsidRPr="001516ED" w:rsidRDefault="007A70F3" w:rsidP="007A70F3">
      <w:pPr>
        <w:pStyle w:val="NormalHanging12a"/>
      </w:pPr>
      <w:r w:rsidRPr="001516ED">
        <w:t>5.</w:t>
      </w:r>
      <w:r w:rsidRPr="001516ED">
        <w:tab/>
        <w:t>Salienta que a segurança energética não pode funcionar se não for adequada; observa que «os problemas de escassez tenderão a passar das zonas periféricas da Europa em 2025 para as regiões centrais do continente até 2033»</w:t>
      </w:r>
      <w:r w:rsidRPr="001516ED">
        <w:rPr>
          <w:rStyle w:val="FootnoteReference"/>
          <w:color w:val="000000"/>
        </w:rPr>
        <w:footnoteReference w:id="29"/>
      </w:r>
      <w:r w:rsidRPr="001516ED">
        <w:t>; considera que os mecanismos de remuneração da capacidade desempenham um papel estrutural na garantia da capacidade de reserva mobilizável para assegurar a adequação durante as horas de ponta ou os períodos de escassez da oferta e na ajuda a incentivar os investimentos necessários na produção de capacidade que os sinais do mercado, baseando-se apenas em horas de preços de escassez pouco frequentes, poderão não justificar; sublinha a necessidade de assegurar que os mecanismos estejam abertos a diferentes tipos de recursos (como o lado da procura, a poupança de energia, a agregação, as unidades de armazenamento e os recursos transfronteiriços) capazes de prestar os serviços necessários, como a flexibilidade, não criem distorções indevidas do mercado ou limitem o comércio interzonal e reflitam a compatibilidade com um futuro sistema de eletricidade descarbonizado, nomeadamente através da coerência com os limites de emissão definidos no artigo 22.º do Regulamento DME; recorda que a remuneração dos mecanismos de capacidade abrange apenas a sua disponibilidade; salienta a necessidade urgente de simplificar e racionalizar os seus processos de aprovação, tal como solicitado pela revisão da DME, tendo simultaneamente em devida conta os problemas específicos do mercado da eletricidade nos respetivos Estados-Membros no processo de aprovação da Comissão; toma nota do relatório da Comissão sobre a avaliação das possibilidades de racionalização e simplificação do processo de aplicação de um mecanismo de capacidade</w:t>
      </w:r>
      <w:r w:rsidRPr="001516ED">
        <w:rPr>
          <w:rStyle w:val="FootnoteReference"/>
        </w:rPr>
        <w:footnoteReference w:id="30"/>
      </w:r>
      <w:r w:rsidRPr="001516ED">
        <w:t xml:space="preserve"> e dos trabalhos em curso sobre o quadro de auxílios estatais do Pacto da Indústria Limpa, com propostas concretas para acelerar o processo de aprovação; observa que, embora o mercado de compensação preste serviços essenciais a curto prazo, ainda não é favorável ao investimento e insta, por conseguinte, a Comissão a desenvolver incentivos para construir os ativos flexíveis de que os mercados necessitam urgentemente;</w:t>
      </w:r>
    </w:p>
    <w:p w14:paraId="0AAC0134" w14:textId="77777777" w:rsidR="007A70F3" w:rsidRPr="001516ED" w:rsidRDefault="007A70F3" w:rsidP="007A70F3">
      <w:pPr>
        <w:pStyle w:val="NormalHanging12a"/>
      </w:pPr>
      <w:r w:rsidRPr="001516ED">
        <w:lastRenderedPageBreak/>
        <w:t>6.</w:t>
      </w:r>
      <w:r w:rsidRPr="001516ED">
        <w:tab/>
        <w:t>Salienta que a descarbonização deve ter em conta as especificidades dos Estados-Membros e das suas regiões, incluindo os territórios ultraperiféricos da Europa e as regiões do Fundo para uma Transição Justa, bem como o seu nível de acesso a diferentes tipos de fontes de energia limpas, as necessidades das suas indústrias e a vulnerabilidade dos seus cidadãos, a fim de assegurar uma transição justa que mantenha a segurança energética através da criação de sinergias entre as ambições climáticas, as condições geográficas e naturais e as realidades sociais e económicas;</w:t>
      </w:r>
    </w:p>
    <w:p w14:paraId="03B6D168" w14:textId="1F9BCC9F" w:rsidR="007A70F3" w:rsidRPr="001516ED" w:rsidRDefault="007A70F3" w:rsidP="007A70F3">
      <w:pPr>
        <w:pStyle w:val="NormalHanging12a"/>
      </w:pPr>
      <w:r w:rsidRPr="001516ED">
        <w:t>7.</w:t>
      </w:r>
      <w:r w:rsidRPr="001516ED">
        <w:tab/>
        <w:t>Assinala que é necessária uma abordagem mais abrangente da flexibilidade não fóssil e do armazenamento de energia que integre moléculas e calor; salienta o potencial dos sistemas de aquecimento urbano que podem utilizar o armazenamento térmico para reduzir a temperatura do circuito e incorporar o calor residual, a energia solar, a energia geotérmica e outras fontes renováveis, se for caso disso, utilizando o gás natural num período de transição; chama a atenção para o importante papel que a utilização ótima da cogeração de elevada eficiência, em conformidade com a Diretiva Eficiência Energética, pode contribuir para equilibrar a rede elétrica e para a competitividade de alguns setores industriais, especialmente dos que não dispõem de formas alternativas de produção de calor a preços acessíveis nos seus processos industriais; salienta, para o efeito, a necessidade de modernizar e expandir as redes de aquecimento urbano;</w:t>
      </w:r>
    </w:p>
    <w:p w14:paraId="178C2806" w14:textId="77777777" w:rsidR="007A70F3" w:rsidRPr="001516ED" w:rsidRDefault="007A70F3" w:rsidP="007A70F3">
      <w:pPr>
        <w:pStyle w:val="NormalHanging12a"/>
      </w:pPr>
      <w:r w:rsidRPr="001516ED">
        <w:t>8.</w:t>
      </w:r>
      <w:r w:rsidRPr="001516ED">
        <w:tab/>
        <w:t>Realça que a neutralidade tecnológica desempenha um papel fundamental no reforço da segurança do aprovisionamento energético, evitando simultaneamente efeitos de dependência e promovendo a sustentabilidade, a eficiência económica e uma transição justa; recorda a necessidade de investir numa carteira diversificada de tecnologias limpas que permitam às regiões adotar as tecnologias mais adequadas às suas necessidades de uma forma eficaz em termos de custos, tornando a energia mais acessível e a preços comportáveis;</w:t>
      </w:r>
    </w:p>
    <w:p w14:paraId="76E82C38" w14:textId="77777777" w:rsidR="007A70F3" w:rsidRPr="001516ED" w:rsidRDefault="007A70F3" w:rsidP="007A70F3">
      <w:pPr>
        <w:pStyle w:val="NormalHanging12a"/>
      </w:pPr>
      <w:r w:rsidRPr="001516ED">
        <w:t>9.</w:t>
      </w:r>
      <w:r w:rsidRPr="001516ED">
        <w:tab/>
        <w:t>Observa que o relatório Draghi</w:t>
      </w:r>
      <w:r w:rsidRPr="001516ED">
        <w:rPr>
          <w:rStyle w:val="FootnoteReference"/>
          <w:color w:val="000000"/>
        </w:rPr>
        <w:footnoteReference w:id="31"/>
      </w:r>
      <w:r w:rsidRPr="001516ED">
        <w:t xml:space="preserve"> refere que uma redução da dependência das importações de combustíveis fósseis reforçaria a competitividade da UE e a acessibilidade dos preços e a segurança do aprovisionamento; salienta que o gás natural é atualmente uma componente da segurança energética da UE, com uma procura de 320 mil milhões de m³ em 2024, e regista as previsões da Agência Internacional da Energia (AIE) que indicam uma procura moderada de 260 mil milhões de m³ por ano até 2035</w:t>
      </w:r>
      <w:r w:rsidRPr="001516ED">
        <w:rPr>
          <w:vertAlign w:val="superscript"/>
        </w:rPr>
        <w:footnoteReference w:id="32"/>
      </w:r>
      <w:r w:rsidRPr="001516ED">
        <w:t xml:space="preserve">, enquanto um cenário </w:t>
      </w:r>
      <w:proofErr w:type="spellStart"/>
      <w:r w:rsidRPr="001516ED">
        <w:t>REpowerEU</w:t>
      </w:r>
      <w:proofErr w:type="spellEnd"/>
      <w:r w:rsidRPr="001516ED">
        <w:t xml:space="preserve"> previa uma possível redução da procura de 184 mil milhões de m³ até 2030, o que implica uma redução oblíqua de cerca de 50 % na procura de gás natural em menos de cinco anos, em comparação com a procura de 356 mil milhões de m³ em 2022;</w:t>
      </w:r>
      <w:r w:rsidRPr="001516ED">
        <w:rPr>
          <w:b/>
          <w:i/>
        </w:rPr>
        <w:t xml:space="preserve"> </w:t>
      </w:r>
      <w:r w:rsidRPr="001516ED">
        <w:t>recorda a proposta de Draghi de estabelecer uma estratégia abrangente para o gás natural, gerindo o seu papel durante a transição e garantindo o seu aprovisionamento, que deve orientar as escolhas em matéria de infraestruturas, parcerias internacionais e legislação; observa, com preocupação, que a incoerência das políticas em matéria de gás natural enfraqueceram a posição comercial das empresas da UE, deixando-as expostas aos preços mundiais do mercado à vista e potencialmente criando um fosso entre o que a UE garantiu contratualmente e o que será importado ao longo do tempo;</w:t>
      </w:r>
    </w:p>
    <w:p w14:paraId="43F54978" w14:textId="77777777" w:rsidR="007A70F3" w:rsidRPr="001516ED" w:rsidRDefault="007A70F3" w:rsidP="007A70F3">
      <w:pPr>
        <w:pStyle w:val="NormalHanging12a"/>
      </w:pPr>
      <w:r w:rsidRPr="001516ED">
        <w:lastRenderedPageBreak/>
        <w:t>10.</w:t>
      </w:r>
      <w:r w:rsidRPr="001516ED">
        <w:tab/>
        <w:t>Sublinha que a o desenvolvimento da energia nuclear continua a ser uma prerrogativa nacional no quadro do direito da UE; observa que, para os Estados-Membros que optam por incluir a energia nuclear no seu cabaz energético, esta pode desempenhar um papel importante num sistema energético integrado com uma penetração crescente das energias renováveis; regista que vários Estados-Membros consideram necessário apoiar o desenvolvimento e a implantação das tecnologias nucleares atuais e da nova geração, bem como de todo o ciclo do combustível nuclear, que contribuirão para criar uma cadeia de abastecimento tecnológico competitiva na UE, a fim de assegurar uma autonomia estratégica aberta; salienta a importância de avaliar o custo total de todo o ciclo de vida da energia nuclear, incluindo a construção, o funcionamento, a segurança, os impactos ambientais e sanitários, a gestão dos resíduos e o desmantelamento; regista a dependência atual e contínua de fornecedores estrangeiros, com cerca de 97 % do aprovisionamento de urânio natural da UE em 2022 proveniente de fontes de mar</w:t>
      </w:r>
      <w:r w:rsidRPr="001516ED">
        <w:rPr>
          <w:rStyle w:val="FootnoteReference"/>
        </w:rPr>
        <w:footnoteReference w:id="33"/>
      </w:r>
      <w:r w:rsidRPr="001516ED">
        <w:t xml:space="preserve"> e salienta a necessidade de diversificar as fontes de abastecimento de urânio e de combustível nuclear e de seguir a recomendação da Agência de Aprovisionamento da Euratom no desenvolvimento de cadeias de abastecimento fiáveis para satisfazer a procura crescente de tecnologias nucleares e novas tecnologias nucleares; chama a atenção, a este respeito, para a recente decisão do Banco Europeu de Investimento de renovar o seu apoio ao reforço das capacidades europeias de enriquecimento de urânio; sublinha que os pequenos reatores modulares e os reatores modulares avançados têm potencial para reforçar a segurança energética através do fornecimento de energia </w:t>
      </w:r>
      <w:proofErr w:type="spellStart"/>
      <w:r w:rsidRPr="001516ED">
        <w:t>hipocarbónica</w:t>
      </w:r>
      <w:proofErr w:type="spellEnd"/>
      <w:r w:rsidRPr="001516ED">
        <w:t>; observa, no entanto, que a tecnologia ainda não está plenamente desenvolvida; regozija-se com a anunciada avaliação da possibilidade de simplificar as práticas de licenciamento de novas tecnologias de energia nuclear, como os pequenos reatores modulares;</w:t>
      </w:r>
    </w:p>
    <w:p w14:paraId="34105471" w14:textId="77777777" w:rsidR="007A70F3" w:rsidRPr="001516ED" w:rsidRDefault="007A70F3" w:rsidP="007A70F3">
      <w:pPr>
        <w:pStyle w:val="NormalHanging12a"/>
      </w:pPr>
      <w:r w:rsidRPr="001516ED">
        <w:t>11.</w:t>
      </w:r>
      <w:r w:rsidRPr="001516ED">
        <w:tab/>
        <w:t>Reconhece que as energias renováveis constituem um facilitador da autonomia energética e da segurança do aprovisionamento a longo prazo; salienta que as energias renováveis são essenciais para garantir a segurança energética, uma vez que já constituem a principal fonte de energia produzida internamente para a UE; sublinha a importância de maximizar a utilização das capacidades existentes em matéria de energias renováveis, em particular abordando a questão da restrição, uma vez que o congestionamento da rede na UE reduziu mais de 12 TWh de eletricidade renovável em 2023, resultando em mais 4,2 milhões de toneladas de emissões de CO</w:t>
      </w:r>
      <w:r w:rsidRPr="001516ED">
        <w:rPr>
          <w:vertAlign w:val="subscript"/>
        </w:rPr>
        <w:t>2</w:t>
      </w:r>
      <w:r w:rsidRPr="001516ED">
        <w:rPr>
          <w:rStyle w:val="FootnoteReference"/>
        </w:rPr>
        <w:footnoteReference w:id="34"/>
      </w:r>
      <w:r w:rsidRPr="001516ED">
        <w:t xml:space="preserve">; observa que as energias renováveis já contribuíram para reduzir a dependência da UE em relação ao gás russo, uma vez que representaram 25 % da energia e 45 % da eletricidade consumida na UE em 2023; reafirma a importância de um apoio sustentado da UE ao desenvolvimento e à implantação de tecnologias renováveis estabelecidas, como a energia solar, a energia eólica, a energia geotérmica e as bombas de calor; reitera a necessidade de apoio político e de investimento aos setores menos desenvolvidos ou emergentes, a fim de acelerar a implantação de tecnologias renováveis mais relevantes tendo em conta as suas circunstâncias nacionais e locais, como as tecnologias geotérmicas inovadoras, o </w:t>
      </w:r>
      <w:proofErr w:type="spellStart"/>
      <w:r w:rsidRPr="001516ED">
        <w:t>biometano</w:t>
      </w:r>
      <w:proofErr w:type="spellEnd"/>
      <w:r w:rsidRPr="001516ED">
        <w:t xml:space="preserve">, a energia solar térmica, a energia marinha, a energia das marés, a energia osmótica e a energia solar concentrada; manifesta preocupação pelo facto de, sem políticas de apoio específicas, algumas tecnologias </w:t>
      </w:r>
      <w:r w:rsidRPr="001516ED">
        <w:lastRenderedPageBreak/>
        <w:t>inovadoras poderem não alcançar a comercialização em tempo útil e, por conseguinte, insta os Estados-Membros a apoiarem a sua investigação, demonstração, adoção pelo mercado e expansão; insta a Comissão a apresentar um plano de investimento para estas tecnologias renováveis;</w:t>
      </w:r>
    </w:p>
    <w:p w14:paraId="71843057" w14:textId="77777777" w:rsidR="007A70F3" w:rsidRPr="001516ED" w:rsidRDefault="007A70F3" w:rsidP="007A70F3">
      <w:pPr>
        <w:pStyle w:val="NormalHanging12a"/>
      </w:pPr>
      <w:r w:rsidRPr="001516ED">
        <w:t>12.</w:t>
      </w:r>
      <w:r w:rsidRPr="001516ED">
        <w:tab/>
        <w:t>Frisa, em particular, o potencial da energia geotérmica, que se estima poder alcançar 510 GW até 2035, com um fator de capacidade de 80 a 90 %; destaca os vastos recursos por explorar em determinadas regiões da UE e insta a Comissão a dar seguimento ao apelo do Parlamento no sentido de apoiar o desenvolvimento da energia geotérmica, nomeadamente através da criação de instrumentos de atenuação dos riscos;</w:t>
      </w:r>
    </w:p>
    <w:p w14:paraId="773F69C5" w14:textId="77777777" w:rsidR="007A70F3" w:rsidRPr="001516ED" w:rsidRDefault="007A70F3" w:rsidP="007A70F3">
      <w:pPr>
        <w:pStyle w:val="NormalHanging12a"/>
      </w:pPr>
      <w:r w:rsidRPr="001516ED">
        <w:t>13.</w:t>
      </w:r>
      <w:r w:rsidRPr="001516ED">
        <w:tab/>
        <w:t xml:space="preserve">Solicita à AIE que realize uma análise para avaliar as possibilidades de utilização dos recursos de gás natural da UE; observa que a produção interna de gás natural na UE diminuiu mais de um terço entre 2020 e 2023 e que se prevê que este declínio continue sem um aumento significativo a curto prazo da produção de gases verdes, incluindo o biogás e o </w:t>
      </w:r>
      <w:proofErr w:type="spellStart"/>
      <w:r w:rsidRPr="001516ED">
        <w:t>biometano</w:t>
      </w:r>
      <w:proofErr w:type="spellEnd"/>
      <w:r w:rsidRPr="001516ED">
        <w:t xml:space="preserve">, na UE; chama a atenção para o facto de o relatório de Draghi salientar que, ao mesmo tempo que se procede à descarbonização progressiva e à transição para o hidrogénio e os gases verdes, em consonância com a DER III e o </w:t>
      </w:r>
      <w:proofErr w:type="spellStart"/>
      <w:r w:rsidRPr="001516ED">
        <w:t>REPowerEU</w:t>
      </w:r>
      <w:proofErr w:type="spellEnd"/>
      <w:r w:rsidRPr="001516ED">
        <w:t>, como medida transitória, a produção interna de gás natural — quando considerada justificada por cada Estado-Membro — também pode contribuir para a segurança do aprovisionamento e para evitar a exposição a desenvolvimentos geopolíticos negativos;</w:t>
      </w:r>
    </w:p>
    <w:p w14:paraId="56C9A79F" w14:textId="77777777" w:rsidR="007A70F3" w:rsidRPr="001516ED" w:rsidRDefault="007A70F3" w:rsidP="007A70F3">
      <w:pPr>
        <w:pStyle w:val="NormalHanging12a"/>
      </w:pPr>
      <w:r w:rsidRPr="001516ED">
        <w:t>14.</w:t>
      </w:r>
      <w:r w:rsidRPr="001516ED">
        <w:tab/>
        <w:t>Salienta que a diversificação é vital para atenuar o risco de dominância dos fornecedores num contexto geopolítico em mutação; considera que a UE deve reforçar as parcerias internacionais com fornecedores fiáveis de energia, matérias-primas e componentes de tecnologias limpas em todas as regiões do mundo e, em particular, com os países do Espaço Económico Europeu;</w:t>
      </w:r>
    </w:p>
    <w:p w14:paraId="11305EBF" w14:textId="77777777" w:rsidR="007A70F3" w:rsidRPr="001516ED" w:rsidRDefault="007A70F3" w:rsidP="007A70F3">
      <w:pPr>
        <w:pStyle w:val="NormalHanging12a"/>
      </w:pPr>
      <w:r w:rsidRPr="001516ED">
        <w:t>15.</w:t>
      </w:r>
      <w:r w:rsidRPr="001516ED">
        <w:tab/>
        <w:t xml:space="preserve">Sublinha que o reforço da segurança energética exige uma abordagem holística, nomeadamente através da melhoria da eficiência energética nos principais setores de utilização final da energia, como os edifícios e a indústria, da promoção da poupança de energia, do aumento do investimento em investigação e desenvolvimento e da garantia de uma participação significativa dos cidadãos, todos eles essenciais para alcançar um sistema energético resiliente, sustentável e inclusivo; </w:t>
      </w:r>
    </w:p>
    <w:p w14:paraId="07AF9304" w14:textId="77777777" w:rsidR="007A70F3" w:rsidRPr="001516ED" w:rsidRDefault="007A70F3" w:rsidP="007A70F3">
      <w:pPr>
        <w:pStyle w:val="NormalHanging12a"/>
      </w:pPr>
      <w:r w:rsidRPr="001516ED">
        <w:t>16.</w:t>
      </w:r>
      <w:r w:rsidRPr="001516ED">
        <w:tab/>
        <w:t>Insta a Comissão a ter em conta as futuras necessidades em termos de capacidades militares e de mobilidade no desenvolvimento do sistema energético da UE; observa com preocupação que a UE depende fortemente das importações de petróleo bruto e de produtos petrolíferos; exorta a Comissão a elaborar uma estratégia abrangente em matéria de combustíveis líquidos, a fim de assegurar o seu acesso imediato às forças militares em situação de crise, e a reduzir a dependência de cadeias de importação vulneráveis e de produtores pouco fiáveis, em particular o desenvolvimento de combustíveis sintéticos avançados (como combustíveis de aviação sustentáveis e combustíveis sintéticos) na Europa;</w:t>
      </w:r>
    </w:p>
    <w:p w14:paraId="75A7BAD2" w14:textId="77777777" w:rsidR="007A70F3" w:rsidRPr="001516ED" w:rsidRDefault="007A70F3" w:rsidP="007A70F3">
      <w:pPr>
        <w:pStyle w:val="NormalHanging12a"/>
      </w:pPr>
      <w:r w:rsidRPr="001516ED">
        <w:t>17.</w:t>
      </w:r>
      <w:r w:rsidRPr="001516ED">
        <w:tab/>
        <w:t xml:space="preserve">Chama a atenção para a recomendação do relatório Niinistö sobre a necessidade de prosseguir os trabalhos sobre corredores prioritários de transporte de dupla utilização para necessidades logísticas civis e de defesa e sobre a expansão das cadeias de abastecimento de combustível para as forças armadas ao longo destes corredores, bem como sobre a constituição de reservas de energia e reservas estratégicas de energia, que </w:t>
      </w:r>
      <w:r w:rsidRPr="001516ED">
        <w:lastRenderedPageBreak/>
        <w:t>podem ser particularmente úteis para as regiões com infraestruturas de gasodutos e armazenamento de combustível insuficientemente desenvolvidas; insta, a este respeito, a Comissão a rever a Diretiva Reservas de Petróleo à luz das recentes mudanças geopolíticas e das necessidades de prontidão militar, a fim de reforçar a segurança energética e a resiliência contra riscos militares emergentes;</w:t>
      </w:r>
    </w:p>
    <w:p w14:paraId="3EB6F73C" w14:textId="77777777" w:rsidR="007A70F3" w:rsidRPr="001516ED" w:rsidRDefault="007A70F3" w:rsidP="007A70F3">
      <w:pPr>
        <w:pStyle w:val="NormalHanging12a"/>
      </w:pPr>
      <w:r w:rsidRPr="001516ED">
        <w:t>18.</w:t>
      </w:r>
      <w:r w:rsidRPr="001516ED">
        <w:tab/>
        <w:t xml:space="preserve">Reconhece a rápida aceleração da procura de energia impulsionada pelo setor digital, em particular as necessidades energéticas substanciais dos centros de dados e dos sistemas de inteligência artificial; salienta que esta tendência evidencia a necessidade urgente de políticas sólidas de eficiência energética e sublinha a importância de a UE procurar proactivamente soluções sustentáveis e viradas para o futuro para satisfazer esta procura crescente, salvaguardando simultaneamente a resiliência do seu sistema energético; </w:t>
      </w:r>
    </w:p>
    <w:p w14:paraId="0C3796D6" w14:textId="77777777" w:rsidR="007A70F3" w:rsidRPr="001516ED" w:rsidRDefault="007A70F3" w:rsidP="007A70F3">
      <w:pPr>
        <w:pStyle w:val="NormalHanging12a"/>
        <w:rPr>
          <w:b/>
          <w:i/>
        </w:rPr>
      </w:pPr>
      <w:r w:rsidRPr="001516ED">
        <w:rPr>
          <w:b/>
          <w:i/>
        </w:rPr>
        <w:t>Uma infraestrutura energética resiliente</w:t>
      </w:r>
    </w:p>
    <w:p w14:paraId="4BA241A5" w14:textId="77777777" w:rsidR="007A70F3" w:rsidRPr="001516ED" w:rsidRDefault="007A70F3" w:rsidP="007A70F3">
      <w:pPr>
        <w:pStyle w:val="NormalHanging12a"/>
      </w:pPr>
      <w:r w:rsidRPr="001516ED">
        <w:t>19.</w:t>
      </w:r>
      <w:r w:rsidRPr="001516ED">
        <w:tab/>
        <w:t>Observa que os estrangulamentos nas infraestruturas comprometem os benefícios da integração setorial e agravam as ameaças à segurança energética; sublinha a importância de investir em novas redes de energia, incluindo interligações transfronteiriças e redes ao largo, e de otimizar as infraestruturas existentes para aumentar a capacidade utilizando tecnologias de reforço da rede (GET), reduzindo simultaneamente as novas necessidades de infraestruturas, a fim de permitir a integração das energias renováveis e de outras novas instalações de produção, colmatar as lacunas de preços, melhorar a eficiência global do sistema e promover a solidariedade entre os Estados-Membros em caso de crise energética; salienta a necessidade de um planeamento de infraestruturas tecnicamente sólido que tenha em conta as características geográficas e naturais, assegurando simultaneamente a viabilidade a longo prazo e evitando a criação de ativos irrecuperáveis;</w:t>
      </w:r>
    </w:p>
    <w:p w14:paraId="2ABD2FBC" w14:textId="77777777" w:rsidR="007A70F3" w:rsidRPr="001516ED" w:rsidRDefault="007A70F3" w:rsidP="007A70F3">
      <w:pPr>
        <w:pStyle w:val="NormalHanging12a"/>
      </w:pPr>
      <w:r w:rsidRPr="001516ED">
        <w:t>20.</w:t>
      </w:r>
      <w:r w:rsidRPr="001516ED">
        <w:tab/>
        <w:t>Exorta a Comissão a avaliar urgentemente os domínios em que as interligações são insuficientes para alcançar o atual objetivo de interligação de 15 %, tal como estabelecido no Regulamento (UE) 2018/1999</w:t>
      </w:r>
      <w:r w:rsidRPr="001516ED">
        <w:rPr>
          <w:rStyle w:val="FootnoteReference"/>
        </w:rPr>
        <w:footnoteReference w:id="35"/>
      </w:r>
      <w:r w:rsidRPr="001516ED">
        <w:t>; salienta a importância dos projetos de interesse comum (PIC) para facilitar o fluxo eficiente e seguro de eletricidade entre os Estados-Membros e as regiões, reforçando assim a integração transfronteiriça e a solidariedade energética na UE; reconhece o papel do Mecanismo Interligar a Europa para a Energia (MIE-E) na conclusão dos investimentos acima referidos e reitera o seu apelo para que o seu financiamento seja significativamente aumentado ao propor o próximo quadro financeiro plurianual;</w:t>
      </w:r>
    </w:p>
    <w:p w14:paraId="36DCFC24" w14:textId="77777777" w:rsidR="007A70F3" w:rsidRPr="001516ED" w:rsidRDefault="007A70F3" w:rsidP="007A70F3">
      <w:pPr>
        <w:pStyle w:val="NormalHanging12a"/>
      </w:pPr>
      <w:r w:rsidRPr="001516ED">
        <w:t>21.</w:t>
      </w:r>
      <w:r w:rsidRPr="001516ED">
        <w:tab/>
        <w:t xml:space="preserve">Insta os Estados-Membros a acelerarem os procedimentos de licenciamento de instalações e redes de eletricidade; observa que procedimentos de licenciamento excessivamente longos podem criar insegurança jurídica, comprometendo a adequação dos recursos, atrasando a execução de projetos críticos — quer para reequipamento ou renovação de locais de produção existentes, quer para o desenvolvimento de infraestruturas de transporte, distribuição ou armazenamento; congratula-se com os progressos positivos realizados no que diz respeito às disposições adotadas na última revisão da Diretiva Energias Renováveis e do Regulamento de Emergência relativo à </w:t>
      </w:r>
      <w:r w:rsidRPr="001516ED">
        <w:lastRenderedPageBreak/>
        <w:t>Concessão de Licenças</w:t>
      </w:r>
      <w:r w:rsidRPr="001516ED">
        <w:rPr>
          <w:rStyle w:val="FootnoteReference"/>
        </w:rPr>
        <w:footnoteReference w:id="36"/>
      </w:r>
      <w:r w:rsidRPr="001516ED">
        <w:t>, a fim de acelerar, racionalizar e simplificar os procedimentos de concessão de licenças;</w:t>
      </w:r>
    </w:p>
    <w:p w14:paraId="56C1B76F" w14:textId="77777777" w:rsidR="007A70F3" w:rsidRPr="001516ED" w:rsidRDefault="007A70F3" w:rsidP="007A70F3">
      <w:pPr>
        <w:pStyle w:val="NormalHanging12a"/>
      </w:pPr>
      <w:r w:rsidRPr="001516ED">
        <w:t>22.</w:t>
      </w:r>
      <w:r w:rsidRPr="001516ED">
        <w:tab/>
        <w:t>Recorda que as alterações climáticas continuam a agravar-se, colocando uma pressão crescente sobre o sistema energético devido a fenómenos meteorológicos extremos, como ondas de calor, que conduzem ao encerramento de centrais térmicas, secas que reduzem a produção, e tempestades graves, inundações e incêndios que danificam as redes elétricas e os gasodutos; salienta que é necessário integrar melhor o impacto das alterações climáticas nos meios de produção, nas redes e nos padrões de consumo na modelização e preparação das infraestruturas energéticas; destaca a necessidade de um planeamento resiliente do sistema energético, que incorpore estratégias adaptadas ao clima, tais como tecnologias avançadas de arrefecimento, flexibilidade da rede, produção descentralizada de energias renováveis e reforço da proteção das infraestruturas; enfatiza a importância de integrar um plano de resistência às alterações climáticas, baseado numa avaliação inicial baseada no risco, nos projetos no domínio da energia desde as primeiras fases de desenvolvimento;</w:t>
      </w:r>
    </w:p>
    <w:p w14:paraId="60A70CAA" w14:textId="77777777" w:rsidR="007A70F3" w:rsidRPr="001516ED" w:rsidRDefault="007A70F3" w:rsidP="007A70F3">
      <w:pPr>
        <w:pStyle w:val="NormalHanging12a"/>
      </w:pPr>
      <w:r w:rsidRPr="001516ED">
        <w:t>23.</w:t>
      </w:r>
      <w:r w:rsidRPr="001516ED">
        <w:tab/>
        <w:t>Insta a Comissão a basear-se na Diretiva (UE) 2022/2557</w:t>
      </w:r>
      <w:r w:rsidRPr="001516ED">
        <w:rPr>
          <w:rStyle w:val="FootnoteReference"/>
        </w:rPr>
        <w:footnoteReference w:id="37"/>
      </w:r>
      <w:r w:rsidRPr="001516ED">
        <w:t xml:space="preserve"> relativa à resiliência das entidades críticas, facilitando a sua aplicação plena e harmonizada através do fornecimento de boas práticas, materiais de orientação e metodologias, bem como de atividades e exercícios de formação transfronteiras para apoiar os Estados-Membros, as autoridades competentes e as entidades críticas no domínio da energia;</w:t>
      </w:r>
    </w:p>
    <w:p w14:paraId="039DD2D1" w14:textId="77777777" w:rsidR="007A70F3" w:rsidRPr="001516ED" w:rsidRDefault="007A70F3" w:rsidP="007A70F3">
      <w:pPr>
        <w:pStyle w:val="NormalHanging12a"/>
      </w:pPr>
      <w:r w:rsidRPr="001516ED">
        <w:t>24.</w:t>
      </w:r>
      <w:r w:rsidRPr="001516ED">
        <w:tab/>
        <w:t>Realça a necessidade de investir na proteção e na resiliência das infraestruturas energéticas contra ameaças de origem humana, como ataques militares, híbridos e cibernéticos; manifesta preocupação com os recentes incidentes de sabotagem no mar Báltico e apela a uma ação mais forte a nível da UE para proteger as infraestruturas energéticas críticas da UE, incluindo as ligações transfronteiriças com países terceiros, como condutas e cabos submarinos, parques eólicos marítimos e interligações, concebidas para apoiar os Estados-Membros mais afetados e para complementar as medidas nacionais; congratula-se, a este respeito, com a comunicação conjunta sobre o Plano de Ação da UE para a Segurança dos Cabos;</w:t>
      </w:r>
    </w:p>
    <w:p w14:paraId="58AD5578" w14:textId="77777777" w:rsidR="007A70F3" w:rsidRPr="001516ED" w:rsidRDefault="007A70F3" w:rsidP="007A70F3">
      <w:pPr>
        <w:pStyle w:val="NormalHanging12a"/>
      </w:pPr>
      <w:r w:rsidRPr="001516ED">
        <w:t>25.</w:t>
      </w:r>
      <w:r w:rsidRPr="001516ED">
        <w:tab/>
        <w:t>Observa que a descentralização do sistema energético, que reforça a resiliência e facilita a transição energética, e o aumento da diversidade de fontes e da autonomia reduzem a dependência de centrais elétricas centralizadas, minimizam os riscos de interrupções, aumentam a estabilidade da rede e permitem uma recuperação mais rápida das perturbações; salienta, ao mesmo tempo, que o aumento do número de fontes de energia remotas e dispersas, o armazenamento de energia e as novas ligações exigem medidas reforçadas para garantir uma proteção sólida das infraestruturas;</w:t>
      </w:r>
    </w:p>
    <w:p w14:paraId="0CB4C99E" w14:textId="77777777" w:rsidR="007A70F3" w:rsidRPr="001516ED" w:rsidRDefault="007A70F3" w:rsidP="007A70F3">
      <w:pPr>
        <w:pStyle w:val="NormalHanging12a"/>
      </w:pPr>
      <w:r w:rsidRPr="001516ED">
        <w:t>26.</w:t>
      </w:r>
      <w:r w:rsidRPr="001516ED">
        <w:tab/>
        <w:t xml:space="preserve">Exorta a Comissão a aproveitar os ensinamentos retirados da guerra na Ucrânia, em particular o papel fundamental da interligação elétrica, das </w:t>
      </w:r>
      <w:proofErr w:type="spellStart"/>
      <w:r w:rsidRPr="001516ED">
        <w:t>microrredes</w:t>
      </w:r>
      <w:proofErr w:type="spellEnd"/>
      <w:r w:rsidRPr="001516ED">
        <w:t xml:space="preserve">, da energia solar </w:t>
      </w:r>
      <w:r w:rsidRPr="001516ED">
        <w:lastRenderedPageBreak/>
        <w:t>distribuída, da energia eólica e do armazenamento de baterias para assegurar uma maior resiliência da rede elétrica contra ataques militares, incluindo ciberataques, aeronaves não tripuladas e mísseis; louva os esforços sustentados da Ucrânia para manter a funcionalidade e a segurança do seu sistema energético face à guerra de agressão da Rússia e sublinha que o apoio à Ucrânia também implica ajudar a salvaguardar a solidez da sua rede elétrica nacional;</w:t>
      </w:r>
    </w:p>
    <w:p w14:paraId="0EA770E4" w14:textId="77777777" w:rsidR="007A70F3" w:rsidRPr="001516ED" w:rsidRDefault="007A70F3" w:rsidP="007A70F3">
      <w:pPr>
        <w:pStyle w:val="NormalHanging12a"/>
      </w:pPr>
      <w:r w:rsidRPr="001516ED">
        <w:t>27.</w:t>
      </w:r>
      <w:r w:rsidRPr="001516ED">
        <w:tab/>
        <w:t xml:space="preserve">Observa, com preocupação, que os pequenos recursos energéticos distribuídos ligados à Internet, como os inversores, não estão abrangidos pelos procedimentos adequados de avaliação da conformidade previstos na legislação em matéria de cibersegurança, como o Regulamento </w:t>
      </w:r>
      <w:proofErr w:type="spellStart"/>
      <w:r w:rsidRPr="001516ED">
        <w:t>Ciber</w:t>
      </w:r>
      <w:proofErr w:type="spellEnd"/>
      <w:r w:rsidRPr="001516ED">
        <w:t>-Resiliência</w:t>
      </w:r>
      <w:r w:rsidRPr="001516ED">
        <w:rPr>
          <w:rStyle w:val="FootnoteReference"/>
        </w:rPr>
        <w:footnoteReference w:id="38"/>
      </w:r>
      <w:r w:rsidRPr="001516ED">
        <w:t>, e, uma vez que podem ser controlados remotamente e que o seu software pode ser atualizado pelos fabricantes, que, em muitos casos, são vendedores não fiáveis, poderiam dar a estes vendedores não fiáveis o controlo das redes elétricas da UE; insta a Comissão a estabelecer avaliações de risco obrigatórias para os sistemas de distribuição de energia com base no país de origem, assegurando que os dispositivos controlados a partir de jurisdições com potenciais preocupações de segurança estejam sujeitos a uma supervisão rigorosa e a requisitos de localização; apela ao reforço da resiliência nas cadeias de abastecimento europeias através da promoção do fabrico de recursos energéticos distribuídos na UE e da promoção de alianças com parceiros internacionais de confiança; salienta a necessidade de um número adequado de profissionais especializados em cibersegurança e de uma estreita coordenação entre os Estados-Membros para fazer face a estas vulnerabilidades;</w:t>
      </w:r>
    </w:p>
    <w:p w14:paraId="48A2A109" w14:textId="77777777" w:rsidR="007A70F3" w:rsidRPr="001516ED" w:rsidRDefault="007A70F3" w:rsidP="007A70F3">
      <w:pPr>
        <w:pStyle w:val="NormalHanging12a"/>
      </w:pPr>
      <w:r w:rsidRPr="001516ED">
        <w:t>28.</w:t>
      </w:r>
      <w:r w:rsidRPr="001516ED">
        <w:tab/>
        <w:t>Insta as empresas do setor da energia que gerem infraestruturas críticas a trabalharem em estreita colaboração com a Agência da UE para a Cibersegurança e a dotarem-se dos instrumentos de cibersegurança mais avançados; considera que a cooperação com a NATO no domínio da cibersegurança deve ser reforçada, a fim de combater as ameaças híbridas à segurança energética da Europa;</w:t>
      </w:r>
    </w:p>
    <w:p w14:paraId="2208B7AE" w14:textId="77777777" w:rsidR="007A70F3" w:rsidRPr="001516ED" w:rsidRDefault="007A70F3" w:rsidP="007A70F3">
      <w:pPr>
        <w:pStyle w:val="NormalHanging12a"/>
      </w:pPr>
      <w:r w:rsidRPr="001516ED">
        <w:t>29.</w:t>
      </w:r>
      <w:r w:rsidRPr="001516ED">
        <w:tab/>
        <w:t>Observa que os Estados-Membros têm de envidar todos os esforços para aumentar a sua resiliência, o que inclui a capacidade de prevenir, proteger, responder, resistir, atenuar, absorver, acomodar e recuperar de incidentes, tendo plenamente em conta a interdependência do mercado da energia da UE e o potencial efeito dominó que as falhas de infraestruturas num país podem ter em toda a União; sublinha, em particular, a necessidade de reforçar o aspeto da recuperação, que poderia ser alcançado através de um mecanismo europeu eficaz de reparação e resposta e de planos operacionais nacionais e regionais, que poderiam servir como um elemento importante da estratégia de dissuasão da UE; assinala a importância da solidariedade da UE na resposta a potenciais incidentes em infraestruturas, assegurando uma ação coordenada e o apoio mútuo entre os Estados-Membros;</w:t>
      </w:r>
    </w:p>
    <w:p w14:paraId="437B46C8" w14:textId="77777777" w:rsidR="007A70F3" w:rsidRPr="001516ED" w:rsidRDefault="007A70F3" w:rsidP="007A70F3">
      <w:pPr>
        <w:pStyle w:val="NormalHanging12a"/>
      </w:pPr>
      <w:r w:rsidRPr="001516ED">
        <w:t>30.</w:t>
      </w:r>
      <w:r w:rsidRPr="001516ED">
        <w:tab/>
        <w:t>R</w:t>
      </w:r>
      <w:r w:rsidRPr="001516ED">
        <w:rPr>
          <w:color w:val="000000"/>
        </w:rPr>
        <w:t>ecorda</w:t>
      </w:r>
      <w:r w:rsidRPr="001516ED">
        <w:t xml:space="preserve"> à Comissão que a rede elétrica </w:t>
      </w:r>
      <w:r w:rsidRPr="001516ED">
        <w:rPr>
          <w:color w:val="000000"/>
        </w:rPr>
        <w:t xml:space="preserve">constitui um setor particularmente sensível que necessita de proteção contra interesses estrangeiros e privados; </w:t>
      </w:r>
      <w:r w:rsidRPr="001516ED">
        <w:t xml:space="preserve">insta os Estados-Membros e a Comissão a procurarem soluções para os riscos de segurança associados ao investimento estrangeiro e à aquisição de infraestruturas energéticas; manifesta </w:t>
      </w:r>
      <w:r w:rsidRPr="001516ED">
        <w:lastRenderedPageBreak/>
        <w:t>preocupação com uma série de investimentos estrangeiros potencialmente sensíveis, em particular nas redes; congratula-se, a este respeito, com a revisão em curso do Regulamento Análise dos Investimentos Estrangeiros</w:t>
      </w:r>
      <w:r w:rsidRPr="001516ED">
        <w:rPr>
          <w:rStyle w:val="FootnoteReference"/>
        </w:rPr>
        <w:footnoteReference w:id="39"/>
      </w:r>
      <w:r w:rsidRPr="001516ED">
        <w:t>, que constitui um passo oportuno para a adoção de uma abordagem estratégica rigorosa para o desenvolvimento e a supervisão das infraestruturas energéticas europeias;</w:t>
      </w:r>
    </w:p>
    <w:p w14:paraId="6B5745D0" w14:textId="77777777" w:rsidR="007A70F3" w:rsidRPr="001516ED" w:rsidRDefault="007A70F3" w:rsidP="007A70F3">
      <w:pPr>
        <w:pStyle w:val="NormalHanging12a"/>
      </w:pPr>
      <w:r w:rsidRPr="001516ED">
        <w:t>31.</w:t>
      </w:r>
      <w:r w:rsidRPr="001516ED">
        <w:tab/>
        <w:t>Destaca que a segurança energética deve incluir o fornecimento de tecnologias limpas essenciais, componentes e matérias-primas críticas e regista a necessidade de diversificar o seu aprovisionamento; apela a um maior apoio à indústria transformadora de redes da UE enquanto pilar estratégico da transição energética, com especial destaque para a garantia de um ambiente regulamentar justo e competitivo para os fabricantes europeus, explorando simultaneamente o potencial dos requisitos de conteúdo local para reforçar a segurança energética, a resiliência da cadeia de abastecimento e a competitividade industrial; exorta a uma atualização do quadro relativo aos contratos públicos, a fim de simplificar e reduzir os encargos administrativos para os operadores de rede no acesso às tecnologias de rede necessárias;</w:t>
      </w:r>
    </w:p>
    <w:p w14:paraId="0E1E30A1" w14:textId="77777777" w:rsidR="007A70F3" w:rsidRPr="001516ED" w:rsidRDefault="007A70F3" w:rsidP="007A70F3">
      <w:pPr>
        <w:pStyle w:val="NormalHanging12a"/>
      </w:pPr>
      <w:r w:rsidRPr="001516ED">
        <w:t>32.</w:t>
      </w:r>
      <w:r w:rsidRPr="001516ED">
        <w:tab/>
        <w:t>Salienta a importância de integrar os princípios da circularidade na conceção de infraestruturas e equipamentos críticos e apela a um maior apoio à sua aplicação, com o objetivo de reduzir a dependência da UE das importações de matérias-primas estrangeiras e reforçar a eficiência na utilização dos recursos;</w:t>
      </w:r>
    </w:p>
    <w:p w14:paraId="373C51E7" w14:textId="77777777" w:rsidR="007A70F3" w:rsidRPr="001516ED" w:rsidRDefault="007A70F3" w:rsidP="007A70F3">
      <w:pPr>
        <w:pStyle w:val="Normal12a24b"/>
      </w:pPr>
      <w:r w:rsidRPr="001516ED">
        <w:rPr>
          <w:rStyle w:val="BoldItalic"/>
        </w:rPr>
        <w:t>Abandono progressivo do aprovisionamento energético russo</w:t>
      </w:r>
    </w:p>
    <w:p w14:paraId="201ED45A" w14:textId="77777777" w:rsidR="007A70F3" w:rsidRPr="001516ED" w:rsidRDefault="007A70F3" w:rsidP="007A70F3">
      <w:pPr>
        <w:pStyle w:val="NormalHanging12a"/>
      </w:pPr>
      <w:r w:rsidRPr="001516ED">
        <w:t>33.</w:t>
      </w:r>
      <w:r w:rsidRPr="001516ED">
        <w:tab/>
        <w:t>Salienta que os desafios colocados pela falta de solidariedade na UE e por alguns Estados-Membros que dão prioridade a interesses específicos sensibilizaram todo o continente para os perigos da dependência de um fornecedor de energia não fiável que utiliza as exportações de energia como arma; sublinha que os ensinamentos retirados da guerra de agressão da Rússia contra a Ucrânia devem estar no cerne das futuras ações da UE, destacando, em particular, a importância crucial de uma resposta europeia unida, a fim de eliminar dependências perigosas no aprovisionamento energético;</w:t>
      </w:r>
    </w:p>
    <w:p w14:paraId="59C53478" w14:textId="77777777" w:rsidR="007A70F3" w:rsidRPr="001516ED" w:rsidRDefault="007A70F3" w:rsidP="007A70F3">
      <w:pPr>
        <w:pStyle w:val="NormalHanging12a"/>
      </w:pPr>
      <w:r w:rsidRPr="001516ED">
        <w:t>34.</w:t>
      </w:r>
      <w:r w:rsidRPr="001516ED">
        <w:tab/>
        <w:t xml:space="preserve">Assinala que a UE realizou progressos na redução da sua dependência energética, em grande medida, graças ao plano </w:t>
      </w:r>
      <w:proofErr w:type="spellStart"/>
      <w:r w:rsidRPr="001516ED">
        <w:t>REPowerEU</w:t>
      </w:r>
      <w:proofErr w:type="spellEnd"/>
      <w:r w:rsidRPr="001516ED">
        <w:t xml:space="preserve"> e aos 16 pacotes de sanções, o que conduziu a uma diminuição das importações de gás russo (gasoduto e GNL) de 45 % do total das importações de gás da UE em 2021 para 19 % a partir de 2024;</w:t>
      </w:r>
    </w:p>
    <w:p w14:paraId="7D7ACD23" w14:textId="77777777" w:rsidR="007A70F3" w:rsidRPr="001516ED" w:rsidRDefault="007A70F3" w:rsidP="007A70F3">
      <w:pPr>
        <w:pStyle w:val="NormalHanging12a"/>
      </w:pPr>
      <w:r w:rsidRPr="001516ED">
        <w:t>35.</w:t>
      </w:r>
      <w:r w:rsidRPr="001516ED">
        <w:tab/>
        <w:t xml:space="preserve">Manifesta profunda preocupação pelo facto de a UE continuar a depender do gás russo e, além disso, ter registado recentemente um aumento, tendo as importações aumentado 18 % em 2024 </w:t>
      </w:r>
      <w:r w:rsidRPr="001516ED">
        <w:rPr>
          <w:color w:val="000000"/>
        </w:rPr>
        <w:t>e</w:t>
      </w:r>
      <w:r w:rsidRPr="001516ED">
        <w:t xml:space="preserve"> continuado a crescer em 2025</w:t>
      </w:r>
      <w:r w:rsidRPr="001516ED">
        <w:rPr>
          <w:color w:val="000000"/>
          <w:vertAlign w:val="superscript"/>
        </w:rPr>
        <w:footnoteReference w:id="40"/>
      </w:r>
      <w:r w:rsidRPr="001516ED">
        <w:t xml:space="preserve">; observa que, só em 2024, os Estados-Membros adquiriram um montante estimado de 7 mil milhões de EUR de GNL russo e que, desde a invasão da Ucrânia pela Rússia, a UE importou 200 mil milhões de EUR </w:t>
      </w:r>
      <w:r w:rsidRPr="001516ED">
        <w:lastRenderedPageBreak/>
        <w:t>de petróleo e gás russos, alimentando totalmente</w:t>
      </w:r>
      <w:r w:rsidRPr="001516ED">
        <w:rPr>
          <w:rStyle w:val="FootnoteReference"/>
        </w:rPr>
        <w:footnoteReference w:id="41"/>
      </w:r>
      <w:r w:rsidRPr="001516ED">
        <w:t xml:space="preserve"> a máquina de guerra russa;</w:t>
      </w:r>
    </w:p>
    <w:p w14:paraId="6B1CA6FB" w14:textId="77777777" w:rsidR="007A70F3" w:rsidRPr="001516ED" w:rsidRDefault="007A70F3" w:rsidP="007A70F3">
      <w:pPr>
        <w:pStyle w:val="NormalHanging12a"/>
      </w:pPr>
      <w:r w:rsidRPr="001516ED">
        <w:t>36.</w:t>
      </w:r>
      <w:r w:rsidRPr="001516ED">
        <w:tab/>
        <w:t>Congratula-se com a publicação de um roteiro para a eliminação progressiva das importações de energia russas, que deve abrir conduzir ao seu fim definitivo o mais rapidamente possível;</w:t>
      </w:r>
    </w:p>
    <w:p w14:paraId="453EE158" w14:textId="77777777" w:rsidR="007A70F3" w:rsidRPr="001516ED" w:rsidRDefault="007A70F3" w:rsidP="007A70F3">
      <w:pPr>
        <w:pStyle w:val="NormalHanging12a"/>
      </w:pPr>
      <w:r w:rsidRPr="001516ED">
        <w:t>37.</w:t>
      </w:r>
      <w:r w:rsidRPr="001516ED">
        <w:tab/>
        <w:t>Regozija-se com a proibição gradual das importações de gás russo proposta pela Comissão; salienta a necessidade de introduzir uma proibição à escala da UE de todas as importações de gás natural russo até 2027, o mais tardar, e de novos contratos e contratos à vista existentes até ao final de 2025; insiste em que os Estados-Membros, incluindo os que atualmente beneficiam de derrogações específicas para as importações de petróleo russo, devem, em última análise, eliminar progressivamente essas importações até 2027, o mais tardar; congratula-se com as próximas propostas legislativas a este respeito e insta a Comissão a explorar a utilização de todos os instrumentos transitórios disponíveis que possam conduzir ao fim das importações de combustíveis fósseis russos até 2027, como a introdução de um sistema de quotas regulares para as importações de gás russo para a UE e a introdução de um preço máximo para o GNL russo, na sequência de uma avaliação do impacto no mercado e nos preços; exorta a Comissão a fornecer às empresas da UE ferramentas eficazes e juridicamente sólidas para facilitar os seus esforços para se libertarem de contratos a longo prazo com fornecedores russos sem incorrerem em sanções;</w:t>
      </w:r>
    </w:p>
    <w:p w14:paraId="1857D80B" w14:textId="77777777" w:rsidR="007A70F3" w:rsidRPr="001516ED" w:rsidRDefault="007A70F3" w:rsidP="007A70F3">
      <w:pPr>
        <w:pStyle w:val="NormalHanging12a"/>
      </w:pPr>
      <w:r w:rsidRPr="001516ED">
        <w:t>38.</w:t>
      </w:r>
      <w:r w:rsidRPr="001516ED">
        <w:tab/>
        <w:t xml:space="preserve">Insta os Estados-Membros a incluírem os fornecimentos de gás à UE a partir dos terminais </w:t>
      </w:r>
      <w:proofErr w:type="spellStart"/>
      <w:r w:rsidRPr="001516ED">
        <w:t>Yamal</w:t>
      </w:r>
      <w:proofErr w:type="spellEnd"/>
      <w:r w:rsidRPr="001516ED">
        <w:t xml:space="preserve"> LNG e </w:t>
      </w:r>
      <w:proofErr w:type="spellStart"/>
      <w:r w:rsidRPr="001516ED">
        <w:t>Arctic</w:t>
      </w:r>
      <w:proofErr w:type="spellEnd"/>
      <w:r w:rsidRPr="001516ED">
        <w:t xml:space="preserve"> LNG 2 no âmbito das sanções da UE e das respetivas sanções da frota singular de navios de transporte de GNL de classe de gelo ligada ao projeto </w:t>
      </w:r>
      <w:proofErr w:type="spellStart"/>
      <w:r w:rsidRPr="001516ED">
        <w:t>Yamal</w:t>
      </w:r>
      <w:proofErr w:type="spellEnd"/>
      <w:r w:rsidRPr="001516ED">
        <w:t xml:space="preserve"> GNL; observa que a aplicação de sanções aos navios </w:t>
      </w:r>
      <w:proofErr w:type="spellStart"/>
      <w:r w:rsidRPr="001516ED">
        <w:t>metaneiros</w:t>
      </w:r>
      <w:proofErr w:type="spellEnd"/>
      <w:r w:rsidRPr="001516ED">
        <w:t xml:space="preserve"> seria altamente eficaz, uma vez que o número de navios </w:t>
      </w:r>
      <w:proofErr w:type="spellStart"/>
      <w:r w:rsidRPr="001516ED">
        <w:t>metaneiros</w:t>
      </w:r>
      <w:proofErr w:type="spellEnd"/>
      <w:r w:rsidRPr="001516ED">
        <w:t xml:space="preserve"> da classe de navegação no gelo no mundo é limitado; salienta que as ações acima referidas exigiriam avaliações adequadas dos impactos jurídicos e económicos nas empresas europeias em causa e para garantir a sua capacidade de saída dos contratos;</w:t>
      </w:r>
    </w:p>
    <w:p w14:paraId="7D07E71F" w14:textId="77777777" w:rsidR="007A70F3" w:rsidRPr="001516ED" w:rsidRDefault="007A70F3" w:rsidP="007A70F3">
      <w:pPr>
        <w:pStyle w:val="NormalHanging12a"/>
      </w:pPr>
      <w:r w:rsidRPr="001516ED">
        <w:t>39.</w:t>
      </w:r>
      <w:r w:rsidRPr="001516ED">
        <w:tab/>
        <w:t xml:space="preserve">Louva a inclusão da cadeia de abastecimento nuclear no roteiro; observa com preocupação que o combustível nuclear russo continua presente no mercado da UE, nomeadamente através de cadeias de abastecimento indiretas, e que, em 2023, 23,5 % do urânio consumido na UE provinha da Rússia e 30,1 % do urânio utilizado na frota nuclear da UE foi enriquecido pela Rússia; frisa que, embora os fornecedores nacionais estejam a aumentar a capacidade das suas instalações europeias para satisfazer o aumento da procura, à medida que os serviços de utilidade pública se afastam </w:t>
      </w:r>
      <w:proofErr w:type="spellStart"/>
      <w:r w:rsidRPr="001516ED">
        <w:t>proativamente</w:t>
      </w:r>
      <w:proofErr w:type="spellEnd"/>
      <w:r w:rsidRPr="001516ED">
        <w:t xml:space="preserve"> da oferta russa, são urgentemente necessárias decisões políticas claras a nível nacional e da UE para fazer face às vulnerabilidades acima referidas na cadeia de abastecimento nuclear; solicita, por conseguinte, apoio financeiro e administrativo a projetos na União que contribuam para uma maior autonomia e segurança do aprovisionamento de combustível nuclear;</w:t>
      </w:r>
    </w:p>
    <w:p w14:paraId="333A9B41" w14:textId="77777777" w:rsidR="007A70F3" w:rsidRPr="001516ED" w:rsidRDefault="007A70F3" w:rsidP="007A70F3">
      <w:pPr>
        <w:pStyle w:val="NormalHanging12a"/>
      </w:pPr>
      <w:r w:rsidRPr="001516ED">
        <w:t>40.</w:t>
      </w:r>
      <w:r w:rsidRPr="001516ED">
        <w:tab/>
        <w:t xml:space="preserve">Manifesta preocupação quanto ao facto de os dados oficiais não darem uma ideia completa das importações de energia russa e do seu destino final, uma vez que o </w:t>
      </w:r>
      <w:r w:rsidRPr="001516ED">
        <w:lastRenderedPageBreak/>
        <w:t>petróleo e o gás russos com novos rótulos continuam a entrar no mercado da UE; lamenta que tal ocorra, em alguns casos, com a tolerância dos intervenientes estatais envolvidos;</w:t>
      </w:r>
    </w:p>
    <w:p w14:paraId="6A62E45A" w14:textId="77777777" w:rsidR="007A70F3" w:rsidRPr="001516ED" w:rsidRDefault="007A70F3" w:rsidP="007A70F3">
      <w:pPr>
        <w:pStyle w:val="NormalHanging12a"/>
      </w:pPr>
      <w:r w:rsidRPr="001516ED">
        <w:t>41.</w:t>
      </w:r>
      <w:r w:rsidRPr="001516ED">
        <w:tab/>
        <w:t>Concorda que uma avaliação adequada da quantidade das importações de energia russa é uma condição necessária para acabar progressivamente com esta dependência; lamenta o contínuo branqueamento das importações de energia russas e salienta a necessidade de uma maior transparência no mercado da energia da UE; exorta os Estados-Membros a publicarem dados sobre a origem do gás russo importado, exportado e consumido e insta à aplicação de todas as medidas contra o branqueamento das importações de energia russas; observa que as obrigações de comunicação de informações pertinentes estabelecidas no Regulamento (UE) 2024/1787 relativo à redução das emissões de metano no setor da energia podem contribuir para alcançar este objetivo;</w:t>
      </w:r>
    </w:p>
    <w:p w14:paraId="6EDF456E" w14:textId="77777777" w:rsidR="007A70F3" w:rsidRPr="001516ED" w:rsidRDefault="007A70F3" w:rsidP="007A70F3">
      <w:pPr>
        <w:pStyle w:val="NormalHanging12a"/>
      </w:pPr>
      <w:r w:rsidRPr="001516ED">
        <w:t>42.</w:t>
      </w:r>
      <w:r w:rsidRPr="001516ED">
        <w:tab/>
        <w:t>Saúda as próximas propostas de mecanismos de transparência, monitorização e rastreabilidade, uma vez que a aplicação eficaz das sanções depende da existência de mecanismos de controlo compatíveis em todos os Estados-Membros; sublinha a necessidade urgente de criar um mecanismo jurídico que garanta a transparência e a rastreabilidade do gás natural proveniente da Rússia e exportado para a UE como gás natural liquefeito e por gasoduto, e que, mais tarde, abranja as importações de petróleo; salienta que este mecanismo deve ser alargado às importações de energia de outros destinos no futuro; entende que este mecanismo exige a cooperação entre vários serviços, designadamente os serviços de concorrência da UE, a Agência da União Europeia de Cooperação dos Reguladores da Energia (ACER) e as autoridades aduaneiras nacionais; solicita aos Estados-Membros que ponderem o reforço dos poderes de investigação criminal das autoridades aduaneiras nacionais, a fim de assegurar a eficácia do mecanismo acima referido e a introdução de medidas e coimas dissuasivas suficientes, tais como sanções financeiras adequadas para a evasão a sanções;</w:t>
      </w:r>
    </w:p>
    <w:p w14:paraId="06778D04" w14:textId="77777777" w:rsidR="007A70F3" w:rsidRPr="001516ED" w:rsidRDefault="007A70F3" w:rsidP="007A70F3">
      <w:pPr>
        <w:pStyle w:val="NormalHanging12a"/>
      </w:pPr>
      <w:r w:rsidRPr="001516ED">
        <w:t>43.</w:t>
      </w:r>
      <w:r w:rsidRPr="001516ED">
        <w:tab/>
        <w:t>Salienta a necessidade de adotar um quadro jurídico para a diversificação, exigindo que cada Estado-Membro elabore, de forma coordenada e através das autoridades competentes adequadas, um plano de saída para as fontes de energia russas e apoie e supervisione a preparação e execução de planos de saída especializados a nível das empresas ativas nos respetivos setores energéticos; considera que estes planos devem incluir dimensões de produção interna e de redução da procura;</w:t>
      </w:r>
    </w:p>
    <w:p w14:paraId="33699644" w14:textId="77777777" w:rsidR="007A70F3" w:rsidRPr="001516ED" w:rsidRDefault="007A70F3" w:rsidP="007A70F3">
      <w:pPr>
        <w:pStyle w:val="NormalHanging12a"/>
      </w:pPr>
      <w:r w:rsidRPr="001516ED">
        <w:t>44.</w:t>
      </w:r>
      <w:r w:rsidRPr="001516ED">
        <w:tab/>
        <w:t xml:space="preserve">Condena veementemente os apelos a favor do regresso às importações de energia russa no âmbito de um acordo de paz na Ucrânia; rejeita firmemente a ideia de uma eventual certificação do gasoduto </w:t>
      </w:r>
      <w:proofErr w:type="spellStart"/>
      <w:r w:rsidRPr="001516ED">
        <w:t>Nord</w:t>
      </w:r>
      <w:proofErr w:type="spellEnd"/>
      <w:r w:rsidRPr="001516ED">
        <w:t xml:space="preserve"> </w:t>
      </w:r>
      <w:proofErr w:type="spellStart"/>
      <w:r w:rsidRPr="001516ED">
        <w:t>Stream</w:t>
      </w:r>
      <w:proofErr w:type="spellEnd"/>
      <w:r w:rsidRPr="001516ED">
        <w:t xml:space="preserve"> 2 e insiste na desativação total dos gasodutos </w:t>
      </w:r>
      <w:proofErr w:type="spellStart"/>
      <w:r w:rsidRPr="001516ED">
        <w:t>Nord</w:t>
      </w:r>
      <w:proofErr w:type="spellEnd"/>
      <w:r w:rsidRPr="001516ED">
        <w:t xml:space="preserve"> </w:t>
      </w:r>
      <w:proofErr w:type="spellStart"/>
      <w:r w:rsidRPr="001516ED">
        <w:t>Stream</w:t>
      </w:r>
      <w:proofErr w:type="spellEnd"/>
      <w:r w:rsidRPr="001516ED">
        <w:t xml:space="preserve">; alerta para o risco de a UE voltar a uma situação de dependência de um fornecedor não fiável e insta a Comissão e os Estados-Membros a criar salvaguardas a este respeito, tais como uma assinatura pela Comissão de qualquer potencial contrato com a Rússia ou a utilização obrigatória da plataforma do mecanismo </w:t>
      </w:r>
      <w:proofErr w:type="spellStart"/>
      <w:r w:rsidRPr="001516ED">
        <w:t>AggregateEU</w:t>
      </w:r>
      <w:proofErr w:type="spellEnd"/>
      <w:r w:rsidRPr="001516ED">
        <w:t xml:space="preserve"> para este tipo de aquisições;</w:t>
      </w:r>
    </w:p>
    <w:p w14:paraId="74B670F0" w14:textId="77777777" w:rsidR="007A70F3" w:rsidRPr="001516ED" w:rsidRDefault="007A70F3" w:rsidP="007A70F3">
      <w:pPr>
        <w:pStyle w:val="NormalHanging12a"/>
      </w:pPr>
      <w:r w:rsidRPr="001516ED">
        <w:t>45.</w:t>
      </w:r>
      <w:r w:rsidRPr="001516ED">
        <w:tab/>
        <w:t xml:space="preserve">Recorda que a energia é uma necessidade fundamental; salienta que a eliminação progressiva das importações de energia russas deve ser um esforço coletivo, assegurando que nenhum Estado-Membro, empresa ou agregado familiar seja deixado para trás; frisa que os Estados-Membros também não estão posicionados para eliminar </w:t>
      </w:r>
      <w:r w:rsidRPr="001516ED">
        <w:lastRenderedPageBreak/>
        <w:t xml:space="preserve">progressivamente as importações de energia russas da mesma forma e, por conseguinte, insta a que haja uma forte solidariedade entre eles, a par de medidas de apoio adequadas por parte da Comissão para assegurar uma transição justa e coordenada; </w:t>
      </w:r>
    </w:p>
    <w:p w14:paraId="161796E9" w14:textId="77777777" w:rsidR="007A70F3" w:rsidRPr="001516ED" w:rsidRDefault="007A70F3" w:rsidP="007A70F3">
      <w:pPr>
        <w:pStyle w:val="NormalHanging12a"/>
      </w:pPr>
      <w:r w:rsidRPr="001516ED">
        <w:t>46.</w:t>
      </w:r>
      <w:r w:rsidRPr="001516ED">
        <w:tab/>
        <w:t xml:space="preserve">Observa que, a curto prazo, é necessário substituir progressivamente as importações de energia russas por fontes fiáveis de países terceiros e insta, por conseguinte, a Comissão a propor medidas que assegurem a sua substituição suficiente por parceiros de confiança; afirma, no entanto, que o aprovisionamento energético russo não deve ser substituído por novas dependências no aprovisionamento e que, assim, a longo prazo, as importações de energia devem ser progressivamente reduzidas através de medidas eficazes de apoio à descarbonização, à eletrificação, à eficiência energética e à poupança nos setores em que tal seja possível e eficiente em termos de custos, bem como através do desenvolvimento da produção interna de energia em conformidade com o plano </w:t>
      </w:r>
      <w:proofErr w:type="spellStart"/>
      <w:r w:rsidRPr="001516ED">
        <w:t>REPowerEU</w:t>
      </w:r>
      <w:proofErr w:type="spellEnd"/>
      <w:r w:rsidRPr="001516ED">
        <w:t xml:space="preserve">; </w:t>
      </w:r>
    </w:p>
    <w:p w14:paraId="22051587" w14:textId="77777777" w:rsidR="007A70F3" w:rsidRPr="001516ED" w:rsidRDefault="007A70F3" w:rsidP="007A70F3">
      <w:pPr>
        <w:pStyle w:val="NormalHanging12a"/>
      </w:pPr>
      <w:r w:rsidRPr="001516ED">
        <w:t>47.</w:t>
      </w:r>
      <w:r w:rsidRPr="001516ED">
        <w:tab/>
        <w:t>Salienta que a dependência energética da Rússia também não deve ser substituída por novas dependências de fornecedores individuais de tecnologias energéticas, componentes ou matérias-primas críticas;</w:t>
      </w:r>
    </w:p>
    <w:p w14:paraId="3817AE51" w14:textId="77777777" w:rsidR="007A70F3" w:rsidRPr="001516ED" w:rsidRDefault="007A70F3" w:rsidP="007A70F3">
      <w:pPr>
        <w:pStyle w:val="Normal12a24b"/>
      </w:pPr>
      <w:r w:rsidRPr="001516ED">
        <w:rPr>
          <w:rStyle w:val="BoldItalic"/>
        </w:rPr>
        <w:t>Revisão do quadro de segurança do aprovisionamento</w:t>
      </w:r>
    </w:p>
    <w:p w14:paraId="7F871DD5" w14:textId="77777777" w:rsidR="007A70F3" w:rsidRPr="001516ED" w:rsidRDefault="007A70F3" w:rsidP="007A70F3">
      <w:pPr>
        <w:pStyle w:val="NormalHanging12a"/>
      </w:pPr>
      <w:r w:rsidRPr="001516ED">
        <w:t>48.</w:t>
      </w:r>
      <w:r w:rsidRPr="001516ED">
        <w:tab/>
        <w:t xml:space="preserve">Congratula-se com a próxima revisão da arquitetura da segurança do aprovisionamento, incluindo o Regulamento Segurança do Aprovisionamento de Gás e o Regulamento Preparação para os Riscos da Eletricidade, bem como outra legislação pertinente; considera que a nova arquitetura de segurança do aprovisionamento da UE deve refletir mudanças fundamentais como a crescente integração </w:t>
      </w:r>
      <w:proofErr w:type="spellStart"/>
      <w:r w:rsidRPr="001516ED">
        <w:t>transetorial</w:t>
      </w:r>
      <w:proofErr w:type="spellEnd"/>
      <w:r w:rsidRPr="001516ED">
        <w:t xml:space="preserve"> do sistema energético, o novo panorama geopolítico, as profundas alterações nas rotas de aprovisionamento, o impacto das alterações climáticas, bem como as alterações na maturidade das tecnologias energéticas que se refletem em mudanças de custos nivelados da energia e as oportunidades que tal representa para a transição energética;</w:t>
      </w:r>
    </w:p>
    <w:p w14:paraId="7D906E5C" w14:textId="77777777" w:rsidR="007A70F3" w:rsidRPr="001516ED" w:rsidRDefault="007A70F3" w:rsidP="007A70F3">
      <w:pPr>
        <w:spacing w:after="240"/>
        <w:ind w:left="567" w:hanging="567"/>
      </w:pPr>
      <w:r w:rsidRPr="001516ED">
        <w:t>49.</w:t>
      </w:r>
      <w:r w:rsidRPr="001516ED">
        <w:tab/>
        <w:t xml:space="preserve">Assinala que a eficiência energética desempenha um papel fundamental no reforço da segurança do aprovisionamento energético, reduzindo a procura global de energia, diminuindo a dependência das importações de energia e aumentando a resiliência do sistema; considera que o novo quadro para a segurança do aprovisionamento deve ser alargado de modo a refletir um nova forma de entender a segurança do aprovisionamento energético, baseada não só em fontes de energia, mas também no princípio da prioridade à eficiência energética, poupança de energia, custo-eficiência e na capacidade de produção interna de diferentes tipos de energia; observa que, a curto prazo, a União deve concentrar-se no desmame eficaz e sólido das importações de energia russas sem lacunas, nomeadamente, garantindo o aprovisionamento alternativo de parceiros fiáveis e uma melhor utilização das infraestruturas existentes, continuando simultaneamente a desenvolver alternativas nacionais aos produtos energéticos importados, sempre que possível; sublinha, no entanto, o imperativo de desenvolver uma arquitetura de segurança do aprovisionamento preparada para o futuro que reduza sistematicamente a dependência de intervenientes externos, nomeadamente fazendo avanços na eficiência energética, promovendo a poupança de energia, reforçando a circularidade e assegurando o crescimento sustentado da produção interna de energia limpa e de infraestruturas energéticas descentralizadas bem protegidas; </w:t>
      </w:r>
    </w:p>
    <w:p w14:paraId="28E6B489" w14:textId="77777777" w:rsidR="007A70F3" w:rsidRPr="001516ED" w:rsidRDefault="007A70F3" w:rsidP="007A70F3">
      <w:pPr>
        <w:pStyle w:val="NormalHanging12a"/>
      </w:pPr>
      <w:r w:rsidRPr="001516ED">
        <w:t>50.</w:t>
      </w:r>
      <w:r w:rsidRPr="001516ED">
        <w:tab/>
        <w:t xml:space="preserve">Salienta a necessidade de dar prioridade à resiliência das infraestruturas energéticas, </w:t>
      </w:r>
      <w:r w:rsidRPr="001516ED">
        <w:lastRenderedPageBreak/>
        <w:t>com base nos ensinamentos retirados da guerra de agressão da Rússia contra a Ucrânia, nos ataques específicos aos seus sistemas energéticos e nos benefícios dos sistemas energéticos descentralizados; considera que os novos recursos energéticos devem ser «resilientes desde a conceção», notadamente a ameaças militares possíveis e fenómenos meteorológicos extremos;</w:t>
      </w:r>
    </w:p>
    <w:p w14:paraId="35A8C203" w14:textId="77777777" w:rsidR="007A70F3" w:rsidRPr="001516ED" w:rsidRDefault="007A70F3" w:rsidP="007A70F3">
      <w:pPr>
        <w:pStyle w:val="NormalHanging12a"/>
      </w:pPr>
      <w:r w:rsidRPr="001516ED">
        <w:t>51.</w:t>
      </w:r>
      <w:r w:rsidRPr="001516ED">
        <w:tab/>
        <w:t xml:space="preserve">Frisa a necessidade de uma maior cooperação, entre todos os intervenientes, em matéria de resiliência das infraestruturas energéticas face aos efeitos das mudanças climáticas e às ameaças de origem humana; insiste que a proteção destas infraestruturas exige uma maior participação dos governos, nomeadamente através de parcerias público-privadas; acolhe favoravelmente, a este respeito, a recomendação do relatório Niinistö de colaborar com o setor privado na institucionalização de esforços de redução dos riscos, testes de esforço </w:t>
      </w:r>
      <w:proofErr w:type="spellStart"/>
      <w:r w:rsidRPr="001516ED">
        <w:t>intersetoriais</w:t>
      </w:r>
      <w:proofErr w:type="spellEnd"/>
      <w:r w:rsidRPr="001516ED">
        <w:t xml:space="preserve"> e medidas de segurança proativas; exorta a Comissão a assegurar que essa cooperação se reflita nos planos de gestão e recuperação de incidentes e seja objeto de exercícios regulares; observa que a estratégia de preparação da União inclui ações para reforçar as parcerias público-privadas e insta a Comissão a continuar a desenvolver medidas específicas pertinentes para o setor da energia na revisão da arquitetura da segurança do aprovisionamento;</w:t>
      </w:r>
    </w:p>
    <w:p w14:paraId="2627C98E" w14:textId="77777777" w:rsidR="007A70F3" w:rsidRPr="001516ED" w:rsidRDefault="007A70F3" w:rsidP="007A70F3">
      <w:pPr>
        <w:pStyle w:val="NormalHanging12a"/>
      </w:pPr>
      <w:r w:rsidRPr="001516ED">
        <w:t>52.</w:t>
      </w:r>
      <w:r w:rsidRPr="001516ED">
        <w:tab/>
        <w:t xml:space="preserve">Assinala que é necessário ter em conta na arquitetura de segurança do aprovisionamento a integração de gases renováveis e com baixas emissões de carbono, como o </w:t>
      </w:r>
      <w:proofErr w:type="spellStart"/>
      <w:r w:rsidRPr="001516ED">
        <w:t>biometano</w:t>
      </w:r>
      <w:proofErr w:type="spellEnd"/>
      <w:r w:rsidRPr="001516ED">
        <w:t xml:space="preserve"> e o hidrogénio; recorda que a Estratégia para o Hidrogénio já reconheceu o papel que a produção de hidrogénio renovável e hipocarbónico pode desempenhar no fornecimento de flexibilidade e armazenamento num sistema energético integrado com uma elevada quota de energias renováveis; insta a Comissão a reconhecer as complementaridades entre o hidrogénio e a eletricidade no futuro plano de ação para a eletrificação, em consonância com a integração do setor da energia, e a estabelecer condições claras para o aumento do hidrogénio, a fim de contribuir para a transição energética, em particular nos setores em que é difícil reduzir as emissões;</w:t>
      </w:r>
    </w:p>
    <w:p w14:paraId="5F6C059B" w14:textId="77777777" w:rsidR="007A70F3" w:rsidRPr="001516ED" w:rsidRDefault="007A70F3" w:rsidP="007A70F3">
      <w:pPr>
        <w:pStyle w:val="NormalHanging12a"/>
      </w:pPr>
      <w:r w:rsidRPr="001516ED">
        <w:t>53.</w:t>
      </w:r>
      <w:r w:rsidRPr="001516ED">
        <w:tab/>
        <w:t>Frisa a necessidade de incluir os riscos de acessibilidade dos preços nas avaliações nacionais dos riscos; solicita transparência na aplicação de medidas nacionais de preparação para os riscos, para aumentar a confiança entre os Estados-Membros; regista as vantagens de uma maior coerência nas categorias de consumidores protegidos (categorias coerentes e gradação da prioridade de corte da ligação para os utilizadores da rede), a fim de permitir a definição de planos coordenados de redução da carga dos consumidores, incluindo planos de apoio aos agregados familiares vulneráveis afetados ou em risco de pobreza energética durante uma crise energética;</w:t>
      </w:r>
    </w:p>
    <w:p w14:paraId="4E1FEDEA" w14:textId="77777777" w:rsidR="007A70F3" w:rsidRPr="001516ED" w:rsidRDefault="007A70F3" w:rsidP="007A70F3">
      <w:pPr>
        <w:pStyle w:val="NormalHanging12a"/>
      </w:pPr>
      <w:r w:rsidRPr="001516ED">
        <w:t>54.</w:t>
      </w:r>
      <w:r w:rsidRPr="001516ED">
        <w:tab/>
        <w:t xml:space="preserve">Salienta a necessidade de uma política energética unificada, resiliente e estrategicamente coordenada; sublinha que, à medida que os mercados da energia da UE se tornam mais integrados, a segurança energética se torna cada vez mais uma responsabilidade partilhada dos Estados-Membros, exigindo assim solidariedade e coordenação, a fim de evitar ações unilaterais que possam comprometer a segurança de toda a UE; adverte que uma decisão unilateral de um único interveniente de celebrar um acordo energético prejudicial com um país terceiro pode expor toda a UE a novas crises energéticas, à volatilidade dos preços e a pressões geopolíticas; </w:t>
      </w:r>
    </w:p>
    <w:p w14:paraId="39F70559" w14:textId="77777777" w:rsidR="007A70F3" w:rsidRPr="001516ED" w:rsidRDefault="007A70F3" w:rsidP="007A70F3">
      <w:pPr>
        <w:pStyle w:val="NormalHanging12a"/>
      </w:pPr>
      <w:r w:rsidRPr="001516ED">
        <w:t>55.</w:t>
      </w:r>
      <w:r w:rsidRPr="001516ED">
        <w:tab/>
        <w:t xml:space="preserve">Chama a atenção para a necessidade de uma maior coordenação entre os Estados-Membros no que diz respeito ao desmantelamento de unidades de produção envelhecidas com impacto transfronteiriço, bem como à retirada do sistema de </w:t>
      </w:r>
      <w:r w:rsidRPr="001516ED">
        <w:lastRenderedPageBreak/>
        <w:t xml:space="preserve">capacidade de produção, a fim de assegurar que as instalações alternativas foram concluídas e estão em funcionamento, uma vez que tal afeta a disponibilidade e a acessibilidade dos preços da energia nos países vizinhos; </w:t>
      </w:r>
    </w:p>
    <w:p w14:paraId="5494EAEB" w14:textId="77777777" w:rsidR="007A70F3" w:rsidRPr="001516ED" w:rsidRDefault="007A70F3" w:rsidP="007A70F3">
      <w:pPr>
        <w:pStyle w:val="NormalHanging12a"/>
      </w:pPr>
      <w:r w:rsidRPr="001516ED">
        <w:t>56.</w:t>
      </w:r>
      <w:r w:rsidRPr="001516ED">
        <w:tab/>
        <w:t>Sublinha que as tecnologias baseadas em dados devem ter um impacto positivo na gestão da segurança energética; reconhece a importância de informações e dados abrangentes sobre a energia para identificar e responder à evolução das ameaças à segurança energética e no planeamento das infraestruturas, e apela a uma melhor coordenação na recolha dessas informações e dados;</w:t>
      </w:r>
    </w:p>
    <w:p w14:paraId="70050D10" w14:textId="77777777" w:rsidR="007A70F3" w:rsidRPr="001516ED" w:rsidRDefault="007A70F3" w:rsidP="007A70F3">
      <w:pPr>
        <w:pStyle w:val="NormalHanging12a"/>
      </w:pPr>
      <w:r w:rsidRPr="001516ED">
        <w:t>57.</w:t>
      </w:r>
      <w:r w:rsidRPr="001516ED">
        <w:tab/>
        <w:t>Exorta a Comissão a incluir na proposta relativa à segurança do aprovisionamento disposições técnicas para a normalização e a interoperabilidade dos componentes críticos do sistema energético da UE, em particular os transformadores elétricos, a fim de assegurar que a falta de normalização não prejudique a solidariedade europeia;</w:t>
      </w:r>
    </w:p>
    <w:p w14:paraId="0CD31AE6" w14:textId="77777777" w:rsidR="007A70F3" w:rsidRPr="001516ED" w:rsidRDefault="007A70F3" w:rsidP="007A70F3">
      <w:pPr>
        <w:pStyle w:val="NormalHanging12a"/>
      </w:pPr>
      <w:r w:rsidRPr="001516ED">
        <w:t>58.</w:t>
      </w:r>
      <w:r w:rsidRPr="001516ED">
        <w:tab/>
        <w:t>Congratula-se com a criação pela Rede Europeia dos Operadores das Redes de Transporte de Eletricidade (REORT-E) de um novo grupo de trabalho sobre a segurança das infraestruturas críticas, destinado a analisar e propor recomendações sobre o tema da segurança das infraestruturas críticas; salienta a importância de incorporar os ensinamentos retirados da experiência da Ucrânia, incluindo os valiosos conhecimentos especializados da unidade específica do operador da rede de transporte (ORT) ucraniana encarregada de identificar e mitigar as ameaças às infraestruturas críticas; insta a Comissão a colaborar estreitamente com a REORT-E para fornecer uma avaliação sistémica e abrangente das ameaças à rede elétrica da UE, a concluir até 2026;</w:t>
      </w:r>
    </w:p>
    <w:p w14:paraId="1BE90B66" w14:textId="77777777" w:rsidR="000C1172" w:rsidRPr="001516ED" w:rsidRDefault="000C1172" w:rsidP="000C1172">
      <w:pPr>
        <w:pStyle w:val="NormalHanging12a"/>
        <w:widowControl/>
        <w:ind w:left="0" w:firstLine="0"/>
        <w:jc w:val="center"/>
      </w:pPr>
      <w:r w:rsidRPr="001516ED">
        <w:t>°</w:t>
      </w:r>
    </w:p>
    <w:p w14:paraId="7F01A82F" w14:textId="77777777" w:rsidR="000C1172" w:rsidRPr="001516ED" w:rsidRDefault="000C1172" w:rsidP="000C1172">
      <w:pPr>
        <w:pStyle w:val="NormalHanging12a"/>
        <w:widowControl/>
        <w:ind w:left="0" w:firstLine="0"/>
        <w:jc w:val="center"/>
      </w:pPr>
      <w:r w:rsidRPr="001516ED">
        <w:t>°     °</w:t>
      </w:r>
    </w:p>
    <w:p w14:paraId="116EBB87" w14:textId="77777777" w:rsidR="008A4EA2" w:rsidRPr="001516ED" w:rsidRDefault="007A70F3" w:rsidP="008A4EA2">
      <w:pPr>
        <w:pStyle w:val="NormalHanging12a"/>
      </w:pPr>
      <w:r w:rsidRPr="001516ED">
        <w:t>59.</w:t>
      </w:r>
      <w:r w:rsidRPr="001516ED">
        <w:tab/>
        <w:t>Encarrega a sua Presidente de transmitir a presente resolução ao Conselho e à Comissão.</w:t>
      </w:r>
    </w:p>
    <w:p w14:paraId="601CF7AB" w14:textId="77777777" w:rsidR="00E365E1" w:rsidRPr="001516ED" w:rsidRDefault="00E365E1" w:rsidP="009C61B7"/>
    <w:sectPr w:rsidR="00E365E1" w:rsidRPr="001516ED" w:rsidSect="008A4E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3A7D9" w14:textId="77777777" w:rsidR="009C61B7" w:rsidRPr="008A4EA2" w:rsidRDefault="009C61B7">
      <w:r w:rsidRPr="008A4EA2">
        <w:separator/>
      </w:r>
    </w:p>
  </w:endnote>
  <w:endnote w:type="continuationSeparator" w:id="0">
    <w:p w14:paraId="7E5A1005" w14:textId="77777777" w:rsidR="009C61B7" w:rsidRPr="008A4EA2" w:rsidRDefault="009C61B7">
      <w:r w:rsidRPr="008A4E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4796A" w14:textId="77777777" w:rsidR="00064002" w:rsidRPr="008A4EA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3700A" w14:textId="77777777" w:rsidR="00064002" w:rsidRPr="008A4EA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C314A" w14:textId="77777777" w:rsidR="00064002" w:rsidRPr="008A4EA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47A64" w14:textId="77777777" w:rsidR="009C61B7" w:rsidRPr="008A4EA2" w:rsidRDefault="009C61B7">
      <w:r w:rsidRPr="008A4EA2">
        <w:separator/>
      </w:r>
    </w:p>
  </w:footnote>
  <w:footnote w:type="continuationSeparator" w:id="0">
    <w:p w14:paraId="304B9333" w14:textId="77777777" w:rsidR="009C61B7" w:rsidRPr="008A4EA2" w:rsidRDefault="009C61B7">
      <w:r w:rsidRPr="008A4EA2">
        <w:continuationSeparator/>
      </w:r>
    </w:p>
  </w:footnote>
  <w:footnote w:id="1">
    <w:p w14:paraId="66EBC91C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fi-FI"/>
        </w:rPr>
      </w:pPr>
      <w:r w:rsidRPr="00503019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fi-FI"/>
        </w:rPr>
        <w:t xml:space="preserve"> </w:t>
      </w:r>
      <w:r w:rsidR="008A4EA2" w:rsidRPr="001516ED">
        <w:rPr>
          <w:szCs w:val="24"/>
          <w:lang w:val="fi-FI"/>
        </w:rPr>
        <w:tab/>
      </w:r>
      <w:r w:rsidRPr="001516ED">
        <w:rPr>
          <w:szCs w:val="24"/>
          <w:lang w:val="fi-FI"/>
        </w:rPr>
        <w:t xml:space="preserve">JO L 265 de 9.10.2009, p. 9, ELI: </w:t>
      </w:r>
      <w:hyperlink r:id="rId1" w:history="1">
        <w:r w:rsidRPr="001516ED">
          <w:rPr>
            <w:rStyle w:val="Hyperlink"/>
            <w:szCs w:val="24"/>
            <w:lang w:val="fi-FI"/>
          </w:rPr>
          <w:t>http://data.europa.eu/eli/dir/2009/119/oj</w:t>
        </w:r>
      </w:hyperlink>
      <w:r w:rsidRPr="001516ED">
        <w:rPr>
          <w:szCs w:val="24"/>
          <w:lang w:val="fi-FI"/>
        </w:rPr>
        <w:t xml:space="preserve">. </w:t>
      </w:r>
    </w:p>
  </w:footnote>
  <w:footnote w:id="2">
    <w:p w14:paraId="7E8F1D5F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fi-FI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fi-FI"/>
        </w:rPr>
        <w:t xml:space="preserve"> </w:t>
      </w:r>
      <w:r w:rsidR="008A4EA2" w:rsidRPr="001516ED">
        <w:rPr>
          <w:szCs w:val="24"/>
          <w:lang w:val="fi-FI"/>
        </w:rPr>
        <w:tab/>
      </w:r>
      <w:r w:rsidRPr="001516ED">
        <w:rPr>
          <w:szCs w:val="24"/>
          <w:lang w:val="fi-FI"/>
        </w:rPr>
        <w:t xml:space="preserve">JO L 280 de 28.10.2017, p. 1, ELI: </w:t>
      </w:r>
      <w:hyperlink r:id="rId2" w:history="1">
        <w:r w:rsidRPr="001516ED">
          <w:rPr>
            <w:rStyle w:val="Hyperlink"/>
            <w:szCs w:val="24"/>
            <w:lang w:val="fi-FI"/>
          </w:rPr>
          <w:t>http://data.europa.eu/eli/reg/2017/1938/oj</w:t>
        </w:r>
      </w:hyperlink>
      <w:r w:rsidRPr="001516ED">
        <w:rPr>
          <w:szCs w:val="24"/>
          <w:lang w:val="fi-FI"/>
        </w:rPr>
        <w:t xml:space="preserve">. </w:t>
      </w:r>
    </w:p>
  </w:footnote>
  <w:footnote w:id="3">
    <w:p w14:paraId="5366BC6C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fi-FI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fi-FI"/>
        </w:rPr>
        <w:t xml:space="preserve"> </w:t>
      </w:r>
      <w:r w:rsidR="008A4EA2" w:rsidRPr="001516ED">
        <w:rPr>
          <w:szCs w:val="24"/>
          <w:lang w:val="fi-FI"/>
        </w:rPr>
        <w:tab/>
      </w:r>
      <w:r w:rsidRPr="001516ED">
        <w:rPr>
          <w:szCs w:val="24"/>
          <w:lang w:val="fi-FI"/>
        </w:rPr>
        <w:t xml:space="preserve">JO L 158 de 14.6.2019, p. 125, ELI: </w:t>
      </w:r>
      <w:hyperlink r:id="rId3" w:history="1">
        <w:r w:rsidRPr="001516ED">
          <w:rPr>
            <w:rStyle w:val="Hyperlink"/>
            <w:szCs w:val="24"/>
            <w:lang w:val="fi-FI"/>
          </w:rPr>
          <w:t>http://data.europa.eu/eli/dir/2019/944/oj</w:t>
        </w:r>
      </w:hyperlink>
      <w:r w:rsidRPr="001516ED">
        <w:rPr>
          <w:szCs w:val="24"/>
          <w:lang w:val="fi-FI"/>
        </w:rPr>
        <w:t xml:space="preserve">. </w:t>
      </w:r>
    </w:p>
  </w:footnote>
  <w:footnote w:id="4">
    <w:p w14:paraId="27575F44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fi-FI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fi-FI"/>
        </w:rPr>
        <w:t xml:space="preserve"> </w:t>
      </w:r>
      <w:r w:rsidR="008A4EA2" w:rsidRPr="001516ED">
        <w:rPr>
          <w:szCs w:val="24"/>
          <w:lang w:val="fi-FI"/>
        </w:rPr>
        <w:tab/>
      </w:r>
      <w:r w:rsidRPr="001516ED">
        <w:rPr>
          <w:szCs w:val="24"/>
          <w:lang w:val="fi-FI"/>
        </w:rPr>
        <w:t xml:space="preserve">JO L 158 de 14.6.2019, p. 54, ELI: </w:t>
      </w:r>
      <w:hyperlink r:id="rId4" w:history="1">
        <w:r w:rsidRPr="001516ED">
          <w:rPr>
            <w:rStyle w:val="Hyperlink"/>
            <w:szCs w:val="24"/>
            <w:lang w:val="fi-FI"/>
          </w:rPr>
          <w:t>http://data.europa.eu/eli/reg/2019/943/oj</w:t>
        </w:r>
      </w:hyperlink>
      <w:r w:rsidRPr="001516ED">
        <w:rPr>
          <w:szCs w:val="24"/>
          <w:lang w:val="fi-FI"/>
        </w:rPr>
        <w:t xml:space="preserve">. </w:t>
      </w:r>
    </w:p>
  </w:footnote>
  <w:footnote w:id="5">
    <w:p w14:paraId="5DEE79FC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fi-FI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fi-FI"/>
        </w:rPr>
        <w:t xml:space="preserve"> </w:t>
      </w:r>
      <w:r w:rsidR="008A4EA2" w:rsidRPr="001516ED">
        <w:rPr>
          <w:szCs w:val="24"/>
          <w:lang w:val="fi-FI"/>
        </w:rPr>
        <w:tab/>
      </w:r>
      <w:r w:rsidRPr="001516ED">
        <w:rPr>
          <w:szCs w:val="24"/>
          <w:lang w:val="fi-FI"/>
        </w:rPr>
        <w:t xml:space="preserve">JO L 158 de 14.6.2019, p. 1, ELI: </w:t>
      </w:r>
      <w:hyperlink r:id="rId5" w:history="1">
        <w:r w:rsidRPr="001516ED">
          <w:rPr>
            <w:rStyle w:val="Hyperlink"/>
            <w:szCs w:val="24"/>
            <w:lang w:val="fi-FI"/>
          </w:rPr>
          <w:t>http://data.europa.eu/eli/reg/2019/941/oj</w:t>
        </w:r>
      </w:hyperlink>
      <w:r w:rsidRPr="001516ED">
        <w:rPr>
          <w:szCs w:val="24"/>
          <w:lang w:val="fi-FI"/>
        </w:rPr>
        <w:t xml:space="preserve">. </w:t>
      </w:r>
    </w:p>
  </w:footnote>
  <w:footnote w:id="6">
    <w:p w14:paraId="20CAA0ED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fi-FI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fi-FI"/>
        </w:rPr>
        <w:t xml:space="preserve"> </w:t>
      </w:r>
      <w:r w:rsidR="008A4EA2" w:rsidRPr="001516ED">
        <w:rPr>
          <w:szCs w:val="24"/>
          <w:lang w:val="fi-FI"/>
        </w:rPr>
        <w:tab/>
      </w:r>
      <w:r w:rsidRPr="001516ED">
        <w:rPr>
          <w:szCs w:val="24"/>
          <w:lang w:val="fi-FI"/>
        </w:rPr>
        <w:t xml:space="preserve">JO L 249 de 14.7.2021, p. 38, ELI: </w:t>
      </w:r>
      <w:hyperlink r:id="rId6" w:history="1">
        <w:r w:rsidRPr="001516ED">
          <w:rPr>
            <w:rStyle w:val="Hyperlink"/>
            <w:szCs w:val="24"/>
            <w:lang w:val="fi-FI"/>
          </w:rPr>
          <w:t>http://data.europa.eu/eli/reg/2021/1153/oj</w:t>
        </w:r>
      </w:hyperlink>
      <w:r w:rsidRPr="001516ED">
        <w:rPr>
          <w:szCs w:val="24"/>
          <w:lang w:val="fi-FI"/>
        </w:rPr>
        <w:t xml:space="preserve">. </w:t>
      </w:r>
    </w:p>
  </w:footnote>
  <w:footnote w:id="7">
    <w:p w14:paraId="188C588D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fi-FI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fi-FI"/>
        </w:rPr>
        <w:t xml:space="preserve"> </w:t>
      </w:r>
      <w:r w:rsidR="008A4EA2" w:rsidRPr="001516ED">
        <w:rPr>
          <w:szCs w:val="24"/>
          <w:lang w:val="fi-FI"/>
        </w:rPr>
        <w:tab/>
      </w:r>
      <w:r w:rsidRPr="001516ED">
        <w:rPr>
          <w:szCs w:val="24"/>
          <w:lang w:val="fi-FI"/>
        </w:rPr>
        <w:t>JO L 243 de 9.7.2021, p. 1,</w:t>
      </w:r>
      <w:r w:rsidR="00CF1A6E" w:rsidRPr="001516ED">
        <w:rPr>
          <w:szCs w:val="24"/>
          <w:lang w:val="fi-FI"/>
        </w:rPr>
        <w:t xml:space="preserve"> </w:t>
      </w:r>
      <w:r w:rsidRPr="001516ED">
        <w:rPr>
          <w:szCs w:val="24"/>
          <w:lang w:val="fi-FI"/>
        </w:rPr>
        <w:t xml:space="preserve">ELI: </w:t>
      </w:r>
      <w:hyperlink r:id="rId7" w:tooltip="Dá acesso ao presente documento através do respetivo URI do ELI." w:history="1">
        <w:r w:rsidRPr="001516ED">
          <w:rPr>
            <w:color w:val="337AB7"/>
            <w:szCs w:val="24"/>
            <w:u w:val="single"/>
            <w:shd w:val="clear" w:color="auto" w:fill="FFFFFF"/>
            <w:lang w:val="fi-FI"/>
          </w:rPr>
          <w:t>http://data.europa.eu/eli/reg/2021/1119/oj</w:t>
        </w:r>
      </w:hyperlink>
      <w:r w:rsidRPr="001516ED">
        <w:rPr>
          <w:szCs w:val="24"/>
          <w:lang w:val="fi-FI"/>
        </w:rPr>
        <w:t>.</w:t>
      </w:r>
    </w:p>
  </w:footnote>
  <w:footnote w:id="8">
    <w:p w14:paraId="5B2DD264" w14:textId="77777777" w:rsidR="007A70F3" w:rsidRPr="001516ED" w:rsidRDefault="007A70F3" w:rsidP="008A4EA2">
      <w:pPr>
        <w:ind w:left="567" w:hanging="567"/>
        <w:rPr>
          <w:szCs w:val="24"/>
          <w:lang w:val="fi-FI"/>
        </w:rPr>
      </w:pPr>
      <w:r w:rsidRPr="001516ED">
        <w:rPr>
          <w:rStyle w:val="FootnoteReference"/>
          <w:szCs w:val="24"/>
        </w:rPr>
        <w:footnoteRef/>
      </w:r>
      <w:r w:rsidR="008A4EA2" w:rsidRPr="001516ED">
        <w:rPr>
          <w:szCs w:val="24"/>
          <w:lang w:val="fi-FI"/>
        </w:rPr>
        <w:t xml:space="preserve"> </w:t>
      </w:r>
      <w:r w:rsidR="008A4EA2" w:rsidRPr="001516ED">
        <w:rPr>
          <w:szCs w:val="24"/>
          <w:lang w:val="fi-FI"/>
        </w:rPr>
        <w:tab/>
      </w:r>
      <w:r w:rsidRPr="001516ED">
        <w:rPr>
          <w:szCs w:val="24"/>
          <w:lang w:val="fi-FI"/>
        </w:rPr>
        <w:t xml:space="preserve">JO L 152 de 3.6.2022, p. 45, ELI: </w:t>
      </w:r>
      <w:hyperlink r:id="rId8" w:history="1">
        <w:r w:rsidRPr="001516ED">
          <w:rPr>
            <w:rStyle w:val="Hyperlink"/>
            <w:szCs w:val="24"/>
            <w:lang w:val="fi-FI"/>
          </w:rPr>
          <w:t>http://data.europa.eu/eli/reg/2022/869/oj</w:t>
        </w:r>
      </w:hyperlink>
      <w:r w:rsidRPr="001516ED">
        <w:rPr>
          <w:szCs w:val="24"/>
          <w:lang w:val="fi-FI"/>
        </w:rPr>
        <w:t xml:space="preserve">. </w:t>
      </w:r>
    </w:p>
  </w:footnote>
  <w:footnote w:id="9">
    <w:p w14:paraId="07ED36E0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da-DK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da-DK"/>
        </w:rPr>
        <w:t xml:space="preserve"> </w:t>
      </w:r>
      <w:r w:rsidR="008A4EA2" w:rsidRPr="001516ED">
        <w:rPr>
          <w:szCs w:val="24"/>
          <w:lang w:val="da-DK"/>
        </w:rPr>
        <w:tab/>
      </w:r>
      <w:r w:rsidRPr="001516ED">
        <w:rPr>
          <w:szCs w:val="24"/>
          <w:lang w:val="da-DK"/>
        </w:rPr>
        <w:t xml:space="preserve">JO L 231 de 20.9.2023, p. 1, </w:t>
      </w:r>
      <w:r w:rsidRPr="001516ED">
        <w:rPr>
          <w:szCs w:val="24"/>
          <w:shd w:val="clear" w:color="auto" w:fill="FFFFFF"/>
          <w:lang w:val="da-DK"/>
        </w:rPr>
        <w:t>ELI: </w:t>
      </w:r>
      <w:hyperlink r:id="rId9" w:tooltip="Dá acesso ao presente documento através do respetivo URI do ELI." w:history="1">
        <w:r w:rsidRPr="001516ED">
          <w:rPr>
            <w:color w:val="337AB7"/>
            <w:szCs w:val="24"/>
            <w:u w:val="single"/>
            <w:shd w:val="clear" w:color="auto" w:fill="FFFFFF"/>
            <w:lang w:val="da-DK"/>
          </w:rPr>
          <w:t>http://data.europa.eu/eli/dir/2023/1791/oj</w:t>
        </w:r>
      </w:hyperlink>
      <w:r w:rsidRPr="001516ED">
        <w:rPr>
          <w:szCs w:val="24"/>
          <w:lang w:val="da-DK"/>
        </w:rPr>
        <w:t>.</w:t>
      </w:r>
    </w:p>
  </w:footnote>
  <w:footnote w:id="10">
    <w:p w14:paraId="325EDC1C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fi-FI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fi-FI"/>
        </w:rPr>
        <w:t xml:space="preserve"> </w:t>
      </w:r>
      <w:r w:rsidR="008A4EA2" w:rsidRPr="001516ED">
        <w:rPr>
          <w:szCs w:val="24"/>
          <w:lang w:val="fi-FI"/>
        </w:rPr>
        <w:tab/>
      </w:r>
      <w:r w:rsidRPr="001516ED">
        <w:rPr>
          <w:szCs w:val="24"/>
          <w:lang w:val="fi-FI"/>
        </w:rPr>
        <w:t xml:space="preserve">JO L, 2023/2413, 31.10.2023, ELI: </w:t>
      </w:r>
      <w:hyperlink r:id="rId10" w:history="1">
        <w:r w:rsidRPr="001516ED">
          <w:rPr>
            <w:rStyle w:val="Hyperlink"/>
            <w:szCs w:val="24"/>
            <w:lang w:val="fi-FI"/>
          </w:rPr>
          <w:t>http://data.europa.eu/eli/dir/2023/2413/oj</w:t>
        </w:r>
      </w:hyperlink>
      <w:r w:rsidRPr="001516ED">
        <w:rPr>
          <w:szCs w:val="24"/>
          <w:lang w:val="fi-FI"/>
        </w:rPr>
        <w:t>.</w:t>
      </w:r>
    </w:p>
  </w:footnote>
  <w:footnote w:id="11">
    <w:p w14:paraId="7C2EE281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fi-FI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fi-FI"/>
        </w:rPr>
        <w:t xml:space="preserve"> </w:t>
      </w:r>
      <w:r w:rsidR="008A4EA2" w:rsidRPr="001516ED">
        <w:rPr>
          <w:szCs w:val="24"/>
          <w:lang w:val="fi-FI"/>
        </w:rPr>
        <w:tab/>
      </w:r>
      <w:r w:rsidRPr="001516ED">
        <w:rPr>
          <w:szCs w:val="24"/>
          <w:lang w:val="fi-FI"/>
        </w:rPr>
        <w:t xml:space="preserve">JO L, 2024/1788, 15.7.2024, ELI: </w:t>
      </w:r>
      <w:hyperlink r:id="rId11" w:history="1">
        <w:r w:rsidRPr="001516ED">
          <w:rPr>
            <w:rStyle w:val="Hyperlink"/>
            <w:szCs w:val="24"/>
            <w:lang w:val="fi-FI"/>
          </w:rPr>
          <w:t>http://data.europa.eu/eli/dir/2024/1788/oj</w:t>
        </w:r>
      </w:hyperlink>
      <w:r w:rsidRPr="001516ED">
        <w:rPr>
          <w:szCs w:val="24"/>
          <w:lang w:val="fi-FI"/>
        </w:rPr>
        <w:t xml:space="preserve">. </w:t>
      </w:r>
    </w:p>
  </w:footnote>
  <w:footnote w:id="12">
    <w:p w14:paraId="2DB461E1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fi-FI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fi-FI"/>
        </w:rPr>
        <w:t xml:space="preserve"> </w:t>
      </w:r>
      <w:r w:rsidR="008A4EA2" w:rsidRPr="001516ED">
        <w:rPr>
          <w:szCs w:val="24"/>
          <w:lang w:val="fi-FI"/>
        </w:rPr>
        <w:tab/>
      </w:r>
      <w:r w:rsidRPr="001516ED">
        <w:rPr>
          <w:szCs w:val="24"/>
          <w:lang w:val="fi-FI"/>
        </w:rPr>
        <w:t xml:space="preserve">JO L, 2024/1789, 15.7.2024, ELI: </w:t>
      </w:r>
      <w:hyperlink r:id="rId12" w:history="1">
        <w:r w:rsidRPr="001516ED">
          <w:rPr>
            <w:rStyle w:val="Hyperlink"/>
            <w:szCs w:val="24"/>
            <w:lang w:val="fi-FI"/>
          </w:rPr>
          <w:t>http://data.europa.eu/eli/reg/2024/1789/oj</w:t>
        </w:r>
      </w:hyperlink>
      <w:r w:rsidRPr="001516ED">
        <w:rPr>
          <w:szCs w:val="24"/>
          <w:lang w:val="fi-FI"/>
        </w:rPr>
        <w:t>.</w:t>
      </w:r>
    </w:p>
  </w:footnote>
  <w:footnote w:id="13">
    <w:p w14:paraId="7C1BC7AE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fi-FI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fi-FI"/>
        </w:rPr>
        <w:t xml:space="preserve"> </w:t>
      </w:r>
      <w:r w:rsidR="008A4EA2" w:rsidRPr="001516ED">
        <w:rPr>
          <w:szCs w:val="24"/>
          <w:lang w:val="fi-FI"/>
        </w:rPr>
        <w:tab/>
      </w:r>
      <w:r w:rsidRPr="001516ED">
        <w:rPr>
          <w:szCs w:val="24"/>
          <w:lang w:val="fi-FI"/>
        </w:rPr>
        <w:t xml:space="preserve">JO L, 2024/1787, 15.7.2024, ELI: </w:t>
      </w:r>
      <w:hyperlink r:id="rId13" w:history="1">
        <w:r w:rsidRPr="001516ED">
          <w:rPr>
            <w:rStyle w:val="Hyperlink"/>
            <w:szCs w:val="24"/>
            <w:lang w:val="fi-FI"/>
          </w:rPr>
          <w:t>http://data.europa.eu/eli/reg/2024/1787/oj</w:t>
        </w:r>
      </w:hyperlink>
      <w:r w:rsidRPr="001516ED">
        <w:rPr>
          <w:szCs w:val="24"/>
          <w:lang w:val="fi-FI"/>
        </w:rPr>
        <w:t>.</w:t>
      </w:r>
    </w:p>
  </w:footnote>
  <w:footnote w:id="14">
    <w:p w14:paraId="50C86156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fi-FI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fi-FI"/>
        </w:rPr>
        <w:t xml:space="preserve"> </w:t>
      </w:r>
      <w:r w:rsidR="008A4EA2" w:rsidRPr="001516ED">
        <w:rPr>
          <w:szCs w:val="24"/>
          <w:lang w:val="fi-FI"/>
        </w:rPr>
        <w:tab/>
      </w:r>
      <w:r w:rsidRPr="001516ED">
        <w:rPr>
          <w:szCs w:val="24"/>
          <w:lang w:val="fi-FI"/>
        </w:rPr>
        <w:t xml:space="preserve">JO L, 2024/1711, 26.6.2024, ELI: </w:t>
      </w:r>
      <w:hyperlink r:id="rId14" w:history="1">
        <w:r w:rsidRPr="001516ED">
          <w:rPr>
            <w:rStyle w:val="Hyperlink"/>
            <w:szCs w:val="24"/>
            <w:lang w:val="fi-FI"/>
          </w:rPr>
          <w:t>http://data.europa.eu/eli/dir/2024/1711/oj</w:t>
        </w:r>
      </w:hyperlink>
      <w:r w:rsidRPr="001516ED">
        <w:rPr>
          <w:szCs w:val="24"/>
          <w:lang w:val="fi-FI"/>
        </w:rPr>
        <w:t>.</w:t>
      </w:r>
    </w:p>
  </w:footnote>
  <w:footnote w:id="15">
    <w:p w14:paraId="324AF549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fi-FI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fi-FI"/>
        </w:rPr>
        <w:t xml:space="preserve"> </w:t>
      </w:r>
      <w:r w:rsidR="008A4EA2" w:rsidRPr="001516ED">
        <w:rPr>
          <w:szCs w:val="24"/>
          <w:lang w:val="fi-FI"/>
        </w:rPr>
        <w:tab/>
      </w:r>
      <w:r w:rsidRPr="001516ED">
        <w:rPr>
          <w:szCs w:val="24"/>
          <w:lang w:val="fi-FI"/>
        </w:rPr>
        <w:t xml:space="preserve">JO L, 2024/1747, 26.6.2024, ELI: </w:t>
      </w:r>
      <w:hyperlink r:id="rId15" w:history="1">
        <w:r w:rsidRPr="001516ED">
          <w:rPr>
            <w:rStyle w:val="Hyperlink"/>
            <w:szCs w:val="24"/>
            <w:lang w:val="fi-FI"/>
          </w:rPr>
          <w:t>http://data.europa.eu/eli/reg/2024/1747/oj</w:t>
        </w:r>
      </w:hyperlink>
      <w:r w:rsidRPr="001516ED">
        <w:rPr>
          <w:szCs w:val="24"/>
          <w:lang w:val="fi-FI"/>
        </w:rPr>
        <w:t>.</w:t>
      </w:r>
    </w:p>
  </w:footnote>
  <w:footnote w:id="16">
    <w:p w14:paraId="00B0D195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fi-FI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fi-FI"/>
        </w:rPr>
        <w:t xml:space="preserve"> </w:t>
      </w:r>
      <w:r w:rsidR="008A4EA2" w:rsidRPr="001516ED">
        <w:rPr>
          <w:szCs w:val="24"/>
          <w:lang w:val="fi-FI"/>
        </w:rPr>
        <w:tab/>
      </w:r>
      <w:r w:rsidRPr="001516ED">
        <w:rPr>
          <w:szCs w:val="24"/>
          <w:lang w:val="fi-FI"/>
        </w:rPr>
        <w:t xml:space="preserve">JO C, C/2025/809, 11.2.2025, ELI: </w:t>
      </w:r>
      <w:hyperlink r:id="rId16" w:history="1">
        <w:r w:rsidRPr="001516ED">
          <w:rPr>
            <w:rStyle w:val="Hyperlink"/>
            <w:szCs w:val="24"/>
            <w:lang w:val="fi-FI"/>
          </w:rPr>
          <w:t>http://data.europa.eu/eli/C/2025/809/oj</w:t>
        </w:r>
      </w:hyperlink>
      <w:r w:rsidRPr="001516ED">
        <w:rPr>
          <w:szCs w:val="24"/>
          <w:lang w:val="fi-FI"/>
        </w:rPr>
        <w:t>.</w:t>
      </w:r>
    </w:p>
  </w:footnote>
  <w:footnote w:id="17">
    <w:p w14:paraId="1A64EF5D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fi-FI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fi-FI"/>
        </w:rPr>
        <w:t xml:space="preserve"> </w:t>
      </w:r>
      <w:r w:rsidR="008A4EA2" w:rsidRPr="001516ED">
        <w:rPr>
          <w:szCs w:val="24"/>
          <w:lang w:val="fi-FI"/>
        </w:rPr>
        <w:tab/>
      </w:r>
      <w:r w:rsidRPr="001516ED">
        <w:rPr>
          <w:szCs w:val="24"/>
          <w:lang w:val="fi-FI"/>
        </w:rPr>
        <w:t xml:space="preserve">JO C, C/2024/3937, 27.6.2024, ELI: </w:t>
      </w:r>
      <w:hyperlink r:id="rId17" w:history="1">
        <w:r w:rsidRPr="001516ED">
          <w:rPr>
            <w:rStyle w:val="Hyperlink"/>
            <w:szCs w:val="24"/>
            <w:lang w:val="fi-FI"/>
          </w:rPr>
          <w:t>http://data.europa.eu/eli/C/2024/3937/oj</w:t>
        </w:r>
      </w:hyperlink>
      <w:r w:rsidRPr="001516ED">
        <w:rPr>
          <w:szCs w:val="24"/>
          <w:lang w:val="fi-FI"/>
        </w:rPr>
        <w:t>.</w:t>
      </w:r>
    </w:p>
  </w:footnote>
  <w:footnote w:id="18">
    <w:p w14:paraId="2D3F7909" w14:textId="77777777" w:rsidR="007A70F3" w:rsidRPr="001516ED" w:rsidRDefault="007A70F3" w:rsidP="008A4EA2">
      <w:pPr>
        <w:ind w:left="567" w:hanging="567"/>
        <w:rPr>
          <w:szCs w:val="24"/>
        </w:rPr>
      </w:pPr>
      <w:r w:rsidRPr="001516ED">
        <w:rPr>
          <w:rStyle w:val="FootnoteReference"/>
          <w:szCs w:val="24"/>
        </w:rPr>
        <w:footnoteRef/>
      </w:r>
      <w:r w:rsidR="008A4EA2" w:rsidRPr="001516ED">
        <w:rPr>
          <w:szCs w:val="24"/>
        </w:rPr>
        <w:t xml:space="preserve"> </w:t>
      </w:r>
      <w:r w:rsidR="008A4EA2" w:rsidRPr="001516ED">
        <w:rPr>
          <w:szCs w:val="24"/>
        </w:rPr>
        <w:tab/>
      </w:r>
      <w:r w:rsidRPr="001516ED">
        <w:rPr>
          <w:szCs w:val="24"/>
        </w:rPr>
        <w:t xml:space="preserve">Comissão Europeia, «Perguntas e respostas sobre o </w:t>
      </w:r>
      <w:proofErr w:type="spellStart"/>
      <w:r w:rsidRPr="001516ED">
        <w:rPr>
          <w:szCs w:val="24"/>
        </w:rPr>
        <w:t>REPowerEU</w:t>
      </w:r>
      <w:proofErr w:type="spellEnd"/>
      <w:r w:rsidRPr="001516ED">
        <w:rPr>
          <w:szCs w:val="24"/>
        </w:rPr>
        <w:t xml:space="preserve">: Ação conjunta europeia para uma energia mais segura e mais sustentável a preços mais acessíveis», </w:t>
      </w:r>
      <w:hyperlink r:id="rId18" w:history="1">
        <w:r w:rsidRPr="001516ED">
          <w:rPr>
            <w:rStyle w:val="Hyperlink"/>
            <w:color w:val="1155CC"/>
            <w:szCs w:val="24"/>
          </w:rPr>
          <w:t>https://ec.europa.eu/commission/presscorner/detail/pt/qanda_22_1512</w:t>
        </w:r>
      </w:hyperlink>
      <w:r w:rsidR="00282E86" w:rsidRPr="001516ED">
        <w:rPr>
          <w:rStyle w:val="Hyperlink"/>
          <w:color w:val="1155CC"/>
          <w:szCs w:val="24"/>
          <w:u w:val="none"/>
        </w:rPr>
        <w:t>.</w:t>
      </w:r>
    </w:p>
  </w:footnote>
  <w:footnote w:id="19">
    <w:p w14:paraId="771320BA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 xml:space="preserve">Grupo de Missão Ar Limpo, «24/7 </w:t>
      </w:r>
      <w:proofErr w:type="spellStart"/>
      <w:r w:rsidRPr="001516ED">
        <w:rPr>
          <w:szCs w:val="24"/>
          <w:lang w:val="pt-PT"/>
        </w:rPr>
        <w:t>carbon</w:t>
      </w:r>
      <w:proofErr w:type="spellEnd"/>
      <w:r w:rsidRPr="001516ED">
        <w:rPr>
          <w:szCs w:val="24"/>
          <w:lang w:val="pt-PT"/>
        </w:rPr>
        <w:noBreakHyphen/>
        <w:t xml:space="preserve">free </w:t>
      </w:r>
      <w:proofErr w:type="spellStart"/>
      <w:r w:rsidRPr="001516ED">
        <w:rPr>
          <w:szCs w:val="24"/>
          <w:lang w:val="pt-PT"/>
        </w:rPr>
        <w:t>energy</w:t>
      </w:r>
      <w:proofErr w:type="spellEnd"/>
      <w:r w:rsidRPr="001516ED">
        <w:rPr>
          <w:szCs w:val="24"/>
          <w:lang w:val="pt-PT"/>
        </w:rPr>
        <w:t xml:space="preserve">: </w:t>
      </w:r>
      <w:proofErr w:type="spellStart"/>
      <w:r w:rsidRPr="001516ED">
        <w:rPr>
          <w:szCs w:val="24"/>
          <w:lang w:val="pt-PT"/>
        </w:rPr>
        <w:t>How</w:t>
      </w:r>
      <w:proofErr w:type="spellEnd"/>
      <w:r w:rsidRPr="001516ED">
        <w:rPr>
          <w:szCs w:val="24"/>
          <w:lang w:val="pt-PT"/>
        </w:rPr>
        <w:t xml:space="preserve"> Europe can </w:t>
      </w:r>
      <w:proofErr w:type="spellStart"/>
      <w:r w:rsidRPr="001516ED">
        <w:rPr>
          <w:szCs w:val="24"/>
          <w:lang w:val="pt-PT"/>
        </w:rPr>
        <w:t>and</w:t>
      </w:r>
      <w:proofErr w:type="spellEnd"/>
      <w:r w:rsidRPr="001516ED">
        <w:rPr>
          <w:szCs w:val="24"/>
          <w:lang w:val="pt-PT"/>
        </w:rPr>
        <w:t xml:space="preserve"> must safe </w:t>
      </w:r>
      <w:proofErr w:type="spellStart"/>
      <w:r w:rsidRPr="001516ED">
        <w:rPr>
          <w:szCs w:val="24"/>
          <w:lang w:val="pt-PT"/>
        </w:rPr>
        <w:t>clean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electricity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around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the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clock</w:t>
      </w:r>
      <w:proofErr w:type="spellEnd"/>
      <w:r w:rsidRPr="001516ED">
        <w:rPr>
          <w:szCs w:val="24"/>
          <w:lang w:val="pt-PT"/>
        </w:rPr>
        <w:t xml:space="preserve">» [24/7 energia sem emissões de carbono: Como a Europa pode e deve garantir a eletricidade limpa de sempre], </w:t>
      </w:r>
      <w:hyperlink r:id="rId19" w:history="1">
        <w:r w:rsidRPr="001516ED">
          <w:rPr>
            <w:rStyle w:val="Hyperlink"/>
            <w:szCs w:val="24"/>
            <w:lang w:val="pt-PT"/>
          </w:rPr>
          <w:t>https://www.catf.us/2023/11/24</w:t>
        </w:r>
        <w:r w:rsidRPr="001516ED">
          <w:rPr>
            <w:rStyle w:val="Hyperlink"/>
            <w:szCs w:val="24"/>
            <w:lang w:val="pt-PT"/>
          </w:rPr>
          <w:noBreakHyphen/>
          <w:t>7</w:t>
        </w:r>
        <w:r w:rsidRPr="001516ED">
          <w:rPr>
            <w:rStyle w:val="Hyperlink"/>
            <w:szCs w:val="24"/>
            <w:lang w:val="pt-PT"/>
          </w:rPr>
          <w:noBreakHyphen/>
          <w:t>carbon</w:t>
        </w:r>
        <w:r w:rsidRPr="001516ED">
          <w:rPr>
            <w:rStyle w:val="Hyperlink"/>
            <w:szCs w:val="24"/>
            <w:lang w:val="pt-PT"/>
          </w:rPr>
          <w:noBreakHyphen/>
          <w:t>free</w:t>
        </w:r>
        <w:r w:rsidRPr="001516ED">
          <w:rPr>
            <w:rStyle w:val="Hyperlink"/>
            <w:szCs w:val="24"/>
            <w:lang w:val="pt-PT"/>
          </w:rPr>
          <w:noBreakHyphen/>
          <w:t>energy</w:t>
        </w:r>
        <w:r w:rsidRPr="001516ED">
          <w:rPr>
            <w:rStyle w:val="Hyperlink"/>
            <w:szCs w:val="24"/>
            <w:lang w:val="pt-PT"/>
          </w:rPr>
          <w:noBreakHyphen/>
          <w:t>europe</w:t>
        </w:r>
        <w:r w:rsidRPr="001516ED">
          <w:rPr>
            <w:rStyle w:val="Hyperlink"/>
            <w:szCs w:val="24"/>
            <w:lang w:val="pt-PT"/>
          </w:rPr>
          <w:noBreakHyphen/>
          <w:t>secure</w:t>
        </w:r>
        <w:r w:rsidRPr="001516ED">
          <w:rPr>
            <w:rStyle w:val="Hyperlink"/>
            <w:szCs w:val="24"/>
            <w:lang w:val="pt-PT"/>
          </w:rPr>
          <w:noBreakHyphen/>
          <w:t>clean</w:t>
        </w:r>
        <w:r w:rsidRPr="001516ED">
          <w:rPr>
            <w:rStyle w:val="Hyperlink"/>
            <w:szCs w:val="24"/>
            <w:lang w:val="pt-PT"/>
          </w:rPr>
          <w:noBreakHyphen/>
          <w:t>electricity</w:t>
        </w:r>
        <w:r w:rsidRPr="001516ED">
          <w:rPr>
            <w:rStyle w:val="Hyperlink"/>
            <w:szCs w:val="24"/>
            <w:lang w:val="pt-PT"/>
          </w:rPr>
          <w:noBreakHyphen/>
          <w:t>around</w:t>
        </w:r>
        <w:r w:rsidRPr="001516ED">
          <w:rPr>
            <w:rStyle w:val="Hyperlink"/>
            <w:szCs w:val="24"/>
            <w:lang w:val="pt-PT"/>
          </w:rPr>
          <w:noBreakHyphen/>
          <w:t>clock/?utm</w:t>
        </w:r>
      </w:hyperlink>
      <w:r w:rsidRPr="001516ED">
        <w:rPr>
          <w:szCs w:val="24"/>
          <w:lang w:val="pt-PT"/>
        </w:rPr>
        <w:t>.</w:t>
      </w:r>
    </w:p>
  </w:footnote>
  <w:footnote w:id="20">
    <w:p w14:paraId="33DB6895" w14:textId="7F511E6C" w:rsidR="007A70F3" w:rsidRPr="001516ED" w:rsidRDefault="007A70F3" w:rsidP="008A4EA2">
      <w:pPr>
        <w:ind w:left="567" w:hanging="567"/>
        <w:rPr>
          <w:szCs w:val="24"/>
          <w:vertAlign w:val="superscript"/>
        </w:rPr>
      </w:pPr>
      <w:r w:rsidRPr="001516ED">
        <w:rPr>
          <w:rStyle w:val="FootnoteReference"/>
          <w:szCs w:val="24"/>
        </w:rPr>
        <w:footnoteRef/>
      </w:r>
      <w:r w:rsidR="008A4EA2" w:rsidRPr="001516ED">
        <w:rPr>
          <w:szCs w:val="24"/>
        </w:rPr>
        <w:t xml:space="preserve"> </w:t>
      </w:r>
      <w:r w:rsidR="008A4EA2" w:rsidRPr="001516ED">
        <w:rPr>
          <w:szCs w:val="24"/>
        </w:rPr>
        <w:tab/>
      </w:r>
      <w:r w:rsidRPr="001516ED">
        <w:rPr>
          <w:szCs w:val="24"/>
        </w:rPr>
        <w:t>Relatório da Comissão sobre os preços e os custos da energia na União Europeia (COM(2025)0072) p. 13.</w:t>
      </w:r>
    </w:p>
    <w:p w14:paraId="0347F8AB" w14:textId="77777777" w:rsidR="007A70F3" w:rsidRPr="001516ED" w:rsidRDefault="008A4EA2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szCs w:val="24"/>
          <w:lang w:val="pt-PT"/>
        </w:rPr>
        <w:t xml:space="preserve"> </w:t>
      </w:r>
      <w:r w:rsidRPr="001516ED">
        <w:rPr>
          <w:szCs w:val="24"/>
          <w:lang w:val="pt-PT"/>
        </w:rPr>
        <w:tab/>
      </w:r>
      <w:hyperlink r:id="rId20" w:history="1">
        <w:r w:rsidR="007A70F3" w:rsidRPr="001516ED">
          <w:rPr>
            <w:rStyle w:val="Hyperlink"/>
            <w:color w:val="1155CC"/>
            <w:szCs w:val="24"/>
            <w:lang w:val="pt-PT"/>
          </w:rPr>
          <w:t>https://eur</w:t>
        </w:r>
        <w:r w:rsidR="007A70F3" w:rsidRPr="001516ED">
          <w:rPr>
            <w:rStyle w:val="Hyperlink"/>
            <w:color w:val="1155CC"/>
            <w:szCs w:val="24"/>
            <w:lang w:val="pt-PT"/>
          </w:rPr>
          <w:noBreakHyphen/>
          <w:t>lex.europa.eu/legal</w:t>
        </w:r>
        <w:r w:rsidR="007A70F3" w:rsidRPr="001516ED">
          <w:rPr>
            <w:rStyle w:val="Hyperlink"/>
            <w:color w:val="1155CC"/>
            <w:szCs w:val="24"/>
            <w:lang w:val="pt-PT"/>
          </w:rPr>
          <w:noBreakHyphen/>
          <w:t>content/PT/TXT/PDF/?uri=CELEX:52025DC0072</w:t>
        </w:r>
      </w:hyperlink>
      <w:r w:rsidR="0073388F" w:rsidRPr="001516ED">
        <w:rPr>
          <w:rStyle w:val="Hyperlink"/>
          <w:color w:val="1155CC"/>
          <w:szCs w:val="24"/>
          <w:u w:val="none"/>
          <w:lang w:val="pt-PT"/>
        </w:rPr>
        <w:t>.</w:t>
      </w:r>
    </w:p>
  </w:footnote>
  <w:footnote w:id="21">
    <w:p w14:paraId="7B1B781B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 xml:space="preserve">Eurostat, «Estatísticas da energia nuclear», </w:t>
      </w:r>
      <w:hyperlink r:id="rId21" w:history="1">
        <w:r w:rsidRPr="001516ED">
          <w:rPr>
            <w:rStyle w:val="Hyperlink"/>
            <w:szCs w:val="24"/>
            <w:lang w:val="pt-PT"/>
          </w:rPr>
          <w:t>https://ec.europa.eu/eurostat/statistics</w:t>
        </w:r>
        <w:r w:rsidRPr="001516ED">
          <w:rPr>
            <w:rStyle w:val="Hyperlink"/>
            <w:szCs w:val="24"/>
            <w:lang w:val="pt-PT"/>
          </w:rPr>
          <w:noBreakHyphen/>
          <w:t>explained/index.php?title=Nuclear_energy_statistics</w:t>
        </w:r>
      </w:hyperlink>
      <w:r w:rsidR="0073388F" w:rsidRPr="001516ED">
        <w:rPr>
          <w:rStyle w:val="Hyperlink"/>
          <w:szCs w:val="24"/>
          <w:u w:val="none"/>
          <w:lang w:val="pt-PT"/>
        </w:rPr>
        <w:t>.</w:t>
      </w:r>
    </w:p>
  </w:footnote>
  <w:footnote w:id="22">
    <w:p w14:paraId="67DBA8A8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 xml:space="preserve">European </w:t>
      </w:r>
      <w:proofErr w:type="spellStart"/>
      <w:r w:rsidRPr="001516ED">
        <w:rPr>
          <w:szCs w:val="24"/>
          <w:lang w:val="pt-PT"/>
        </w:rPr>
        <w:t>Environment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Energy</w:t>
      </w:r>
      <w:proofErr w:type="spellEnd"/>
      <w:r w:rsidRPr="001516ED">
        <w:rPr>
          <w:szCs w:val="24"/>
          <w:lang w:val="pt-PT"/>
        </w:rPr>
        <w:t>, «</w:t>
      </w:r>
      <w:proofErr w:type="spellStart"/>
      <w:r w:rsidRPr="001516ED">
        <w:rPr>
          <w:szCs w:val="24"/>
          <w:lang w:val="pt-PT"/>
        </w:rPr>
        <w:t>Primary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and</w:t>
      </w:r>
      <w:proofErr w:type="spellEnd"/>
      <w:r w:rsidRPr="001516ED">
        <w:rPr>
          <w:szCs w:val="24"/>
          <w:lang w:val="pt-PT"/>
        </w:rPr>
        <w:t xml:space="preserve"> final </w:t>
      </w:r>
      <w:proofErr w:type="spellStart"/>
      <w:r w:rsidRPr="001516ED">
        <w:rPr>
          <w:szCs w:val="24"/>
          <w:lang w:val="pt-PT"/>
        </w:rPr>
        <w:t>energy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consumption</w:t>
      </w:r>
      <w:proofErr w:type="spellEnd"/>
      <w:r w:rsidRPr="001516ED">
        <w:rPr>
          <w:szCs w:val="24"/>
          <w:lang w:val="pt-PT"/>
        </w:rPr>
        <w:t xml:space="preserve"> in </w:t>
      </w:r>
      <w:proofErr w:type="spellStart"/>
      <w:r w:rsidRPr="001516ED">
        <w:rPr>
          <w:szCs w:val="24"/>
          <w:lang w:val="pt-PT"/>
        </w:rPr>
        <w:t>the</w:t>
      </w:r>
      <w:proofErr w:type="spellEnd"/>
      <w:r w:rsidRPr="001516ED">
        <w:rPr>
          <w:szCs w:val="24"/>
          <w:lang w:val="pt-PT"/>
        </w:rPr>
        <w:t xml:space="preserve"> European Union, European </w:t>
      </w:r>
      <w:proofErr w:type="spellStart"/>
      <w:r w:rsidRPr="001516ED">
        <w:rPr>
          <w:szCs w:val="24"/>
          <w:lang w:val="pt-PT"/>
        </w:rPr>
        <w:t>Environment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Agency</w:t>
      </w:r>
      <w:proofErr w:type="spellEnd"/>
      <w:r w:rsidRPr="001516ED">
        <w:rPr>
          <w:szCs w:val="24"/>
          <w:lang w:val="pt-PT"/>
        </w:rPr>
        <w:t xml:space="preserve">» [Consumo de energia primária e final na União Europeia, Agência Europeia do Ambiente], </w:t>
      </w:r>
      <w:hyperlink r:id="rId22" w:history="1">
        <w:r w:rsidRPr="001516ED">
          <w:rPr>
            <w:rStyle w:val="Hyperlink"/>
            <w:color w:val="1155CC"/>
            <w:szCs w:val="24"/>
            <w:lang w:val="pt-PT"/>
          </w:rPr>
          <w:t>https://www.eea.europa.eu/en/analysis/indicators/primary</w:t>
        </w:r>
        <w:r w:rsidRPr="001516ED">
          <w:rPr>
            <w:rStyle w:val="Hyperlink"/>
            <w:color w:val="1155CC"/>
            <w:szCs w:val="24"/>
            <w:lang w:val="pt-PT"/>
          </w:rPr>
          <w:noBreakHyphen/>
          <w:t>and</w:t>
        </w:r>
        <w:r w:rsidRPr="001516ED">
          <w:rPr>
            <w:rStyle w:val="Hyperlink"/>
            <w:color w:val="1155CC"/>
            <w:szCs w:val="24"/>
            <w:lang w:val="pt-PT"/>
          </w:rPr>
          <w:noBreakHyphen/>
          <w:t>final</w:t>
        </w:r>
        <w:r w:rsidRPr="001516ED">
          <w:rPr>
            <w:rStyle w:val="Hyperlink"/>
            <w:color w:val="1155CC"/>
            <w:szCs w:val="24"/>
            <w:lang w:val="pt-PT"/>
          </w:rPr>
          <w:noBreakHyphen/>
          <w:t>energy</w:t>
        </w:r>
        <w:r w:rsidRPr="001516ED">
          <w:rPr>
            <w:rStyle w:val="Hyperlink"/>
            <w:color w:val="1155CC"/>
            <w:szCs w:val="24"/>
            <w:lang w:val="pt-PT"/>
          </w:rPr>
          <w:noBreakHyphen/>
          <w:t>consumption/primary</w:t>
        </w:r>
        <w:r w:rsidRPr="001516ED">
          <w:rPr>
            <w:rStyle w:val="Hyperlink"/>
            <w:color w:val="1155CC"/>
            <w:szCs w:val="24"/>
            <w:lang w:val="pt-PT"/>
          </w:rPr>
          <w:noBreakHyphen/>
          <w:t>and</w:t>
        </w:r>
        <w:r w:rsidRPr="001516ED">
          <w:rPr>
            <w:rStyle w:val="Hyperlink"/>
            <w:color w:val="1155CC"/>
            <w:szCs w:val="24"/>
            <w:lang w:val="pt-PT"/>
          </w:rPr>
          <w:noBreakHyphen/>
          <w:t>final</w:t>
        </w:r>
        <w:r w:rsidRPr="001516ED">
          <w:rPr>
            <w:rStyle w:val="Hyperlink"/>
            <w:color w:val="1155CC"/>
            <w:szCs w:val="24"/>
            <w:lang w:val="pt-PT"/>
          </w:rPr>
          <w:noBreakHyphen/>
          <w:t>energy</w:t>
        </w:r>
        <w:r w:rsidRPr="001516ED">
          <w:rPr>
            <w:rStyle w:val="Hyperlink"/>
            <w:color w:val="1155CC"/>
            <w:szCs w:val="24"/>
            <w:lang w:val="pt-PT"/>
          </w:rPr>
          <w:noBreakHyphen/>
          <w:t>consumption</w:t>
        </w:r>
        <w:r w:rsidRPr="001516ED">
          <w:rPr>
            <w:rStyle w:val="Hyperlink"/>
            <w:color w:val="1155CC"/>
            <w:szCs w:val="24"/>
            <w:lang w:val="pt-PT"/>
          </w:rPr>
          <w:noBreakHyphen/>
          <w:t>1?activeTab=6fbd444d</w:t>
        </w:r>
        <w:r w:rsidRPr="001516ED">
          <w:rPr>
            <w:rStyle w:val="Hyperlink"/>
            <w:color w:val="1155CC"/>
            <w:szCs w:val="24"/>
            <w:lang w:val="pt-PT"/>
          </w:rPr>
          <w:noBreakHyphen/>
          <w:t>c422</w:t>
        </w:r>
        <w:r w:rsidRPr="001516ED">
          <w:rPr>
            <w:rStyle w:val="Hyperlink"/>
            <w:color w:val="1155CC"/>
            <w:szCs w:val="24"/>
            <w:lang w:val="pt-PT"/>
          </w:rPr>
          <w:noBreakHyphen/>
          <w:t>4a78</w:t>
        </w:r>
        <w:r w:rsidRPr="001516ED">
          <w:rPr>
            <w:rStyle w:val="Hyperlink"/>
            <w:color w:val="1155CC"/>
            <w:szCs w:val="24"/>
            <w:lang w:val="pt-PT"/>
          </w:rPr>
          <w:noBreakHyphen/>
          <w:t>8492</w:t>
        </w:r>
        <w:r w:rsidRPr="001516ED">
          <w:rPr>
            <w:rStyle w:val="Hyperlink"/>
            <w:color w:val="1155CC"/>
            <w:szCs w:val="24"/>
            <w:lang w:val="pt-PT"/>
          </w:rPr>
          <w:noBreakHyphen/>
          <w:t>fd496bd61b7a</w:t>
        </w:r>
      </w:hyperlink>
      <w:r w:rsidRPr="001516ED">
        <w:rPr>
          <w:szCs w:val="24"/>
          <w:lang w:val="pt-PT"/>
        </w:rPr>
        <w:t>.</w:t>
      </w:r>
    </w:p>
  </w:footnote>
  <w:footnote w:id="23">
    <w:p w14:paraId="70E227BE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 xml:space="preserve">Ver </w:t>
      </w:r>
      <w:hyperlink r:id="rId23" w:history="1">
        <w:r w:rsidRPr="001516ED">
          <w:rPr>
            <w:rStyle w:val="Hyperlink"/>
            <w:szCs w:val="24"/>
            <w:lang w:val="pt-PT"/>
          </w:rPr>
          <w:t>https://www.consilium.europa.eu/media/54786/20220311</w:t>
        </w:r>
        <w:r w:rsidRPr="001516ED">
          <w:rPr>
            <w:rStyle w:val="Hyperlink"/>
            <w:szCs w:val="24"/>
            <w:lang w:val="pt-PT"/>
          </w:rPr>
          <w:noBreakHyphen/>
          <w:t>versailles</w:t>
        </w:r>
        <w:r w:rsidRPr="001516ED">
          <w:rPr>
            <w:rStyle w:val="Hyperlink"/>
            <w:szCs w:val="24"/>
            <w:lang w:val="pt-PT"/>
          </w:rPr>
          <w:noBreakHyphen/>
          <w:t>declaration</w:t>
        </w:r>
        <w:r w:rsidRPr="001516ED">
          <w:rPr>
            <w:rStyle w:val="Hyperlink"/>
            <w:szCs w:val="24"/>
            <w:lang w:val="pt-PT"/>
          </w:rPr>
          <w:noBreakHyphen/>
          <w:t>pt.pdf</w:t>
        </w:r>
      </w:hyperlink>
      <w:r w:rsidR="00393897" w:rsidRPr="001516ED">
        <w:rPr>
          <w:rStyle w:val="Hyperlink"/>
          <w:szCs w:val="24"/>
          <w:u w:val="none"/>
          <w:lang w:val="pt-PT"/>
        </w:rPr>
        <w:t>.</w:t>
      </w:r>
    </w:p>
  </w:footnote>
  <w:footnote w:id="24">
    <w:p w14:paraId="2F1BA7C0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 xml:space="preserve">Centro de Investigação sobre Energia e Ar Limpo, «EU </w:t>
      </w:r>
      <w:proofErr w:type="spellStart"/>
      <w:r w:rsidRPr="001516ED">
        <w:rPr>
          <w:szCs w:val="24"/>
          <w:lang w:val="pt-PT"/>
        </w:rPr>
        <w:t>imports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of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Russian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fossil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fuels</w:t>
      </w:r>
      <w:proofErr w:type="spellEnd"/>
      <w:r w:rsidRPr="001516ED">
        <w:rPr>
          <w:szCs w:val="24"/>
          <w:lang w:val="pt-PT"/>
        </w:rPr>
        <w:t xml:space="preserve"> in </w:t>
      </w:r>
      <w:proofErr w:type="spellStart"/>
      <w:r w:rsidRPr="001516ED">
        <w:rPr>
          <w:szCs w:val="24"/>
          <w:lang w:val="pt-PT"/>
        </w:rPr>
        <w:t>third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year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of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invasion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overpass</w:t>
      </w:r>
      <w:proofErr w:type="spellEnd"/>
      <w:r w:rsidRPr="001516ED">
        <w:rPr>
          <w:szCs w:val="24"/>
          <w:lang w:val="pt-PT"/>
        </w:rPr>
        <w:t xml:space="preserve"> financial </w:t>
      </w:r>
      <w:proofErr w:type="spellStart"/>
      <w:r w:rsidRPr="001516ED">
        <w:rPr>
          <w:szCs w:val="24"/>
          <w:lang w:val="pt-PT"/>
        </w:rPr>
        <w:t>aid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sent</w:t>
      </w:r>
      <w:proofErr w:type="spellEnd"/>
      <w:r w:rsidRPr="001516ED">
        <w:rPr>
          <w:szCs w:val="24"/>
          <w:lang w:val="pt-PT"/>
        </w:rPr>
        <w:t xml:space="preserve"> to </w:t>
      </w:r>
      <w:proofErr w:type="spellStart"/>
      <w:r w:rsidRPr="001516ED">
        <w:rPr>
          <w:szCs w:val="24"/>
          <w:lang w:val="pt-PT"/>
        </w:rPr>
        <w:t>Ukraine</w:t>
      </w:r>
      <w:proofErr w:type="spellEnd"/>
      <w:r w:rsidRPr="001516ED">
        <w:rPr>
          <w:szCs w:val="24"/>
          <w:lang w:val="pt-PT"/>
        </w:rPr>
        <w:t xml:space="preserve">» (As importações da UE de combustíveis fósseis russos no terceiro ano de invasão superam a ajuda financeira enviada à Ucrânia), </w:t>
      </w:r>
      <w:hyperlink r:id="rId24" w:history="1">
        <w:r w:rsidRPr="001516ED">
          <w:rPr>
            <w:rStyle w:val="Hyperlink"/>
            <w:szCs w:val="24"/>
            <w:lang w:val="pt-PT"/>
          </w:rPr>
          <w:t>https://energyandcleanair.org/publication/eu</w:t>
        </w:r>
        <w:r w:rsidRPr="001516ED">
          <w:rPr>
            <w:rStyle w:val="Hyperlink"/>
            <w:szCs w:val="24"/>
            <w:lang w:val="pt-PT"/>
          </w:rPr>
          <w:noBreakHyphen/>
          <w:t>imports</w:t>
        </w:r>
        <w:r w:rsidRPr="001516ED">
          <w:rPr>
            <w:rStyle w:val="Hyperlink"/>
            <w:szCs w:val="24"/>
            <w:lang w:val="pt-PT"/>
          </w:rPr>
          <w:noBreakHyphen/>
          <w:t>of</w:t>
        </w:r>
        <w:r w:rsidRPr="001516ED">
          <w:rPr>
            <w:rStyle w:val="Hyperlink"/>
            <w:szCs w:val="24"/>
            <w:lang w:val="pt-PT"/>
          </w:rPr>
          <w:noBreakHyphen/>
          <w:t>russian</w:t>
        </w:r>
        <w:r w:rsidRPr="001516ED">
          <w:rPr>
            <w:rStyle w:val="Hyperlink"/>
            <w:szCs w:val="24"/>
            <w:lang w:val="pt-PT"/>
          </w:rPr>
          <w:noBreakHyphen/>
          <w:t>fossil</w:t>
        </w:r>
        <w:r w:rsidRPr="001516ED">
          <w:rPr>
            <w:rStyle w:val="Hyperlink"/>
            <w:szCs w:val="24"/>
            <w:lang w:val="pt-PT"/>
          </w:rPr>
          <w:noBreakHyphen/>
          <w:t>fuels</w:t>
        </w:r>
        <w:r w:rsidRPr="001516ED">
          <w:rPr>
            <w:rStyle w:val="Hyperlink"/>
            <w:szCs w:val="24"/>
            <w:lang w:val="pt-PT"/>
          </w:rPr>
          <w:noBreakHyphen/>
          <w:t>in</w:t>
        </w:r>
        <w:r w:rsidRPr="001516ED">
          <w:rPr>
            <w:rStyle w:val="Hyperlink"/>
            <w:szCs w:val="24"/>
            <w:lang w:val="pt-PT"/>
          </w:rPr>
          <w:noBreakHyphen/>
          <w:t>third</w:t>
        </w:r>
        <w:r w:rsidRPr="001516ED">
          <w:rPr>
            <w:rStyle w:val="Hyperlink"/>
            <w:szCs w:val="24"/>
            <w:lang w:val="pt-PT"/>
          </w:rPr>
          <w:noBreakHyphen/>
          <w:t>year</w:t>
        </w:r>
        <w:r w:rsidRPr="001516ED">
          <w:rPr>
            <w:rStyle w:val="Hyperlink"/>
            <w:szCs w:val="24"/>
            <w:lang w:val="pt-PT"/>
          </w:rPr>
          <w:noBreakHyphen/>
          <w:t>of</w:t>
        </w:r>
        <w:r w:rsidRPr="001516ED">
          <w:rPr>
            <w:rStyle w:val="Hyperlink"/>
            <w:szCs w:val="24"/>
            <w:lang w:val="pt-PT"/>
          </w:rPr>
          <w:noBreakHyphen/>
          <w:t>invasion</w:t>
        </w:r>
        <w:r w:rsidRPr="001516ED">
          <w:rPr>
            <w:rStyle w:val="Hyperlink"/>
            <w:szCs w:val="24"/>
            <w:lang w:val="pt-PT"/>
          </w:rPr>
          <w:noBreakHyphen/>
          <w:t>surpass</w:t>
        </w:r>
        <w:r w:rsidRPr="001516ED">
          <w:rPr>
            <w:rStyle w:val="Hyperlink"/>
            <w:szCs w:val="24"/>
            <w:lang w:val="pt-PT"/>
          </w:rPr>
          <w:noBreakHyphen/>
          <w:t>financial</w:t>
        </w:r>
        <w:r w:rsidRPr="001516ED">
          <w:rPr>
            <w:rStyle w:val="Hyperlink"/>
            <w:szCs w:val="24"/>
            <w:lang w:val="pt-PT"/>
          </w:rPr>
          <w:noBreakHyphen/>
          <w:t>aid</w:t>
        </w:r>
        <w:r w:rsidRPr="001516ED">
          <w:rPr>
            <w:rStyle w:val="Hyperlink"/>
            <w:szCs w:val="24"/>
            <w:lang w:val="pt-PT"/>
          </w:rPr>
          <w:noBreakHyphen/>
          <w:t>sent</w:t>
        </w:r>
        <w:r w:rsidRPr="001516ED">
          <w:rPr>
            <w:rStyle w:val="Hyperlink"/>
            <w:szCs w:val="24"/>
            <w:lang w:val="pt-PT"/>
          </w:rPr>
          <w:noBreakHyphen/>
          <w:t>to</w:t>
        </w:r>
        <w:r w:rsidRPr="001516ED">
          <w:rPr>
            <w:rStyle w:val="Hyperlink"/>
            <w:szCs w:val="24"/>
            <w:lang w:val="pt-PT"/>
          </w:rPr>
          <w:noBreakHyphen/>
          <w:t>ukraine/</w:t>
        </w:r>
      </w:hyperlink>
      <w:r w:rsidRPr="001516ED">
        <w:rPr>
          <w:szCs w:val="24"/>
          <w:lang w:val="pt-PT"/>
        </w:rPr>
        <w:t>.</w:t>
      </w:r>
    </w:p>
  </w:footnote>
  <w:footnote w:id="25">
    <w:p w14:paraId="52FF30D0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>Valor por ano da invasão da Ucrânia pela Rússia em 2021 a 2024. Ver: Centro de Investigação sobre Energia e Ar Limpo, «</w:t>
      </w:r>
      <w:hyperlink r:id="rId25" w:history="1">
        <w:r w:rsidRPr="001516ED">
          <w:rPr>
            <w:rStyle w:val="Hyperlink"/>
            <w:color w:val="1155CC"/>
            <w:szCs w:val="24"/>
            <w:lang w:val="pt-PT"/>
          </w:rPr>
          <w:t>As importações da UE de combustíveis fósseis russos no terceiro ano de invasão superam a ajuda financeira enviada à Ucrânia</w:t>
        </w:r>
      </w:hyperlink>
      <w:r w:rsidRPr="001516ED">
        <w:rPr>
          <w:szCs w:val="24"/>
          <w:lang w:val="pt-PT"/>
        </w:rPr>
        <w:t>».</w:t>
      </w:r>
    </w:p>
  </w:footnote>
  <w:footnote w:id="26">
    <w:p w14:paraId="23008104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>Ver: Instituto Internacional de Estocolmo para a Investigação sobre a Paz, «</w:t>
      </w:r>
      <w:hyperlink r:id="rId26" w:history="1">
        <w:r w:rsidRPr="001516ED">
          <w:rPr>
            <w:rStyle w:val="Hyperlink"/>
            <w:color w:val="1155CC"/>
            <w:szCs w:val="24"/>
            <w:lang w:val="pt-PT"/>
          </w:rPr>
          <w:t>Preparar o Quarto Ano da Guerra:</w:t>
        </w:r>
      </w:hyperlink>
      <w:hyperlink r:id="rId27" w:history="1">
        <w:r w:rsidRPr="001516ED">
          <w:rPr>
            <w:rStyle w:val="Hyperlink"/>
            <w:color w:val="1155CC"/>
            <w:szCs w:val="24"/>
            <w:lang w:val="pt-PT"/>
          </w:rPr>
          <w:t xml:space="preserve"> Despesas militares no orçamento da Rússia para 2025»</w:t>
        </w:r>
      </w:hyperlink>
      <w:r w:rsidRPr="001516ED">
        <w:rPr>
          <w:szCs w:val="24"/>
          <w:lang w:val="pt-PT"/>
        </w:rPr>
        <w:t>.</w:t>
      </w:r>
    </w:p>
  </w:footnote>
  <w:footnote w:id="27">
    <w:p w14:paraId="65624E0B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>Ver: Eurostat, «</w:t>
      </w:r>
      <w:hyperlink r:id="rId28" w:history="1">
        <w:r w:rsidRPr="001516ED">
          <w:rPr>
            <w:rStyle w:val="Hyperlink"/>
            <w:color w:val="1155CC"/>
            <w:szCs w:val="24"/>
            <w:lang w:val="pt-PT"/>
          </w:rPr>
          <w:t>10,6 % da população da UE teve dificuldade em manter as casas quentes»</w:t>
        </w:r>
      </w:hyperlink>
      <w:r w:rsidRPr="001516ED">
        <w:rPr>
          <w:szCs w:val="24"/>
          <w:lang w:val="pt-PT"/>
        </w:rPr>
        <w:t>.</w:t>
      </w:r>
    </w:p>
  </w:footnote>
  <w:footnote w:id="28">
    <w:p w14:paraId="0758E2CD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>Ver: Eurostat, «</w:t>
      </w:r>
      <w:proofErr w:type="spellStart"/>
      <w:r w:rsidR="001A37B1">
        <w:fldChar w:fldCharType="begin"/>
      </w:r>
      <w:r w:rsidR="001A37B1">
        <w:instrText>HYPERLINK "https://ec.europa.eu/eurostat/web/products-key-figures/w/ks-01-24-001"</w:instrText>
      </w:r>
      <w:r w:rsidR="001A37B1">
        <w:fldChar w:fldCharType="separate"/>
      </w:r>
      <w:r w:rsidRPr="001516ED">
        <w:rPr>
          <w:rStyle w:val="Hyperlink"/>
          <w:color w:val="1155CC"/>
          <w:szCs w:val="24"/>
          <w:lang w:val="pt-PT"/>
        </w:rPr>
        <w:t>Key</w:t>
      </w:r>
      <w:proofErr w:type="spellEnd"/>
      <w:r w:rsidRPr="001516ED">
        <w:rPr>
          <w:rStyle w:val="Hyperlink"/>
          <w:color w:val="1155CC"/>
          <w:szCs w:val="24"/>
          <w:lang w:val="pt-PT"/>
        </w:rPr>
        <w:t xml:space="preserve"> figures </w:t>
      </w:r>
      <w:proofErr w:type="spellStart"/>
      <w:r w:rsidRPr="001516ED">
        <w:rPr>
          <w:rStyle w:val="Hyperlink"/>
          <w:color w:val="1155CC"/>
          <w:szCs w:val="24"/>
          <w:lang w:val="pt-PT"/>
        </w:rPr>
        <w:t>on</w:t>
      </w:r>
      <w:proofErr w:type="spellEnd"/>
      <w:r w:rsidRPr="001516ED">
        <w:rPr>
          <w:rStyle w:val="Hyperlink"/>
          <w:color w:val="1155CC"/>
          <w:szCs w:val="24"/>
          <w:lang w:val="pt-PT"/>
        </w:rPr>
        <w:t xml:space="preserve"> European </w:t>
      </w:r>
      <w:proofErr w:type="spellStart"/>
      <w:r w:rsidRPr="001516ED">
        <w:rPr>
          <w:rStyle w:val="Hyperlink"/>
          <w:color w:val="1155CC"/>
          <w:szCs w:val="24"/>
          <w:lang w:val="pt-PT"/>
        </w:rPr>
        <w:t>living</w:t>
      </w:r>
      <w:proofErr w:type="spellEnd"/>
      <w:r w:rsidRPr="001516ED">
        <w:rPr>
          <w:rStyle w:val="Hyperlink"/>
          <w:color w:val="1155CC"/>
          <w:szCs w:val="24"/>
          <w:lang w:val="pt-PT"/>
        </w:rPr>
        <w:t xml:space="preserve"> </w:t>
      </w:r>
      <w:proofErr w:type="spellStart"/>
      <w:r w:rsidRPr="001516ED">
        <w:rPr>
          <w:rStyle w:val="Hyperlink"/>
          <w:color w:val="1155CC"/>
          <w:szCs w:val="24"/>
          <w:lang w:val="pt-PT"/>
        </w:rPr>
        <w:t>conditions</w:t>
      </w:r>
      <w:proofErr w:type="spellEnd"/>
      <w:r w:rsidRPr="001516ED">
        <w:rPr>
          <w:rStyle w:val="Hyperlink"/>
          <w:color w:val="1155CC"/>
          <w:szCs w:val="24"/>
          <w:lang w:val="pt-PT"/>
        </w:rPr>
        <w:t xml:space="preserve"> — 2024 </w:t>
      </w:r>
      <w:proofErr w:type="spellStart"/>
      <w:r w:rsidRPr="001516ED">
        <w:rPr>
          <w:rStyle w:val="Hyperlink"/>
          <w:color w:val="1155CC"/>
          <w:szCs w:val="24"/>
          <w:lang w:val="pt-PT"/>
        </w:rPr>
        <w:t>edition</w:t>
      </w:r>
      <w:proofErr w:type="spellEnd"/>
      <w:r w:rsidR="001A37B1">
        <w:rPr>
          <w:rStyle w:val="Hyperlink"/>
          <w:color w:val="1155CC"/>
          <w:szCs w:val="24"/>
          <w:lang w:val="pt-PT"/>
        </w:rPr>
        <w:fldChar w:fldCharType="end"/>
      </w:r>
      <w:r w:rsidRPr="001516ED">
        <w:rPr>
          <w:szCs w:val="24"/>
          <w:lang w:val="pt-PT"/>
        </w:rPr>
        <w:t>» [Principais números sobre as condições de vida na Europa — edição de 2024].</w:t>
      </w:r>
    </w:p>
  </w:footnote>
  <w:footnote w:id="29">
    <w:p w14:paraId="78018E0A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rStyle w:val="FootnoteReference"/>
          <w:szCs w:val="24"/>
          <w:vertAlign w:val="baseline"/>
          <w:lang w:val="pt-PT"/>
        </w:rPr>
        <w:t>Rede Europeia dos Operadores das Redes de Transporte de Eletricidade</w:t>
      </w:r>
      <w:r w:rsidRPr="001516ED">
        <w:rPr>
          <w:szCs w:val="24"/>
          <w:lang w:val="pt-PT"/>
        </w:rPr>
        <w:t xml:space="preserve"> (REORT</w:t>
      </w:r>
      <w:r w:rsidRPr="001516ED">
        <w:rPr>
          <w:szCs w:val="24"/>
          <w:lang w:val="pt-PT"/>
        </w:rPr>
        <w:noBreakHyphen/>
        <w:t xml:space="preserve">E), «European </w:t>
      </w:r>
      <w:proofErr w:type="spellStart"/>
      <w:r w:rsidRPr="001516ED">
        <w:rPr>
          <w:szCs w:val="24"/>
          <w:lang w:val="pt-PT"/>
        </w:rPr>
        <w:t>Resource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Adequacy</w:t>
      </w:r>
      <w:proofErr w:type="spellEnd"/>
      <w:r w:rsidRPr="001516ED">
        <w:rPr>
          <w:szCs w:val="24"/>
          <w:lang w:val="pt-PT"/>
        </w:rPr>
        <w:t xml:space="preserve"> Assessment» (Avaliação europeia da adequação dos recursos), dezembro de 2023.</w:t>
      </w:r>
    </w:p>
  </w:footnote>
  <w:footnote w:id="30">
    <w:p w14:paraId="6EB2FEFB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 xml:space="preserve">COM(2025)0065. </w:t>
      </w:r>
    </w:p>
  </w:footnote>
  <w:footnote w:id="31">
    <w:p w14:paraId="63ECCC02" w14:textId="13509462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="00393897" w:rsidRPr="001516ED">
        <w:rPr>
          <w:szCs w:val="24"/>
          <w:lang w:val="pt-PT"/>
        </w:rPr>
        <w:t xml:space="preserve">Ver «Relatório Draghi sobre a competitividade da UE», </w:t>
      </w:r>
      <w:hyperlink r:id="rId29" w:history="1">
        <w:r w:rsidR="00393897" w:rsidRPr="001516ED">
          <w:rPr>
            <w:rStyle w:val="Hyperlink"/>
            <w:szCs w:val="24"/>
            <w:lang w:val="pt-PT"/>
          </w:rPr>
          <w:t>https://commission.europa.eu/topics/eu-competitiveness/draghi-report_en</w:t>
        </w:r>
      </w:hyperlink>
      <w:r w:rsidR="00393897" w:rsidRPr="001516ED">
        <w:rPr>
          <w:szCs w:val="24"/>
          <w:lang w:val="pt-PT"/>
        </w:rPr>
        <w:t>.</w:t>
      </w:r>
    </w:p>
  </w:footnote>
  <w:footnote w:id="32">
    <w:p w14:paraId="0E5B4711" w14:textId="77777777" w:rsidR="007A70F3" w:rsidRPr="001516ED" w:rsidRDefault="007A70F3" w:rsidP="008A4EA2">
      <w:pPr>
        <w:ind w:left="567" w:hanging="567"/>
        <w:rPr>
          <w:szCs w:val="24"/>
        </w:rPr>
      </w:pPr>
      <w:r w:rsidRPr="001516ED">
        <w:rPr>
          <w:rStyle w:val="FootnoteReference"/>
          <w:szCs w:val="24"/>
        </w:rPr>
        <w:footnoteRef/>
      </w:r>
      <w:r w:rsidR="008A4EA2" w:rsidRPr="001516ED">
        <w:rPr>
          <w:szCs w:val="24"/>
        </w:rPr>
        <w:t xml:space="preserve"> </w:t>
      </w:r>
      <w:r w:rsidR="008A4EA2" w:rsidRPr="001516ED">
        <w:rPr>
          <w:szCs w:val="24"/>
        </w:rPr>
        <w:tab/>
      </w:r>
      <w:r w:rsidRPr="001516ED">
        <w:rPr>
          <w:szCs w:val="24"/>
        </w:rPr>
        <w:t xml:space="preserve">Agência Internacional da Energia, </w:t>
      </w:r>
      <w:proofErr w:type="spellStart"/>
      <w:r w:rsidRPr="001516ED">
        <w:rPr>
          <w:szCs w:val="24"/>
        </w:rPr>
        <w:t>World</w:t>
      </w:r>
      <w:proofErr w:type="spellEnd"/>
      <w:r w:rsidRPr="001516ED">
        <w:rPr>
          <w:szCs w:val="24"/>
        </w:rPr>
        <w:t xml:space="preserve"> </w:t>
      </w:r>
      <w:proofErr w:type="spellStart"/>
      <w:r w:rsidRPr="001516ED">
        <w:rPr>
          <w:szCs w:val="24"/>
        </w:rPr>
        <w:t>Energy</w:t>
      </w:r>
      <w:proofErr w:type="spellEnd"/>
      <w:r w:rsidRPr="001516ED">
        <w:rPr>
          <w:szCs w:val="24"/>
        </w:rPr>
        <w:t xml:space="preserve"> Outlook 2024, EC 4Q 2024 </w:t>
      </w:r>
      <w:proofErr w:type="spellStart"/>
      <w:r w:rsidRPr="001516ED">
        <w:rPr>
          <w:szCs w:val="24"/>
        </w:rPr>
        <w:t>Gas</w:t>
      </w:r>
      <w:proofErr w:type="spellEnd"/>
      <w:r w:rsidRPr="001516ED">
        <w:rPr>
          <w:szCs w:val="24"/>
        </w:rPr>
        <w:t xml:space="preserve"> Market </w:t>
      </w:r>
      <w:proofErr w:type="spellStart"/>
      <w:r w:rsidRPr="001516ED">
        <w:rPr>
          <w:szCs w:val="24"/>
        </w:rPr>
        <w:t>Report</w:t>
      </w:r>
      <w:proofErr w:type="spellEnd"/>
      <w:r w:rsidRPr="001516ED">
        <w:rPr>
          <w:szCs w:val="24"/>
        </w:rPr>
        <w:t>.</w:t>
      </w:r>
    </w:p>
  </w:footnote>
  <w:footnote w:id="33">
    <w:p w14:paraId="5EC1FE96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>Relatório anual de 2023 da Agência de Aprovisionamento da Euratom.</w:t>
      </w:r>
    </w:p>
  </w:footnote>
  <w:footnote w:id="34">
    <w:p w14:paraId="5350AF29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 xml:space="preserve">ACER, </w:t>
      </w:r>
      <w:proofErr w:type="spellStart"/>
      <w:r w:rsidRPr="001516ED">
        <w:rPr>
          <w:i/>
          <w:szCs w:val="24"/>
          <w:lang w:val="pt-PT"/>
        </w:rPr>
        <w:t>Transmission</w:t>
      </w:r>
      <w:proofErr w:type="spellEnd"/>
      <w:r w:rsidRPr="001516ED">
        <w:rPr>
          <w:i/>
          <w:szCs w:val="24"/>
          <w:lang w:val="pt-PT"/>
        </w:rPr>
        <w:t xml:space="preserve"> </w:t>
      </w:r>
      <w:proofErr w:type="spellStart"/>
      <w:r w:rsidRPr="001516ED">
        <w:rPr>
          <w:i/>
          <w:szCs w:val="24"/>
          <w:lang w:val="pt-PT"/>
        </w:rPr>
        <w:t>capacities</w:t>
      </w:r>
      <w:proofErr w:type="spellEnd"/>
      <w:r w:rsidRPr="001516ED">
        <w:rPr>
          <w:i/>
          <w:szCs w:val="24"/>
          <w:lang w:val="pt-PT"/>
        </w:rPr>
        <w:t xml:space="preserve"> for cross</w:t>
      </w:r>
      <w:r w:rsidRPr="001516ED">
        <w:rPr>
          <w:i/>
          <w:szCs w:val="24"/>
          <w:lang w:val="pt-PT"/>
        </w:rPr>
        <w:noBreakHyphen/>
        <w:t xml:space="preserve">zonal </w:t>
      </w:r>
      <w:proofErr w:type="spellStart"/>
      <w:r w:rsidRPr="001516ED">
        <w:rPr>
          <w:i/>
          <w:szCs w:val="24"/>
          <w:lang w:val="pt-PT"/>
        </w:rPr>
        <w:t>trade</w:t>
      </w:r>
      <w:proofErr w:type="spellEnd"/>
      <w:r w:rsidRPr="001516ED">
        <w:rPr>
          <w:i/>
          <w:szCs w:val="24"/>
          <w:lang w:val="pt-PT"/>
        </w:rPr>
        <w:t xml:space="preserve"> </w:t>
      </w:r>
      <w:proofErr w:type="spellStart"/>
      <w:r w:rsidRPr="001516ED">
        <w:rPr>
          <w:i/>
          <w:szCs w:val="24"/>
          <w:lang w:val="pt-PT"/>
        </w:rPr>
        <w:t>of</w:t>
      </w:r>
      <w:proofErr w:type="spellEnd"/>
      <w:r w:rsidRPr="001516ED">
        <w:rPr>
          <w:i/>
          <w:szCs w:val="24"/>
          <w:lang w:val="pt-PT"/>
        </w:rPr>
        <w:t xml:space="preserve"> </w:t>
      </w:r>
      <w:proofErr w:type="spellStart"/>
      <w:r w:rsidRPr="001516ED">
        <w:rPr>
          <w:i/>
          <w:szCs w:val="24"/>
          <w:lang w:val="pt-PT"/>
        </w:rPr>
        <w:t>electricity</w:t>
      </w:r>
      <w:proofErr w:type="spellEnd"/>
      <w:r w:rsidRPr="001516ED">
        <w:rPr>
          <w:i/>
          <w:szCs w:val="24"/>
          <w:lang w:val="pt-PT"/>
        </w:rPr>
        <w:t xml:space="preserve"> </w:t>
      </w:r>
      <w:proofErr w:type="spellStart"/>
      <w:r w:rsidRPr="001516ED">
        <w:rPr>
          <w:i/>
          <w:szCs w:val="24"/>
          <w:lang w:val="pt-PT"/>
        </w:rPr>
        <w:t>and</w:t>
      </w:r>
      <w:proofErr w:type="spellEnd"/>
      <w:r w:rsidRPr="001516ED">
        <w:rPr>
          <w:i/>
          <w:szCs w:val="24"/>
          <w:lang w:val="pt-PT"/>
        </w:rPr>
        <w:t xml:space="preserve"> </w:t>
      </w:r>
      <w:proofErr w:type="spellStart"/>
      <w:r w:rsidRPr="001516ED">
        <w:rPr>
          <w:i/>
          <w:szCs w:val="24"/>
          <w:lang w:val="pt-PT"/>
        </w:rPr>
        <w:t>congestion</w:t>
      </w:r>
      <w:proofErr w:type="spellEnd"/>
      <w:r w:rsidRPr="001516ED">
        <w:rPr>
          <w:i/>
          <w:szCs w:val="24"/>
          <w:lang w:val="pt-PT"/>
        </w:rPr>
        <w:t xml:space="preserve"> management in </w:t>
      </w:r>
      <w:proofErr w:type="spellStart"/>
      <w:r w:rsidRPr="001516ED">
        <w:rPr>
          <w:i/>
          <w:szCs w:val="24"/>
          <w:lang w:val="pt-PT"/>
        </w:rPr>
        <w:t>the</w:t>
      </w:r>
      <w:proofErr w:type="spellEnd"/>
      <w:r w:rsidRPr="001516ED">
        <w:rPr>
          <w:i/>
          <w:szCs w:val="24"/>
          <w:lang w:val="pt-PT"/>
        </w:rPr>
        <w:t xml:space="preserve"> EU</w:t>
      </w:r>
      <w:r w:rsidRPr="00AF12B1">
        <w:rPr>
          <w:szCs w:val="24"/>
          <w:lang w:val="pt-PT"/>
        </w:rPr>
        <w:t xml:space="preserve"> [Capacidades de transporte para o comércio interzonal de eletricidade e a gestão de congestionamentos na UE]. Relatório de Acompanhamento do Mercado de 2024, p. 52.</w:t>
      </w:r>
    </w:p>
  </w:footnote>
  <w:footnote w:id="35">
    <w:p w14:paraId="595C9C99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 xml:space="preserve">Regulamento (UE) 2018/1999 do Parlamento Europeu e do Conselho, de 11 de dezembro de 2018, relativo à Governação da União da Energia e da Ação Climática (JO L 328 de 21.12.2018, p. 1, ELI: </w:t>
      </w:r>
      <w:hyperlink r:id="rId30" w:history="1">
        <w:r w:rsidRPr="001516ED">
          <w:rPr>
            <w:rStyle w:val="Hyperlink"/>
            <w:szCs w:val="24"/>
            <w:lang w:val="pt-PT"/>
          </w:rPr>
          <w:t>http://data.europa.eu/eli/reg/2018/1999/oj</w:t>
        </w:r>
      </w:hyperlink>
      <w:r w:rsidRPr="001516ED">
        <w:rPr>
          <w:szCs w:val="24"/>
          <w:lang w:val="pt-PT"/>
        </w:rPr>
        <w:t xml:space="preserve">). </w:t>
      </w:r>
    </w:p>
  </w:footnote>
  <w:footnote w:id="36">
    <w:p w14:paraId="50F07837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 xml:space="preserve">Regulamento (UE) 2022/2577 do Conselho, de 22 de dezembro de 2022, que estabelece um regime para acelerar a implantação das energias renováveis (JO L 335 de 29.12.2022, p. 36, ELI: </w:t>
      </w:r>
      <w:hyperlink r:id="rId31" w:history="1">
        <w:r w:rsidRPr="001516ED">
          <w:rPr>
            <w:rStyle w:val="Hyperlink"/>
            <w:szCs w:val="24"/>
            <w:lang w:val="pt-PT"/>
          </w:rPr>
          <w:t>http://data.europa.eu/eli/reg/2022/2577/oj</w:t>
        </w:r>
      </w:hyperlink>
      <w:r w:rsidRPr="001516ED">
        <w:rPr>
          <w:szCs w:val="24"/>
          <w:lang w:val="pt-PT"/>
        </w:rPr>
        <w:t xml:space="preserve">). </w:t>
      </w:r>
    </w:p>
  </w:footnote>
  <w:footnote w:id="37">
    <w:p w14:paraId="3440BFA1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 xml:space="preserve">Diretiva (UE) 2022/2557 do Parlamento Europeu e do Conselho, de 14 de dezembro de 2022, relativa à resiliência das entidades críticas e que revoga a Diretiva 2008/114/CE do Conselho (JO L 333 de 27.12.2022, p. 164, ELI: </w:t>
      </w:r>
      <w:hyperlink r:id="rId32" w:history="1">
        <w:r w:rsidRPr="001516ED">
          <w:rPr>
            <w:rStyle w:val="Hyperlink"/>
            <w:szCs w:val="24"/>
            <w:lang w:val="pt-PT"/>
          </w:rPr>
          <w:t>http://data.europa.eu/eli/dir/2022/2557/oj</w:t>
        </w:r>
      </w:hyperlink>
      <w:r w:rsidRPr="001516ED">
        <w:rPr>
          <w:szCs w:val="24"/>
          <w:lang w:val="pt-PT"/>
        </w:rPr>
        <w:t xml:space="preserve">). </w:t>
      </w:r>
    </w:p>
  </w:footnote>
  <w:footnote w:id="38">
    <w:p w14:paraId="330461AD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 xml:space="preserve">Regulamento (UE) 2024/2847 do Parlamento Europeu e do Conselho, de 23 de outubro de 2024, relativo aos requisitos horizontais de cibersegurança dos produtos com elementos digitais e que altera os Regulamentos (UE) n.º 168/2013 e (UE) 2019/1020 e a Diretiva (UE) 2020/1828 (Regulamento de </w:t>
      </w:r>
      <w:proofErr w:type="spellStart"/>
      <w:r w:rsidRPr="001516ED">
        <w:rPr>
          <w:szCs w:val="24"/>
          <w:lang w:val="pt-PT"/>
        </w:rPr>
        <w:t>Ciber</w:t>
      </w:r>
      <w:proofErr w:type="spellEnd"/>
      <w:r w:rsidRPr="001516ED">
        <w:rPr>
          <w:szCs w:val="24"/>
          <w:lang w:val="pt-PT"/>
        </w:rPr>
        <w:noBreakHyphen/>
        <w:t xml:space="preserve">Resiliência) (JO L, 2024/2847, 20.11.2024, ELI: </w:t>
      </w:r>
      <w:hyperlink r:id="rId33" w:history="1">
        <w:r w:rsidRPr="001516ED">
          <w:rPr>
            <w:rStyle w:val="Hyperlink"/>
            <w:szCs w:val="24"/>
            <w:lang w:val="pt-PT"/>
          </w:rPr>
          <w:t>http://data.europa.eu/eli/reg/2024/2847/oj</w:t>
        </w:r>
      </w:hyperlink>
      <w:r w:rsidRPr="001516ED">
        <w:rPr>
          <w:szCs w:val="24"/>
          <w:lang w:val="pt-PT"/>
        </w:rPr>
        <w:t xml:space="preserve">).  </w:t>
      </w:r>
    </w:p>
  </w:footnote>
  <w:footnote w:id="39">
    <w:p w14:paraId="4A23E9B0" w14:textId="6609150F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>Regulamento (UE) 2019/452 do Parlamento Europeu e do Conselho, de 19 de março de 2019, que estabelece um regime de análise dos investimentos diretos estrangeiros na União (JO L 79</w:t>
      </w:r>
      <w:r w:rsidR="001A37B1">
        <w:rPr>
          <w:szCs w:val="24"/>
          <w:lang w:val="pt-PT"/>
        </w:rPr>
        <w:t xml:space="preserve"> </w:t>
      </w:r>
      <w:r w:rsidRPr="001516ED">
        <w:rPr>
          <w:szCs w:val="24"/>
          <w:lang w:val="pt-PT"/>
        </w:rPr>
        <w:t xml:space="preserve">I de 21.3.2019, p. 1, ELI: </w:t>
      </w:r>
      <w:hyperlink r:id="rId34" w:history="1">
        <w:r w:rsidRPr="001516ED">
          <w:rPr>
            <w:rStyle w:val="Hyperlink"/>
            <w:szCs w:val="24"/>
            <w:lang w:val="pt-PT"/>
          </w:rPr>
          <w:t>http://data.e</w:t>
        </w:r>
        <w:r w:rsidRPr="00AF12B1">
          <w:rPr>
            <w:rStyle w:val="Hyperlink"/>
            <w:szCs w:val="24"/>
            <w:lang w:val="pt-PT"/>
          </w:rPr>
          <w:t>uropa.eu/eli/reg/2019/452/oj</w:t>
        </w:r>
      </w:hyperlink>
      <w:r w:rsidRPr="001516ED">
        <w:rPr>
          <w:szCs w:val="24"/>
          <w:lang w:val="pt-PT"/>
        </w:rPr>
        <w:t xml:space="preserve">). </w:t>
      </w:r>
    </w:p>
  </w:footnote>
  <w:footnote w:id="40">
    <w:p w14:paraId="5EC8D57C" w14:textId="15592E0D" w:rsidR="007A70F3" w:rsidRPr="001516ED" w:rsidRDefault="007A70F3" w:rsidP="008A4EA2">
      <w:pPr>
        <w:ind w:left="567" w:hanging="567"/>
        <w:rPr>
          <w:szCs w:val="24"/>
        </w:rPr>
      </w:pPr>
      <w:r w:rsidRPr="001516ED">
        <w:rPr>
          <w:rStyle w:val="FootnoteReference"/>
          <w:szCs w:val="24"/>
        </w:rPr>
        <w:footnoteRef/>
      </w:r>
      <w:r w:rsidR="008A4EA2" w:rsidRPr="001516ED">
        <w:rPr>
          <w:szCs w:val="24"/>
        </w:rPr>
        <w:t xml:space="preserve"> </w:t>
      </w:r>
      <w:r w:rsidR="008A4EA2" w:rsidRPr="001516ED">
        <w:rPr>
          <w:szCs w:val="24"/>
        </w:rPr>
        <w:tab/>
      </w:r>
      <w:r w:rsidRPr="001516ED">
        <w:rPr>
          <w:szCs w:val="24"/>
        </w:rPr>
        <w:t xml:space="preserve">Alteração para dados mais recentes </w:t>
      </w:r>
      <w:r w:rsidR="00AF12B1">
        <w:rPr>
          <w:szCs w:val="24"/>
        </w:rPr>
        <w:t>–</w:t>
      </w:r>
      <w:r w:rsidRPr="00AF12B1">
        <w:rPr>
          <w:szCs w:val="24"/>
        </w:rPr>
        <w:t xml:space="preserve"> O impulso final para a eliminação progressiva do gás russo na UE, «</w:t>
      </w:r>
      <w:proofErr w:type="spellStart"/>
      <w:r w:rsidRPr="00AF12B1">
        <w:rPr>
          <w:szCs w:val="24"/>
        </w:rPr>
        <w:t>Ember</w:t>
      </w:r>
      <w:proofErr w:type="spellEnd"/>
      <w:r w:rsidRPr="00AF12B1">
        <w:rPr>
          <w:szCs w:val="24"/>
        </w:rPr>
        <w:t>», 27 de março de 2025.</w:t>
      </w:r>
    </w:p>
  </w:footnote>
  <w:footnote w:id="41">
    <w:p w14:paraId="59B2DA00" w14:textId="77777777" w:rsidR="007A70F3" w:rsidRPr="001516ED" w:rsidRDefault="007A70F3" w:rsidP="008A4EA2">
      <w:pPr>
        <w:pStyle w:val="FootnoteText"/>
        <w:ind w:left="567" w:hanging="567"/>
        <w:rPr>
          <w:szCs w:val="24"/>
          <w:lang w:val="pt-PT"/>
        </w:rPr>
      </w:pPr>
      <w:r w:rsidRPr="001516ED">
        <w:rPr>
          <w:rStyle w:val="FootnoteReference"/>
          <w:szCs w:val="24"/>
          <w:lang w:val="pt-PT"/>
        </w:rPr>
        <w:footnoteRef/>
      </w:r>
      <w:r w:rsidR="008A4EA2" w:rsidRPr="001516ED">
        <w:rPr>
          <w:szCs w:val="24"/>
          <w:lang w:val="pt-PT"/>
        </w:rPr>
        <w:t xml:space="preserve"> </w:t>
      </w:r>
      <w:r w:rsidR="008A4EA2" w:rsidRPr="001516ED">
        <w:rPr>
          <w:szCs w:val="24"/>
          <w:lang w:val="pt-PT"/>
        </w:rPr>
        <w:tab/>
      </w:r>
      <w:r w:rsidRPr="001516ED">
        <w:rPr>
          <w:szCs w:val="24"/>
          <w:lang w:val="pt-PT"/>
        </w:rPr>
        <w:t>Centro de Investigação sobre Energia e Ar Limpo, «</w:t>
      </w:r>
      <w:proofErr w:type="spellStart"/>
      <w:r w:rsidRPr="001516ED">
        <w:rPr>
          <w:szCs w:val="24"/>
          <w:lang w:val="pt-PT"/>
        </w:rPr>
        <w:t>Financing</w:t>
      </w:r>
      <w:proofErr w:type="spellEnd"/>
      <w:r w:rsidRPr="001516ED">
        <w:rPr>
          <w:szCs w:val="24"/>
          <w:lang w:val="pt-PT"/>
        </w:rPr>
        <w:t xml:space="preserve"> Putin’ war: </w:t>
      </w:r>
      <w:proofErr w:type="spellStart"/>
      <w:r w:rsidRPr="001516ED">
        <w:rPr>
          <w:szCs w:val="24"/>
          <w:lang w:val="pt-PT"/>
        </w:rPr>
        <w:t>Fossil</w:t>
      </w:r>
      <w:proofErr w:type="spellEnd"/>
      <w:r w:rsidRPr="001516ED">
        <w:rPr>
          <w:szCs w:val="24"/>
          <w:lang w:val="pt-PT"/>
        </w:rPr>
        <w:t xml:space="preserve"> fuel </w:t>
      </w:r>
      <w:proofErr w:type="spellStart"/>
      <w:r w:rsidRPr="001516ED">
        <w:rPr>
          <w:szCs w:val="24"/>
          <w:lang w:val="pt-PT"/>
        </w:rPr>
        <w:t>imports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from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Russia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during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the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invasion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of</w:t>
      </w:r>
      <w:proofErr w:type="spellEnd"/>
      <w:r w:rsidRPr="001516ED">
        <w:rPr>
          <w:szCs w:val="24"/>
          <w:lang w:val="pt-PT"/>
        </w:rPr>
        <w:t xml:space="preserve"> </w:t>
      </w:r>
      <w:proofErr w:type="spellStart"/>
      <w:r w:rsidRPr="001516ED">
        <w:rPr>
          <w:szCs w:val="24"/>
          <w:lang w:val="pt-PT"/>
        </w:rPr>
        <w:t>Ukraine</w:t>
      </w:r>
      <w:proofErr w:type="spellEnd"/>
      <w:r w:rsidRPr="001516ED">
        <w:rPr>
          <w:szCs w:val="24"/>
          <w:lang w:val="pt-PT"/>
        </w:rPr>
        <w:t xml:space="preserve">» (Financiar a guerra de Putin: Combustíveis fósseis importados da Rússia durante a invasão da Ucrânia), </w:t>
      </w:r>
      <w:hyperlink r:id="rId35" w:history="1">
        <w:r w:rsidRPr="001516ED">
          <w:rPr>
            <w:rStyle w:val="Hyperlink"/>
            <w:szCs w:val="24"/>
            <w:lang w:val="pt-PT"/>
          </w:rPr>
          <w:t>https://energyandcleanair.or</w:t>
        </w:r>
        <w:r w:rsidRPr="00AF12B1">
          <w:rPr>
            <w:rStyle w:val="Hyperlink"/>
            <w:szCs w:val="24"/>
            <w:lang w:val="pt-PT"/>
          </w:rPr>
          <w:t>g/financing</w:t>
        </w:r>
        <w:r w:rsidRPr="00AF12B1">
          <w:rPr>
            <w:rStyle w:val="Hyperlink"/>
            <w:szCs w:val="24"/>
            <w:lang w:val="pt-PT"/>
          </w:rPr>
          <w:noBreakHyphen/>
          <w:t>putins</w:t>
        </w:r>
        <w:r w:rsidRPr="00AF12B1">
          <w:rPr>
            <w:rStyle w:val="Hyperlink"/>
            <w:szCs w:val="24"/>
            <w:lang w:val="pt-PT"/>
          </w:rPr>
          <w:noBreakHyphen/>
          <w:t>war/</w:t>
        </w:r>
      </w:hyperlink>
      <w:r w:rsidRPr="001516ED">
        <w:rPr>
          <w:color w:val="1155CC"/>
          <w:szCs w:val="24"/>
          <w:u w:val="single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022E1" w14:textId="77777777" w:rsidR="00064002" w:rsidRPr="008A4EA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C435F" w14:textId="77777777" w:rsidR="00064002" w:rsidRPr="008A4EA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DF850" w14:textId="77777777" w:rsidR="00064002" w:rsidRPr="008A4EA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360687">
    <w:abstractNumId w:val="9"/>
  </w:num>
  <w:num w:numId="2" w16cid:durableId="403836629">
    <w:abstractNumId w:val="9"/>
  </w:num>
  <w:num w:numId="3" w16cid:durableId="480318188">
    <w:abstractNumId w:val="7"/>
  </w:num>
  <w:num w:numId="4" w16cid:durableId="18433818">
    <w:abstractNumId w:val="7"/>
  </w:num>
  <w:num w:numId="5" w16cid:durableId="1867474951">
    <w:abstractNumId w:val="6"/>
  </w:num>
  <w:num w:numId="6" w16cid:durableId="1438594664">
    <w:abstractNumId w:val="6"/>
  </w:num>
  <w:num w:numId="7" w16cid:durableId="335228942">
    <w:abstractNumId w:val="5"/>
  </w:num>
  <w:num w:numId="8" w16cid:durableId="1361128183">
    <w:abstractNumId w:val="5"/>
  </w:num>
  <w:num w:numId="9" w16cid:durableId="1741366115">
    <w:abstractNumId w:val="4"/>
  </w:num>
  <w:num w:numId="10" w16cid:durableId="1275863227">
    <w:abstractNumId w:val="4"/>
  </w:num>
  <w:num w:numId="11" w16cid:durableId="2065519360">
    <w:abstractNumId w:val="8"/>
  </w:num>
  <w:num w:numId="12" w16cid:durableId="1963223213">
    <w:abstractNumId w:val="8"/>
  </w:num>
  <w:num w:numId="13" w16cid:durableId="583953283">
    <w:abstractNumId w:val="3"/>
  </w:num>
  <w:num w:numId="14" w16cid:durableId="1127238070">
    <w:abstractNumId w:val="3"/>
  </w:num>
  <w:num w:numId="15" w16cid:durableId="1861426814">
    <w:abstractNumId w:val="2"/>
  </w:num>
  <w:num w:numId="16" w16cid:durableId="1182161166">
    <w:abstractNumId w:val="2"/>
  </w:num>
  <w:num w:numId="17" w16cid:durableId="2062362945">
    <w:abstractNumId w:val="1"/>
  </w:num>
  <w:num w:numId="18" w16cid:durableId="1701783989">
    <w:abstractNumId w:val="1"/>
  </w:num>
  <w:num w:numId="19" w16cid:durableId="903299505">
    <w:abstractNumId w:val="0"/>
  </w:num>
  <w:num w:numId="20" w16cid:durableId="1277441815">
    <w:abstractNumId w:val="0"/>
  </w:num>
  <w:num w:numId="21" w16cid:durableId="1871451119">
    <w:abstractNumId w:val="9"/>
  </w:num>
  <w:num w:numId="22" w16cid:durableId="873228083">
    <w:abstractNumId w:val="7"/>
  </w:num>
  <w:num w:numId="23" w16cid:durableId="67851559">
    <w:abstractNumId w:val="6"/>
  </w:num>
  <w:num w:numId="24" w16cid:durableId="745687273">
    <w:abstractNumId w:val="5"/>
  </w:num>
  <w:num w:numId="25" w16cid:durableId="147063990">
    <w:abstractNumId w:val="4"/>
  </w:num>
  <w:num w:numId="26" w16cid:durableId="665667850">
    <w:abstractNumId w:val="8"/>
  </w:num>
  <w:num w:numId="27" w16cid:durableId="55472174">
    <w:abstractNumId w:val="3"/>
  </w:num>
  <w:num w:numId="28" w16cid:durableId="1989747742">
    <w:abstractNumId w:val="2"/>
  </w:num>
  <w:num w:numId="29" w16cid:durableId="1693914316">
    <w:abstractNumId w:val="1"/>
  </w:num>
  <w:num w:numId="30" w16cid:durableId="1312516499">
    <w:abstractNumId w:val="0"/>
  </w:num>
  <w:num w:numId="31" w16cid:durableId="1973407">
    <w:abstractNumId w:val="9"/>
  </w:num>
  <w:num w:numId="32" w16cid:durableId="666593971">
    <w:abstractNumId w:val="7"/>
  </w:num>
  <w:num w:numId="33" w16cid:durableId="2087218907">
    <w:abstractNumId w:val="6"/>
  </w:num>
  <w:num w:numId="34" w16cid:durableId="1800415754">
    <w:abstractNumId w:val="5"/>
  </w:num>
  <w:num w:numId="35" w16cid:durableId="23557459">
    <w:abstractNumId w:val="4"/>
  </w:num>
  <w:num w:numId="36" w16cid:durableId="527908460">
    <w:abstractNumId w:val="8"/>
  </w:num>
  <w:num w:numId="37" w16cid:durableId="596181124">
    <w:abstractNumId w:val="3"/>
  </w:num>
  <w:num w:numId="38" w16cid:durableId="2017608028">
    <w:abstractNumId w:val="2"/>
  </w:num>
  <w:num w:numId="39" w16cid:durableId="256450523">
    <w:abstractNumId w:val="1"/>
  </w:num>
  <w:num w:numId="40" w16cid:durableId="1052776394">
    <w:abstractNumId w:val="0"/>
  </w:num>
  <w:num w:numId="41" w16cid:durableId="1228495816">
    <w:abstractNumId w:val="10"/>
  </w:num>
  <w:num w:numId="42" w16cid:durableId="1424837979">
    <w:abstractNumId w:val="10"/>
  </w:num>
  <w:num w:numId="43" w16cid:durableId="28147493">
    <w:abstractNumId w:val="10"/>
  </w:num>
  <w:num w:numId="44" w16cid:durableId="14266102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21/2025"/>
    <w:docVar w:name="dvlangue" w:val="PT"/>
    <w:docVar w:name="dvnumam" w:val="0"/>
    <w:docVar w:name="dvpe" w:val="769.948"/>
    <w:docVar w:name="dvrapporteur" w:val="Relator: "/>
    <w:docVar w:name="dvtitre" w:val="Resolução do Parlamento Europeu, de ... de ... de 2025,_x000d__x000a_ sobre a segurança do aprovisionamento energético na UE(2025/2055(INI))"/>
  </w:docVars>
  <w:rsids>
    <w:rsidRoot w:val="009C61B7"/>
    <w:rsid w:val="00002272"/>
    <w:rsid w:val="00064002"/>
    <w:rsid w:val="000677B9"/>
    <w:rsid w:val="000831BA"/>
    <w:rsid w:val="000A42CC"/>
    <w:rsid w:val="000C1172"/>
    <w:rsid w:val="000E7DD9"/>
    <w:rsid w:val="001005DC"/>
    <w:rsid w:val="0010095E"/>
    <w:rsid w:val="00125B37"/>
    <w:rsid w:val="00146806"/>
    <w:rsid w:val="001516ED"/>
    <w:rsid w:val="00187494"/>
    <w:rsid w:val="001A37B1"/>
    <w:rsid w:val="001F32AE"/>
    <w:rsid w:val="002767FF"/>
    <w:rsid w:val="00282E86"/>
    <w:rsid w:val="002B18FE"/>
    <w:rsid w:val="002B5493"/>
    <w:rsid w:val="00343214"/>
    <w:rsid w:val="00361C00"/>
    <w:rsid w:val="0039389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019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6164"/>
    <w:rsid w:val="006F74FA"/>
    <w:rsid w:val="00714BB8"/>
    <w:rsid w:val="00731ADD"/>
    <w:rsid w:val="0073388F"/>
    <w:rsid w:val="00734777"/>
    <w:rsid w:val="00747932"/>
    <w:rsid w:val="00751A4A"/>
    <w:rsid w:val="00756632"/>
    <w:rsid w:val="00762C74"/>
    <w:rsid w:val="00786EC0"/>
    <w:rsid w:val="007A70F3"/>
    <w:rsid w:val="007D1690"/>
    <w:rsid w:val="007E22AD"/>
    <w:rsid w:val="00817416"/>
    <w:rsid w:val="00842779"/>
    <w:rsid w:val="00865F67"/>
    <w:rsid w:val="00881A7B"/>
    <w:rsid w:val="008840E5"/>
    <w:rsid w:val="00887B3E"/>
    <w:rsid w:val="008A0825"/>
    <w:rsid w:val="008A4EA2"/>
    <w:rsid w:val="008C2AC6"/>
    <w:rsid w:val="00930C23"/>
    <w:rsid w:val="0093193B"/>
    <w:rsid w:val="009509D8"/>
    <w:rsid w:val="00950B64"/>
    <w:rsid w:val="00981893"/>
    <w:rsid w:val="009B44AE"/>
    <w:rsid w:val="009C61B7"/>
    <w:rsid w:val="00A1687D"/>
    <w:rsid w:val="00A43E52"/>
    <w:rsid w:val="00A4678D"/>
    <w:rsid w:val="00A778C7"/>
    <w:rsid w:val="00AB441E"/>
    <w:rsid w:val="00AB6293"/>
    <w:rsid w:val="00AE0928"/>
    <w:rsid w:val="00AF12B1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A6E"/>
    <w:rsid w:val="00D058B8"/>
    <w:rsid w:val="00D56C11"/>
    <w:rsid w:val="00D834A0"/>
    <w:rsid w:val="00D872DF"/>
    <w:rsid w:val="00D91E21"/>
    <w:rsid w:val="00DA7FCD"/>
    <w:rsid w:val="00E365E1"/>
    <w:rsid w:val="00E820A4"/>
    <w:rsid w:val="00E9542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72E14C"/>
  <w15:chartTrackingRefBased/>
  <w15:docId w15:val="{9216547A-53D2-4BC6-96E8-4413AA18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503019"/>
    <w:pPr>
      <w:keepLines/>
      <w:widowControl/>
      <w:spacing w:line="260" w:lineRule="exact"/>
      <w:ind w:left="425" w:hanging="425"/>
    </w:pPr>
    <w:rPr>
      <w:lang w:val="fr-FR" w:eastAsia="fr-FR"/>
    </w:rPr>
  </w:style>
  <w:style w:type="character" w:customStyle="1" w:styleId="FootnoteTextChar">
    <w:name w:val="Footnote Text Char"/>
    <w:link w:val="FootnoteText"/>
    <w:rsid w:val="00503019"/>
    <w:rPr>
      <w:sz w:val="24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A70F3"/>
    <w:pPr>
      <w:spacing w:after="240"/>
      <w:ind w:left="567" w:hanging="567"/>
    </w:pPr>
  </w:style>
  <w:style w:type="paragraph" w:customStyle="1" w:styleId="EPComma">
    <w:name w:val="EPComma"/>
    <w:basedOn w:val="Normal"/>
    <w:rsid w:val="007A70F3"/>
    <w:pPr>
      <w:spacing w:before="480" w:after="240"/>
    </w:pPr>
  </w:style>
  <w:style w:type="paragraph" w:customStyle="1" w:styleId="Normal12a24b">
    <w:name w:val="Normal12a24b"/>
    <w:basedOn w:val="Normal"/>
    <w:rsid w:val="007A70F3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sid w:val="007A70F3"/>
    <w:rPr>
      <w:b/>
      <w:bCs w:val="0"/>
      <w:i/>
      <w:iCs w:val="0"/>
      <w:strike w:val="0"/>
      <w:dstrike w:val="0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7A70F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F1A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1A6E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282E8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9B44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44A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44A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9B44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B44AE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://data.europa.eu/eli/reg/2024/1787/oj" TargetMode="External"/><Relationship Id="rId18" Type="http://schemas.openxmlformats.org/officeDocument/2006/relationships/hyperlink" Target="https://ec.europa.eu/commission/presscorner/detail/pt/qanda_22_1512" TargetMode="External"/><Relationship Id="rId26" Type="http://schemas.openxmlformats.org/officeDocument/2006/relationships/hyperlink" Target="https://www.sipri.org/publications/2025/sipri-insights-peace-and-security/preparing-fourth-year-war-military-spending-russias-budget-2025" TargetMode="External"/><Relationship Id="rId3" Type="http://schemas.openxmlformats.org/officeDocument/2006/relationships/hyperlink" Target="http://data.europa.eu/eli/dir/2019/944/oj" TargetMode="External"/><Relationship Id="rId21" Type="http://schemas.openxmlformats.org/officeDocument/2006/relationships/hyperlink" Target="https://ec.europa.eu/eurostat/statistics-explained/index.php?title=Nuclear_energy_statistics" TargetMode="External"/><Relationship Id="rId34" Type="http://schemas.openxmlformats.org/officeDocument/2006/relationships/hyperlink" Target="http://data.europa.eu/eli/reg/2019/452/oj" TargetMode="External"/><Relationship Id="rId7" Type="http://schemas.openxmlformats.org/officeDocument/2006/relationships/hyperlink" Target="http://data.europa.eu/eli/reg/2021/1119/oj" TargetMode="External"/><Relationship Id="rId12" Type="http://schemas.openxmlformats.org/officeDocument/2006/relationships/hyperlink" Target="http://data.europa.eu/eli/reg/2024/1789/oj" TargetMode="External"/><Relationship Id="rId17" Type="http://schemas.openxmlformats.org/officeDocument/2006/relationships/hyperlink" Target="http://data.europa.eu/eli/C/2024/3937/oj" TargetMode="External"/><Relationship Id="rId25" Type="http://schemas.openxmlformats.org/officeDocument/2006/relationships/hyperlink" Target="https://energyandcleanair.org/publication/eu-imports-of-russian-fossil-fuels-in-third-year-of-invasion-surpass-financial-aid-sent-to-ukraine/" TargetMode="External"/><Relationship Id="rId33" Type="http://schemas.openxmlformats.org/officeDocument/2006/relationships/hyperlink" Target="http://data.europa.eu/eli/reg/2024/2847/oj" TargetMode="External"/><Relationship Id="rId2" Type="http://schemas.openxmlformats.org/officeDocument/2006/relationships/hyperlink" Target="http://data.europa.eu/eli/reg/2017/1938/oj" TargetMode="External"/><Relationship Id="rId16" Type="http://schemas.openxmlformats.org/officeDocument/2006/relationships/hyperlink" Target="http://data.europa.eu/eli/C/2025/809/oj" TargetMode="External"/><Relationship Id="rId20" Type="http://schemas.openxmlformats.org/officeDocument/2006/relationships/hyperlink" Target="https://eur-lex.europa.eu/legal-content/PT/TXT/PDF/?uri=CELEX:52025DC0072" TargetMode="External"/><Relationship Id="rId29" Type="http://schemas.openxmlformats.org/officeDocument/2006/relationships/hyperlink" Target="https://commission.europa.eu/topics/eu-competitiveness/draghi-report_en" TargetMode="External"/><Relationship Id="rId1" Type="http://schemas.openxmlformats.org/officeDocument/2006/relationships/hyperlink" Target="http://data.europa.eu/eli/dir/2009/119/oj" TargetMode="External"/><Relationship Id="rId6" Type="http://schemas.openxmlformats.org/officeDocument/2006/relationships/hyperlink" Target="http://data.europa.eu/eli/reg/2021/1153/oj" TargetMode="External"/><Relationship Id="rId11" Type="http://schemas.openxmlformats.org/officeDocument/2006/relationships/hyperlink" Target="http://data.europa.eu/eli/dir/2024/1788/oj" TargetMode="External"/><Relationship Id="rId24" Type="http://schemas.openxmlformats.org/officeDocument/2006/relationships/hyperlink" Target="https://energyandcleanair.org/publication/eu-imports-of-russian-fossil-fuels-in-third-year-of-invasion-surpass-financial-aid-sent-to-ukraine/" TargetMode="External"/><Relationship Id="rId32" Type="http://schemas.openxmlformats.org/officeDocument/2006/relationships/hyperlink" Target="http://data.europa.eu/eli/dir/2022/2557/oj" TargetMode="External"/><Relationship Id="rId5" Type="http://schemas.openxmlformats.org/officeDocument/2006/relationships/hyperlink" Target="http://data.europa.eu/eli/reg/2019/941/oj" TargetMode="External"/><Relationship Id="rId15" Type="http://schemas.openxmlformats.org/officeDocument/2006/relationships/hyperlink" Target="http://data.europa.eu/eli/reg/2024/1747/oj" TargetMode="External"/><Relationship Id="rId23" Type="http://schemas.openxmlformats.org/officeDocument/2006/relationships/hyperlink" Target="https://www.consilium.europa.eu/media/54786/20220311-versailles-declaration-pt.pdf" TargetMode="External"/><Relationship Id="rId28" Type="http://schemas.openxmlformats.org/officeDocument/2006/relationships/hyperlink" Target="https://ec.europa.eu/eurostat/web/products-eurostat-news/w/ddn-20250123-2" TargetMode="External"/><Relationship Id="rId10" Type="http://schemas.openxmlformats.org/officeDocument/2006/relationships/hyperlink" Target="http://data.europa.eu/eli/dir/2023/2413/oj" TargetMode="External"/><Relationship Id="rId19" Type="http://schemas.openxmlformats.org/officeDocument/2006/relationships/hyperlink" Target="https://www.catf.us/2023/11/24-7-carbon-free-energy-europe-secure-clean-electricity-around-clock/?utm" TargetMode="External"/><Relationship Id="rId31" Type="http://schemas.openxmlformats.org/officeDocument/2006/relationships/hyperlink" Target="http://data.europa.eu/eli/reg/2022/2577/oj" TargetMode="External"/><Relationship Id="rId4" Type="http://schemas.openxmlformats.org/officeDocument/2006/relationships/hyperlink" Target="http://data.europa.eu/eli/reg/2019/943/oj" TargetMode="External"/><Relationship Id="rId9" Type="http://schemas.openxmlformats.org/officeDocument/2006/relationships/hyperlink" Target="http://data.europa.eu/eli/dir/2023/1791/oj" TargetMode="External"/><Relationship Id="rId14" Type="http://schemas.openxmlformats.org/officeDocument/2006/relationships/hyperlink" Target="http://data.europa.eu/eli/dir/2024/1711/oj" TargetMode="External"/><Relationship Id="rId22" Type="http://schemas.openxmlformats.org/officeDocument/2006/relationships/hyperlink" Target="https://www.eea.europa.eu/en/analysis/indicators/primary-and-final-energy-consumption/primary-and-final-energy-consumption-1?activeTab=6fbd444d-c422-4a78-8492-fd496bd61b7a" TargetMode="External"/><Relationship Id="rId27" Type="http://schemas.openxmlformats.org/officeDocument/2006/relationships/hyperlink" Target="https://www.sipri.org/publications/2025/sipri-insights-peace-and-security/preparing-fourth-year-war-military-spending-russias-budget-2025" TargetMode="External"/><Relationship Id="rId30" Type="http://schemas.openxmlformats.org/officeDocument/2006/relationships/hyperlink" Target="http://data.europa.eu/eli/reg/2018/1999/oj" TargetMode="External"/><Relationship Id="rId35" Type="http://schemas.openxmlformats.org/officeDocument/2006/relationships/hyperlink" Target="https://energyandcleanair.org/financing-putins-war/" TargetMode="External"/><Relationship Id="rId8" Type="http://schemas.openxmlformats.org/officeDocument/2006/relationships/hyperlink" Target="http://data.europa.eu/eli/reg/2022/86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78FAF-73D0-4608-87D3-7F2A95429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8982</Words>
  <Characters>49979</Characters>
  <Application>Microsoft Office Word</Application>
  <DocSecurity>0</DocSecurity>
  <Lines>416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CORISCO Vasco</cp:lastModifiedBy>
  <cp:revision>2</cp:revision>
  <cp:lastPrinted>2004-11-19T15:42:00Z</cp:lastPrinted>
  <dcterms:created xsi:type="dcterms:W3CDTF">2025-08-04T13:50:00Z</dcterms:created>
  <dcterms:modified xsi:type="dcterms:W3CDTF">2025-08-04T13:50:00Z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A10-0121/2025</vt:lpwstr>
  </property>
  <property fmtid="{D5CDD505-2E9C-101B-9397-08002B2CF9AE}" pid="4" name="&lt;Type&gt;">
    <vt:lpwstr>RR</vt:lpwstr>
  </property>
</Properties>
</file>