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0B12" w14:paraId="3458D95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186BE0" w14:textId="7645CC5C" w:rsidR="00751A4A" w:rsidRPr="00090B12" w:rsidRDefault="00CF476F" w:rsidP="0010095E">
            <w:pPr>
              <w:pStyle w:val="EPName"/>
            </w:pPr>
            <w:r w:rsidRPr="00090B12">
              <w:t>Evropský parlament</w:t>
            </w:r>
          </w:p>
          <w:p w14:paraId="11EF3576" w14:textId="77777777" w:rsidR="00751A4A" w:rsidRPr="00090B1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0B12">
              <w:t>2024</w:t>
            </w:r>
            <w:r w:rsidR="00817416" w:rsidRPr="00090B12">
              <w:t>-202</w:t>
            </w:r>
            <w:r w:rsidRPr="00090B12">
              <w:t>9</w:t>
            </w:r>
          </w:p>
        </w:tc>
        <w:tc>
          <w:tcPr>
            <w:tcW w:w="2268" w:type="dxa"/>
            <w:shd w:val="clear" w:color="auto" w:fill="auto"/>
          </w:tcPr>
          <w:p w14:paraId="20E2B57A" w14:textId="77777777" w:rsidR="00751A4A" w:rsidRPr="00090B12" w:rsidRDefault="00187494" w:rsidP="0010095E">
            <w:pPr>
              <w:pStyle w:val="EPLogo"/>
            </w:pPr>
            <w:r w:rsidRPr="00090B12">
              <w:rPr>
                <w:noProof/>
                <w:lang w:eastAsia="ja-JP"/>
              </w:rPr>
              <w:drawing>
                <wp:inline distT="0" distB="0" distL="0" distR="0" wp14:anchorId="6C0E56C1" wp14:editId="7D23185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96DE82" w14:textId="77777777" w:rsidR="00D058B8" w:rsidRPr="00090B12" w:rsidRDefault="00D058B8" w:rsidP="004C5D52">
      <w:pPr>
        <w:pStyle w:val="LineTop"/>
      </w:pPr>
    </w:p>
    <w:p w14:paraId="69E2FD63" w14:textId="07698E14" w:rsidR="00680577" w:rsidRPr="00090B12" w:rsidRDefault="00CF476F" w:rsidP="00680577">
      <w:pPr>
        <w:pStyle w:val="EPBodyTA1"/>
      </w:pPr>
      <w:r w:rsidRPr="00090B12">
        <w:t>PŘIJATÉ TEXTY</w:t>
      </w:r>
    </w:p>
    <w:p w14:paraId="441FA8D7" w14:textId="77777777" w:rsidR="00D058B8" w:rsidRPr="00090B12" w:rsidRDefault="00D058B8" w:rsidP="00D058B8">
      <w:pPr>
        <w:pStyle w:val="LineBottom"/>
      </w:pPr>
    </w:p>
    <w:p w14:paraId="1BAAD31C" w14:textId="5E3A72F2" w:rsidR="00CF476F" w:rsidRPr="00090B12" w:rsidRDefault="00CF476F" w:rsidP="00CF476F">
      <w:pPr>
        <w:pStyle w:val="ATHeading1"/>
      </w:pPr>
      <w:bookmarkStart w:id="0" w:name="TANumber"/>
      <w:r w:rsidRPr="00090B12">
        <w:t>P10_TA(2025)0</w:t>
      </w:r>
      <w:r w:rsidR="00323670">
        <w:t>147</w:t>
      </w:r>
      <w:bookmarkEnd w:id="0"/>
    </w:p>
    <w:p w14:paraId="3D31B7AA" w14:textId="77777777" w:rsidR="00CF476F" w:rsidRPr="00090B12" w:rsidRDefault="00CF476F" w:rsidP="00CF476F">
      <w:pPr>
        <w:pStyle w:val="ATHeading2"/>
      </w:pPr>
      <w:bookmarkStart w:id="1" w:name="title"/>
      <w:r w:rsidRPr="00090B12">
        <w:t>Uchování památky obětí poválečného komunistického období ve Slovinsku</w:t>
      </w:r>
      <w:bookmarkEnd w:id="1"/>
    </w:p>
    <w:p w14:paraId="6D4837C7" w14:textId="77777777" w:rsidR="00CF476F" w:rsidRPr="00090B12" w:rsidRDefault="00CF476F" w:rsidP="00CF476F">
      <w:pPr>
        <w:rPr>
          <w:i/>
          <w:vanish/>
        </w:rPr>
      </w:pPr>
      <w:r w:rsidRPr="00090B12">
        <w:rPr>
          <w:i/>
        </w:rPr>
        <w:fldChar w:fldCharType="begin"/>
      </w:r>
      <w:r w:rsidRPr="00090B12">
        <w:rPr>
          <w:i/>
        </w:rPr>
        <w:instrText xml:space="preserve"> TC"(</w:instrText>
      </w:r>
      <w:bookmarkStart w:id="2" w:name="DocNumber"/>
      <w:r w:rsidRPr="00090B12">
        <w:rPr>
          <w:i/>
        </w:rPr>
        <w:instrText>B10-0322/2025</w:instrText>
      </w:r>
      <w:bookmarkEnd w:id="2"/>
      <w:r w:rsidRPr="00090B12">
        <w:rPr>
          <w:i/>
        </w:rPr>
        <w:instrText xml:space="preserve">)"\l3 \n&gt; \* MERGEFORMAT </w:instrText>
      </w:r>
      <w:r w:rsidRPr="00090B12">
        <w:rPr>
          <w:i/>
        </w:rPr>
        <w:fldChar w:fldCharType="end"/>
      </w:r>
    </w:p>
    <w:p w14:paraId="2E60FFCE" w14:textId="77777777" w:rsidR="00CF476F" w:rsidRPr="00090B12" w:rsidRDefault="00CF476F" w:rsidP="00CF476F">
      <w:pPr>
        <w:rPr>
          <w:vanish/>
        </w:rPr>
      </w:pPr>
      <w:bookmarkStart w:id="3" w:name="PE"/>
      <w:r w:rsidRPr="00090B12">
        <w:rPr>
          <w:vanish/>
        </w:rPr>
        <w:t>PE769.961</w:t>
      </w:r>
      <w:bookmarkEnd w:id="3"/>
    </w:p>
    <w:p w14:paraId="5CA925E9" w14:textId="77777777" w:rsidR="00CF476F" w:rsidRPr="00090B12" w:rsidRDefault="00CF476F" w:rsidP="00CF476F">
      <w:pPr>
        <w:pStyle w:val="ATHeading3"/>
      </w:pPr>
      <w:bookmarkStart w:id="4" w:name="Sujet"/>
      <w:r w:rsidRPr="00090B12">
        <w:t>Usnesení Evropského parlamentu ze dne 8. července 2025 o uchování památky obětí poválečného komunistického období ve Slovinsku</w:t>
      </w:r>
      <w:bookmarkEnd w:id="4"/>
      <w:r w:rsidRPr="00090B12">
        <w:t xml:space="preserve"> </w:t>
      </w:r>
      <w:bookmarkStart w:id="5" w:name="References"/>
      <w:r w:rsidRPr="00090B12">
        <w:t>(2025/2575(RSP))</w:t>
      </w:r>
      <w:bookmarkEnd w:id="5"/>
    </w:p>
    <w:p w14:paraId="52D77924" w14:textId="77777777" w:rsidR="001D2CBC" w:rsidRPr="00090B12" w:rsidRDefault="001D2CBC" w:rsidP="001D2CBC">
      <w:pPr>
        <w:pStyle w:val="EPComma"/>
      </w:pPr>
      <w:bookmarkStart w:id="6" w:name="TextBodyBegin"/>
      <w:bookmarkEnd w:id="6"/>
      <w:r w:rsidRPr="00090B12">
        <w:rPr>
          <w:i/>
          <w:iCs/>
        </w:rPr>
        <w:t>Evropský parlament</w:t>
      </w:r>
      <w:r w:rsidRPr="00090B12">
        <w:t>,</w:t>
      </w:r>
    </w:p>
    <w:p w14:paraId="2F4F39EA" w14:textId="77777777" w:rsidR="001D2CBC" w:rsidRPr="00090B12" w:rsidRDefault="001D2CBC" w:rsidP="0032281E">
      <w:pPr>
        <w:pStyle w:val="NormalHanging12a"/>
      </w:pPr>
      <w:r w:rsidRPr="00090B12">
        <w:t>–</w:t>
      </w:r>
      <w:r w:rsidRPr="00090B12">
        <w:tab/>
        <w:t>s ohledem na Smlouvu o Evropské unii, zejména na její článek 2, který ukládá respektovat lidskou důstojnost, svobodu, demokracii, rovnost a lidská práva,</w:t>
      </w:r>
    </w:p>
    <w:p w14:paraId="0D6D85B3" w14:textId="77777777" w:rsidR="001D2CBC" w:rsidRPr="00090B12" w:rsidRDefault="001D2CBC" w:rsidP="0032281E">
      <w:pPr>
        <w:pStyle w:val="NormalHanging12a"/>
        <w:rPr>
          <w:snapToGrid w:val="0"/>
          <w:spacing w:val="-2"/>
        </w:rPr>
      </w:pPr>
      <w:r w:rsidRPr="00090B12">
        <w:t>–</w:t>
      </w:r>
      <w:r w:rsidRPr="00090B12">
        <w:tab/>
        <w:t>s ohledem na Všeobecnou deklaraci lidských práv a související rezoluce Organizace spojených národů,</w:t>
      </w:r>
    </w:p>
    <w:p w14:paraId="3DAEE6A4" w14:textId="5286D647" w:rsidR="001D2CBC" w:rsidRPr="00090B12" w:rsidRDefault="001D2CBC" w:rsidP="0032281E">
      <w:pPr>
        <w:pStyle w:val="NormalHanging12a"/>
        <w:rPr>
          <w:snapToGrid w:val="0"/>
          <w:spacing w:val="-2"/>
        </w:rPr>
      </w:pPr>
      <w:r w:rsidRPr="00090B12">
        <w:t>–</w:t>
      </w:r>
      <w:r w:rsidRPr="00090B12">
        <w:tab/>
      </w:r>
      <w:r w:rsidRPr="00090B12">
        <w:rPr>
          <w:snapToGrid w:val="0"/>
        </w:rPr>
        <w:t>s ohledem na rezoluci č. 1481 Parlamentního shromáždění Rady Evropy ze dne 26.</w:t>
      </w:r>
      <w:r w:rsidR="00D51380" w:rsidRPr="00090B12">
        <w:rPr>
          <w:snapToGrid w:val="0"/>
        </w:rPr>
        <w:t> </w:t>
      </w:r>
      <w:r w:rsidRPr="00090B12">
        <w:rPr>
          <w:snapToGrid w:val="0"/>
        </w:rPr>
        <w:t>ledna 2006 o nutnosti mezinárodního odsouzení zločinů totalitních komunistických režimů,</w:t>
      </w:r>
    </w:p>
    <w:p w14:paraId="79D2E768" w14:textId="77777777" w:rsidR="001D2CBC" w:rsidRPr="00090B12" w:rsidRDefault="001D2CBC" w:rsidP="0032281E">
      <w:pPr>
        <w:pStyle w:val="NormalHanging12a"/>
        <w:rPr>
          <w:snapToGrid w:val="0"/>
          <w:spacing w:val="-2"/>
        </w:rPr>
      </w:pPr>
      <w:r w:rsidRPr="00090B12">
        <w:t>–</w:t>
      </w:r>
      <w:r w:rsidRPr="00090B12">
        <w:tab/>
      </w:r>
      <w:r w:rsidRPr="00090B12">
        <w:rPr>
          <w:snapToGrid w:val="0"/>
        </w:rPr>
        <w:t>s ohledem na Pražskou deklaraci o evropském svědomí a komunismu ze dne 3. června 2008, která vyzývá k celoevropskému odsouzení zločinů komunismu a k související osvětě,</w:t>
      </w:r>
    </w:p>
    <w:p w14:paraId="2B048C13" w14:textId="77777777" w:rsidR="001D2CBC" w:rsidRPr="00090B12" w:rsidRDefault="001D2CBC" w:rsidP="0032281E">
      <w:pPr>
        <w:pStyle w:val="NormalHanging12a"/>
        <w:rPr>
          <w:snapToGrid w:val="0"/>
          <w:spacing w:val="-2"/>
          <w:u w:val="single"/>
        </w:rPr>
      </w:pPr>
      <w:r w:rsidRPr="00090B12">
        <w:t>–</w:t>
      </w:r>
      <w:r w:rsidRPr="00090B12">
        <w:tab/>
      </w:r>
      <w:r w:rsidRPr="00090B12">
        <w:rPr>
          <w:snapToGrid w:val="0"/>
        </w:rPr>
        <w:t>s ohledem na své prohlášení ze dne 23. září 2008 o vyhlášení 23. srpna Evropským dnem památky obětí stalinismu a nacismu</w:t>
      </w:r>
      <w:r w:rsidRPr="00090B12">
        <w:rPr>
          <w:rStyle w:val="FootnoteReference"/>
          <w:snapToGrid w:val="0"/>
          <w:color w:val="000000"/>
          <w:spacing w:val="-2"/>
        </w:rPr>
        <w:footnoteReference w:id="1"/>
      </w:r>
      <w:r w:rsidRPr="00090B12">
        <w:rPr>
          <w:snapToGrid w:val="0"/>
        </w:rPr>
        <w:t>,</w:t>
      </w:r>
    </w:p>
    <w:p w14:paraId="687E8227" w14:textId="77777777" w:rsidR="001D2CBC" w:rsidRPr="00090B12" w:rsidRDefault="001D2CBC" w:rsidP="0032281E">
      <w:pPr>
        <w:pStyle w:val="NormalHanging12a"/>
        <w:rPr>
          <w:snapToGrid w:val="0"/>
          <w:spacing w:val="-2"/>
        </w:rPr>
      </w:pPr>
      <w:r w:rsidRPr="00090B12">
        <w:t>–</w:t>
      </w:r>
      <w:r w:rsidRPr="00090B12">
        <w:tab/>
      </w:r>
      <w:r w:rsidRPr="00090B12">
        <w:rPr>
          <w:snapToGrid w:val="0"/>
        </w:rPr>
        <w:t>s ohledem na Vilniuskou deklaraci OBSE z července 2009, která odsoudila totalitarismus a podpořila vyhlášení Evropského dne památky obětí stalinismu a nacismu,</w:t>
      </w:r>
    </w:p>
    <w:p w14:paraId="5853F66C" w14:textId="77777777" w:rsidR="001D2CBC" w:rsidRPr="00090B12" w:rsidRDefault="001D2CBC" w:rsidP="0032281E">
      <w:pPr>
        <w:pStyle w:val="NormalHanging12a"/>
        <w:rPr>
          <w:i/>
        </w:rPr>
      </w:pPr>
      <w:r w:rsidRPr="00090B12">
        <w:t>–</w:t>
      </w:r>
      <w:r w:rsidRPr="00090B12">
        <w:tab/>
      </w:r>
      <w:r w:rsidRPr="00090B12">
        <w:rPr>
          <w:snapToGrid w:val="0"/>
        </w:rPr>
        <w:t>s ohledem na</w:t>
      </w:r>
      <w:r w:rsidRPr="00090B12">
        <w:t xml:space="preserve"> své usnesení ze dne 2. dubna 2009 o svědomí Evropy a totalitě</w:t>
      </w:r>
      <w:r w:rsidRPr="00090B12">
        <w:rPr>
          <w:rStyle w:val="FootnoteReference"/>
          <w:color w:val="000000"/>
        </w:rPr>
        <w:footnoteReference w:id="2"/>
      </w:r>
      <w:r w:rsidRPr="00090B12">
        <w:t>,</w:t>
      </w:r>
    </w:p>
    <w:p w14:paraId="2821686D" w14:textId="77777777" w:rsidR="001D2CBC" w:rsidRPr="00090B12" w:rsidRDefault="001D2CBC" w:rsidP="0032281E">
      <w:pPr>
        <w:pStyle w:val="NormalHanging12a"/>
      </w:pPr>
      <w:r w:rsidRPr="00090B12">
        <w:t>–</w:t>
      </w:r>
      <w:r w:rsidRPr="00090B12">
        <w:tab/>
        <w:t>s ohledem na zprávu Komise ze dne 22. prosince 2010 nazvanou „Povědomí o zločinech spáchaných totalitními režimy v Evropě“ (</w:t>
      </w:r>
      <w:proofErr w:type="gramStart"/>
      <w:r w:rsidRPr="00090B12">
        <w:t>COM(</w:t>
      </w:r>
      <w:proofErr w:type="gramEnd"/>
      <w:r w:rsidRPr="00090B12">
        <w:t>2010)0783),</w:t>
      </w:r>
    </w:p>
    <w:p w14:paraId="24AFD340" w14:textId="77777777" w:rsidR="001D2CBC" w:rsidRPr="00090B12" w:rsidRDefault="001D2CBC" w:rsidP="0032281E">
      <w:pPr>
        <w:pStyle w:val="NormalHanging12a"/>
        <w:rPr>
          <w:rStyle w:val="Hyperlink"/>
          <w:bCs/>
          <w:color w:val="000000"/>
        </w:rPr>
      </w:pPr>
      <w:r w:rsidRPr="00090B12">
        <w:rPr>
          <w:i/>
        </w:rPr>
        <w:t>–</w:t>
      </w:r>
      <w:r w:rsidRPr="00090B12">
        <w:rPr>
          <w:i/>
        </w:rPr>
        <w:tab/>
      </w:r>
      <w:r w:rsidRPr="00090B12">
        <w:t xml:space="preserve">s ohledem na své usnesení ze dne 19. září 2019 o významu evropské paměti </w:t>
      </w:r>
      <w:r w:rsidRPr="00090B12">
        <w:lastRenderedPageBreak/>
        <w:t>pro budoucnost Evropy</w:t>
      </w:r>
      <w:r w:rsidRPr="00090B12">
        <w:rPr>
          <w:rStyle w:val="FootnoteReference"/>
          <w:bCs/>
          <w:color w:val="000000"/>
        </w:rPr>
        <w:footnoteReference w:id="3"/>
      </w:r>
      <w:r w:rsidRPr="00090B12">
        <w:rPr>
          <w:rStyle w:val="Hyperlink"/>
          <w:color w:val="000000"/>
        </w:rPr>
        <w:t>,</w:t>
      </w:r>
    </w:p>
    <w:p w14:paraId="0847F3D4" w14:textId="77777777" w:rsidR="001D2CBC" w:rsidRPr="00090B12" w:rsidRDefault="001D2CBC" w:rsidP="0032281E">
      <w:pPr>
        <w:pStyle w:val="NormalHanging12a"/>
      </w:pPr>
      <w:r w:rsidRPr="00090B12">
        <w:rPr>
          <w:i/>
        </w:rPr>
        <w:t>–</w:t>
      </w:r>
      <w:r w:rsidRPr="00090B12">
        <w:rPr>
          <w:i/>
        </w:rPr>
        <w:tab/>
      </w:r>
      <w:r w:rsidRPr="00090B12">
        <w:t>s ohledem na své usnesení ze dne 17. ledna 2024 o evropském historickém vědomí</w:t>
      </w:r>
      <w:r w:rsidRPr="00090B12">
        <w:rPr>
          <w:rStyle w:val="FootnoteReference"/>
          <w:color w:val="000000"/>
        </w:rPr>
        <w:footnoteReference w:id="4"/>
      </w:r>
      <w:r w:rsidRPr="00090B12">
        <w:t>,</w:t>
      </w:r>
    </w:p>
    <w:p w14:paraId="4B61BA9F" w14:textId="77777777" w:rsidR="001D2CBC" w:rsidRPr="00090B12" w:rsidRDefault="001D2CBC" w:rsidP="0032281E">
      <w:pPr>
        <w:pStyle w:val="NormalHanging12a"/>
      </w:pPr>
      <w:r w:rsidRPr="00090B12">
        <w:t>–</w:t>
      </w:r>
      <w:r w:rsidRPr="00090B12">
        <w:tab/>
        <w:t>s ohledem na petici č. 0718/2023,</w:t>
      </w:r>
    </w:p>
    <w:p w14:paraId="7F413ED9" w14:textId="77777777" w:rsidR="001D2CBC" w:rsidRPr="00090B12" w:rsidRDefault="001D2CBC" w:rsidP="0032281E">
      <w:pPr>
        <w:pStyle w:val="NormalHanging12a"/>
      </w:pPr>
      <w:r w:rsidRPr="00090B12">
        <w:t>–</w:t>
      </w:r>
      <w:r w:rsidRPr="00090B12">
        <w:tab/>
        <w:t>s ohledem na čl. 233 odst. 2 jednacího řádu,</w:t>
      </w:r>
    </w:p>
    <w:p w14:paraId="051509EA" w14:textId="77777777" w:rsidR="001D2CBC" w:rsidRPr="00090B12" w:rsidRDefault="001D2CBC" w:rsidP="0032281E">
      <w:pPr>
        <w:pStyle w:val="NormalHanging12a"/>
      </w:pPr>
      <w:r w:rsidRPr="00090B12">
        <w:t>A.</w:t>
      </w:r>
      <w:r w:rsidRPr="00090B12">
        <w:tab/>
        <w:t>vzhledem k tomu, že k evropským dějinám v celé jejich složitosti by se mělo přistupovat s respektem a v rámci objektivního a inkluzivního dialogu opřeného o fakta, který bude napomáhat porozumění a smíření a který by měl být veden profesionálními historiky a neměl by podléhat politickým vlivům;</w:t>
      </w:r>
    </w:p>
    <w:p w14:paraId="132A0BE2" w14:textId="7E42C0DE" w:rsidR="001D2CBC" w:rsidRPr="00090B12" w:rsidRDefault="001D2CBC" w:rsidP="0032281E">
      <w:pPr>
        <w:pStyle w:val="NormalHanging12a"/>
      </w:pPr>
      <w:r w:rsidRPr="00090B12">
        <w:t>B.</w:t>
      </w:r>
      <w:r w:rsidRPr="00090B12">
        <w:tab/>
        <w:t>vzhledem k tomu, že zachování památky na tragickou minulost Evropy a vzpomínání na</w:t>
      </w:r>
      <w:r w:rsidR="00D51380" w:rsidRPr="00090B12">
        <w:rPr>
          <w:snapToGrid w:val="0"/>
        </w:rPr>
        <w:t> </w:t>
      </w:r>
      <w:r w:rsidRPr="00090B12">
        <w:t>všechny oběti totalitních a autoritářských režimů má zásadní význam pro uctění důstojnosti těchto obětí, podporu usmíření, lidských práv a právního státu a podporu kultury míru a vzájemného respektu;</w:t>
      </w:r>
    </w:p>
    <w:p w14:paraId="4F16A794" w14:textId="77777777" w:rsidR="001D2CBC" w:rsidRPr="00090B12" w:rsidRDefault="001D2CBC" w:rsidP="0032281E">
      <w:pPr>
        <w:pStyle w:val="NormalHanging12a"/>
      </w:pPr>
      <w:r w:rsidRPr="00090B12">
        <w:t>C.</w:t>
      </w:r>
      <w:r w:rsidRPr="00090B12">
        <w:tab/>
        <w:t>vzhledem k tomu, že Parlament přijal usnesení o evropském vědomí a totalitě a vždy se zasazoval o zachování památky obětí všech totalitních režimů;</w:t>
      </w:r>
    </w:p>
    <w:p w14:paraId="3327C7BC" w14:textId="77777777" w:rsidR="001D2CBC" w:rsidRPr="00090B12" w:rsidRDefault="001D2CBC" w:rsidP="0032281E">
      <w:pPr>
        <w:pStyle w:val="NormalHanging12a"/>
      </w:pPr>
      <w:r w:rsidRPr="00090B12">
        <w:t>D.</w:t>
      </w:r>
      <w:r w:rsidRPr="00090B12">
        <w:tab/>
        <w:t>vzhledem k tomu, že zločiny spáchané během druhé světové války ve Slovinsku a dalších republikách bývalé Jugoslávie nesmí být nikdy zapomenuty;</w:t>
      </w:r>
    </w:p>
    <w:p w14:paraId="18265183" w14:textId="77777777" w:rsidR="001D2CBC" w:rsidRPr="00090B12" w:rsidRDefault="001D2CBC" w:rsidP="0032281E">
      <w:pPr>
        <w:pStyle w:val="NormalHanging12a"/>
      </w:pPr>
      <w:r w:rsidRPr="00090B12">
        <w:t>E.</w:t>
      </w:r>
      <w:r w:rsidRPr="00090B12">
        <w:tab/>
        <w:t>vzhledem k tomu, že po druhé světové válce se více než 100 000 obyvatel Slovinska, kteří se postavili na odpor komunistickému systému a jeho ideologickému útlaku, stalo obětí různých forem násilí; vzhledem k tomu, že tyto činy představují závažné porušení základních lidských práv, včetně práva na život, spravedlivý proces a důstojný pohřeb;</w:t>
      </w:r>
    </w:p>
    <w:p w14:paraId="1111DCBE" w14:textId="77777777" w:rsidR="001D2CBC" w:rsidRPr="00090B12" w:rsidRDefault="001D2CBC" w:rsidP="0032281E">
      <w:pPr>
        <w:pStyle w:val="NormalHanging12a"/>
      </w:pPr>
      <w:r w:rsidRPr="00090B12">
        <w:t>F.</w:t>
      </w:r>
      <w:r w:rsidRPr="00090B12">
        <w:tab/>
        <w:t>vzhledem k tomu, že jugoslávský komunistický režim ve Slovinsku mimosoudně popravil desítky tisíc civilistů a válečných zajatců; vzhledem k tomu, že jen v roce 1945 byly bezprostředně po skončení války popraveny tisíce osob;</w:t>
      </w:r>
    </w:p>
    <w:p w14:paraId="754E29CE" w14:textId="77777777" w:rsidR="001D2CBC" w:rsidRPr="00090B12" w:rsidRDefault="001D2CBC" w:rsidP="0032281E">
      <w:pPr>
        <w:pStyle w:val="NormalHanging12a"/>
      </w:pPr>
      <w:r w:rsidRPr="00090B12">
        <w:t>G.</w:t>
      </w:r>
      <w:r w:rsidRPr="00090B12">
        <w:tab/>
        <w:t xml:space="preserve">vzhledem k tomu, že slovinská vládní komise pro tajné masové hroby identifikovala více než 750 skrytých míst s těmito hroby, což </w:t>
      </w:r>
      <w:proofErr w:type="gramStart"/>
      <w:r w:rsidRPr="00090B12">
        <w:t>svědčí</w:t>
      </w:r>
      <w:proofErr w:type="gramEnd"/>
      <w:r w:rsidRPr="00090B12">
        <w:t xml:space="preserve"> o systematické snaze tyto zločiny utajit, nebyla však nalezena místa, kde byly provedeny popravy, a oběti nebyly řádně pohřbeny;</w:t>
      </w:r>
    </w:p>
    <w:p w14:paraId="52A6BA4C" w14:textId="77777777" w:rsidR="001D2CBC" w:rsidRPr="00090B12" w:rsidRDefault="001D2CBC" w:rsidP="0032281E">
      <w:pPr>
        <w:pStyle w:val="NormalHanging12a"/>
      </w:pPr>
      <w:r w:rsidRPr="00090B12">
        <w:t>H.</w:t>
      </w:r>
      <w:r w:rsidRPr="00090B12">
        <w:tab/>
        <w:t>vzhledem k tomu, že existence masových hrobů byla po desetiletí utajována a veřejná diskuse o těchto zločinech byla za totalitního režimu přísně zakázána, čímž byla historická pravda pohřbena a proces usmíření znemožněn;</w:t>
      </w:r>
    </w:p>
    <w:p w14:paraId="6145D631" w14:textId="77777777" w:rsidR="001D2CBC" w:rsidRPr="00090B12" w:rsidRDefault="001D2CBC" w:rsidP="0032281E">
      <w:pPr>
        <w:pStyle w:val="NormalHanging12a"/>
      </w:pPr>
      <w:r w:rsidRPr="00090B12">
        <w:t>I.</w:t>
      </w:r>
      <w:r w:rsidRPr="00090B12">
        <w:tab/>
        <w:t>vzhledem k tomu, že slovinská vláda zrušila v roce 2023 Národní den památky obětí komunistického násilí, což představuje vážný krok zpět v úsilí o zajištění historické spravedlnosti, usmíření a úcty k obětem;</w:t>
      </w:r>
    </w:p>
    <w:p w14:paraId="4F36F4CF" w14:textId="77777777" w:rsidR="001D2CBC" w:rsidRPr="00090B12" w:rsidRDefault="001D2CBC" w:rsidP="0032281E">
      <w:pPr>
        <w:pStyle w:val="NormalHanging12a"/>
      </w:pPr>
      <w:r w:rsidRPr="00090B12">
        <w:t>J.</w:t>
      </w:r>
      <w:r w:rsidRPr="00090B12">
        <w:tab/>
        <w:t xml:space="preserve">vzhledem k tomu, že připomínání evropských dějin a diskuse o nich by měly být objektivní, a vzhledem k tomu, že oběti komunistických masakrů ve Slovinsku si proto </w:t>
      </w:r>
      <w:proofErr w:type="gramStart"/>
      <w:r w:rsidRPr="00090B12">
        <w:t>zaslouží</w:t>
      </w:r>
      <w:proofErr w:type="gramEnd"/>
      <w:r w:rsidRPr="00090B12">
        <w:t xml:space="preserve"> vzpomínku a úctu; vzhledem k tomu, že úcta k historické památce obětí všech </w:t>
      </w:r>
      <w:r w:rsidRPr="00090B12">
        <w:lastRenderedPageBreak/>
        <w:t>totalitních režimů přispívá k budování spravedlivé a demokratické společnosti;</w:t>
      </w:r>
    </w:p>
    <w:p w14:paraId="0A5A8F55" w14:textId="77777777" w:rsidR="001D2CBC" w:rsidRPr="00090B12" w:rsidRDefault="001D2CBC" w:rsidP="0032281E">
      <w:pPr>
        <w:pStyle w:val="NormalHanging12a"/>
      </w:pPr>
      <w:r w:rsidRPr="00090B12">
        <w:t>K.</w:t>
      </w:r>
      <w:r w:rsidRPr="00090B12">
        <w:tab/>
        <w:t>vzhledem k tomu, že slovinské Státní shromáždění přijalo v prosinci 2024 zákon zakazující používání symbolů nacismu, fašismu a jejich kolaborantských organizací z druhé světové války, nikoli však symbolů komunismu;</w:t>
      </w:r>
    </w:p>
    <w:p w14:paraId="4F395318" w14:textId="77777777" w:rsidR="001D2CBC" w:rsidRPr="00090B12" w:rsidRDefault="001D2CBC" w:rsidP="0032281E">
      <w:pPr>
        <w:pStyle w:val="NormalHanging12a"/>
      </w:pPr>
      <w:r w:rsidRPr="00090B12">
        <w:t>L.</w:t>
      </w:r>
      <w:r w:rsidRPr="00090B12">
        <w:tab/>
        <w:t>vzhledem k tomu, že tábory nucených prací existovaly ve všech bývalých jugoslávských republikách; vzhledem k tomu, že tyto tábory byly totalitním komunistickým režimem v zemi využívány jako nástroj k potlačení veškeré politické opozice;</w:t>
      </w:r>
    </w:p>
    <w:p w14:paraId="6535A7CB" w14:textId="77777777" w:rsidR="001D2CBC" w:rsidRPr="00090B12" w:rsidRDefault="001D2CBC" w:rsidP="0032281E">
      <w:pPr>
        <w:pStyle w:val="NormalHanging12a"/>
      </w:pPr>
      <w:r w:rsidRPr="00090B12">
        <w:t>1.</w:t>
      </w:r>
      <w:r w:rsidRPr="00090B12">
        <w:tab/>
        <w:t xml:space="preserve">zastává názor, že připomínání zločinů spáchaných totalitními režimy by mělo být součástí kolektivní paměti, která </w:t>
      </w:r>
      <w:proofErr w:type="gramStart"/>
      <w:r w:rsidRPr="00090B12">
        <w:t>tvoří</w:t>
      </w:r>
      <w:proofErr w:type="gramEnd"/>
      <w:r w:rsidRPr="00090B12">
        <w:t xml:space="preserve"> moderní evropské dějiny; uznává existenci zločinů spáchaných nacistickými, fašistickými a komunistickými totalitními režimy a roli, kterou tyto zločiny sehrály při utváření historického vnímání Evropy;</w:t>
      </w:r>
    </w:p>
    <w:p w14:paraId="5672FC0C" w14:textId="77777777" w:rsidR="001D2CBC" w:rsidRPr="00090B12" w:rsidRDefault="001D2CBC" w:rsidP="0032281E">
      <w:pPr>
        <w:pStyle w:val="NormalHanging12a"/>
      </w:pPr>
      <w:r w:rsidRPr="00090B12">
        <w:t>2.</w:t>
      </w:r>
      <w:r w:rsidRPr="00090B12">
        <w:tab/>
        <w:t>zdůrazňuje, že tato historická fakta je důležité zahrnout do vzdělávacích programů a učebnic dějepisu, aby mladí lidé chápali význam demokracie a lidských práv;</w:t>
      </w:r>
    </w:p>
    <w:p w14:paraId="143C4861" w14:textId="77777777" w:rsidR="001D2CBC" w:rsidRPr="00090B12" w:rsidRDefault="001D2CBC" w:rsidP="0032281E">
      <w:pPr>
        <w:pStyle w:val="NormalHanging12a"/>
      </w:pPr>
      <w:r w:rsidRPr="00090B12">
        <w:t>3.</w:t>
      </w:r>
      <w:r w:rsidRPr="00090B12">
        <w:tab/>
        <w:t>opětovně prohlašuje, že v souladu se svými předchozími usneseními o historické paměti a lidských právech odsuzuje všechny formy totalitarismu a autoritářství, včetně komunismu;</w:t>
      </w:r>
    </w:p>
    <w:p w14:paraId="67B179EB" w14:textId="77777777" w:rsidR="001D2CBC" w:rsidRPr="00090B12" w:rsidRDefault="001D2CBC" w:rsidP="0032281E">
      <w:pPr>
        <w:pStyle w:val="NormalHanging12a"/>
        <w:rPr>
          <w:bCs/>
          <w:u w:val="single"/>
        </w:rPr>
      </w:pPr>
      <w:r w:rsidRPr="00090B12">
        <w:t>4.</w:t>
      </w:r>
      <w:r w:rsidRPr="00090B12">
        <w:tab/>
        <w:t>opětovně prohlašuje, že zločiny proti lidskosti nejsou promlčeny a že všechny tyto zločiny by měly být posuzovány podle stejného měřítka a tak by k nim i mělo být přistupováno; znovu potvrzuje své jednoznačné odsouzení historického revizionismu a glorifikace nacistických kolaborantů a dalších válečných aktérů odpovědných za zvěrstva spáchaná během druhé světové války a po ní, včetně zlehčování zločinů spáchaných nacistickým a fašistickým režimem a jejich spojenci, jakož i akcí kolaborantských sil a jugoslávských komunistických orgánů; opětovně připomíná význam nezkreslené a inkluzivní historické paměti, která udržuje povědomí o totalitním násilí v celé jeho šíři; zdůrazňuje morální odpovědnost za zachování památky všech nevinných obětí totalitních a autoritářských režimů v duchu smíření, pravdy a demokratických hodnot, odmítá jakékoli zneužívání historie k získávání politického prospěchu a vyzývá k pokračování vědeckého výzkumu tohoto složitého dědictví;</w:t>
      </w:r>
    </w:p>
    <w:p w14:paraId="1E9F0D8E" w14:textId="77777777" w:rsidR="001D2CBC" w:rsidRPr="00090B12" w:rsidRDefault="001D2CBC" w:rsidP="0032281E">
      <w:pPr>
        <w:pStyle w:val="NormalHanging12a"/>
      </w:pPr>
      <w:r w:rsidRPr="00090B12">
        <w:t>5.</w:t>
      </w:r>
      <w:r w:rsidRPr="00090B12">
        <w:tab/>
        <w:t>vyzývá k zachování památky všech nevinných obětí komunistického režimu ve Slovinsku od jeho vzniku až do jeho pádu;</w:t>
      </w:r>
    </w:p>
    <w:p w14:paraId="56D7CA9D" w14:textId="77777777" w:rsidR="001D2CBC" w:rsidRPr="00090B12" w:rsidRDefault="001D2CBC" w:rsidP="0032281E">
      <w:pPr>
        <w:pStyle w:val="NormalHanging12a"/>
        <w:rPr>
          <w:u w:val="single"/>
        </w:rPr>
      </w:pPr>
      <w:r w:rsidRPr="00090B12">
        <w:t>6.</w:t>
      </w:r>
      <w:r w:rsidRPr="00090B12">
        <w:tab/>
        <w:t>zdůrazňuje význam obětavé práce na úplném odhalení historických skutečností a pokračování oficiální vyšetřovací mise, jejímž cílem je odhalit místa masových hrobů ve Slovinsku a zdokumentovat a ověřit historické doklady o spáchaných zločinech;</w:t>
      </w:r>
    </w:p>
    <w:p w14:paraId="2F84D48F" w14:textId="77777777" w:rsidR="001D2CBC" w:rsidRPr="00090B12" w:rsidRDefault="001D2CBC" w:rsidP="0032281E">
      <w:pPr>
        <w:pStyle w:val="NormalHanging12a"/>
      </w:pPr>
      <w:r w:rsidRPr="00090B12">
        <w:t>7.</w:t>
      </w:r>
      <w:r w:rsidRPr="00090B12">
        <w:tab/>
        <w:t>zdůrazňuje, že mnoho osob odpovědných za poválečné zločiny nebylo za své činy pohnáno k odpovědnosti;</w:t>
      </w:r>
    </w:p>
    <w:p w14:paraId="15DB3E87" w14:textId="77777777" w:rsidR="001D2CBC" w:rsidRPr="00090B12" w:rsidRDefault="001D2CBC" w:rsidP="0032281E">
      <w:pPr>
        <w:pStyle w:val="NormalHanging12a"/>
      </w:pPr>
      <w:r w:rsidRPr="00090B12">
        <w:t>8.</w:t>
      </w:r>
      <w:r w:rsidRPr="00090B12">
        <w:tab/>
        <w:t>je přesvědčen, že oběti druhé světové války a poválečné odvety ze strany jugoslávských komunistických úřadů ve Slovinsku musí být řádně a důstojně pohřbeny; vyzývá slovinské orgány, aby i nadále vyvíjely maximální úsilí o zajištění všeobecného práva na pohřeb a aby zachovaly podpůrné instituce, které přispívají k vědeckému chápání historických událostí opřenému o fakta;</w:t>
      </w:r>
    </w:p>
    <w:p w14:paraId="16FA8CF3" w14:textId="77777777" w:rsidR="001D2CBC" w:rsidRPr="00090B12" w:rsidRDefault="001D2CBC" w:rsidP="0032281E">
      <w:pPr>
        <w:pStyle w:val="NormalHanging12a"/>
      </w:pPr>
      <w:r w:rsidRPr="00090B12">
        <w:lastRenderedPageBreak/>
        <w:t>9.</w:t>
      </w:r>
      <w:r w:rsidRPr="00090B12">
        <w:tab/>
        <w:t>konstatuje, že členské státy zřizují památníky připomínající totalitní zvěrstva; vyzývá slovinské orgány, aby pokračovaly ve vyšetřování týkajícím se tajných hrobů, zajistily důstojné pohřby a zřídily pamětní místa, která budou tuto minulost připomínat budoucím generacím;</w:t>
      </w:r>
    </w:p>
    <w:p w14:paraId="24FDF9D4" w14:textId="77777777" w:rsidR="001D2CBC" w:rsidRPr="00090B12" w:rsidRDefault="001D2CBC" w:rsidP="0032281E">
      <w:pPr>
        <w:pStyle w:val="NormalHanging12a"/>
      </w:pPr>
      <w:r w:rsidRPr="00090B12">
        <w:t>10.</w:t>
      </w:r>
      <w:r w:rsidRPr="00090B12">
        <w:tab/>
        <w:t>opakuje, že oficiálním dnem památky milionů obětí totalitních režimů, známým jako Evropský den památky obětí všech totalitních a autoritářských režimů, je 23. srpen;</w:t>
      </w:r>
    </w:p>
    <w:p w14:paraId="3E6612A8" w14:textId="77777777" w:rsidR="001D2CBC" w:rsidRPr="00090B12" w:rsidRDefault="001D2CBC" w:rsidP="0032281E">
      <w:pPr>
        <w:pStyle w:val="NormalHanging12a"/>
      </w:pPr>
      <w:r w:rsidRPr="00090B12">
        <w:t>11.</w:t>
      </w:r>
      <w:r w:rsidRPr="00090B12">
        <w:tab/>
        <w:t>zdůrazňuje, že je důležité, aby vzpomínka na zločiny spáchané totalitními režimy zůstala uchována, protože bez paměti není možné usmíření; připomíná, že politika pro zachování historické paměti patří do pravomoci členských států, a nespadá tudíž do oblasti působnosti právních předpisů EU; vybízí všechny členské státy, aby aktivně podporovaly projekty politiky zachování historické paměti, jejichž cílem je dosáhnout usmíření, a nikoli rozdělovat společnost nebo zneužívat tyto záležitosti k politickým účelům;</w:t>
      </w:r>
    </w:p>
    <w:p w14:paraId="6CE68C4C" w14:textId="77777777" w:rsidR="001D2CBC" w:rsidRPr="00090B12" w:rsidRDefault="001D2CBC" w:rsidP="0032281E">
      <w:pPr>
        <w:pStyle w:val="NormalHanging12a"/>
        <w:rPr>
          <w:u w:val="single"/>
        </w:rPr>
      </w:pPr>
      <w:r w:rsidRPr="00090B12">
        <w:t>12.</w:t>
      </w:r>
      <w:r w:rsidRPr="00090B12">
        <w:tab/>
        <w:t>připomíná, že Komise poskytuje finanční prostředky v rámci programu Občané, rovnost, práva a hodnoty na podporu vzpomínkových akcí a výzkumných a vzdělávacích projektů, které se zabývají příčinami totalitních režimů, zejména nacismu, ale také fašismu, stalinismu a komunistických režimů, a připomínají oběti jejich zločinů;</w:t>
      </w:r>
    </w:p>
    <w:p w14:paraId="63A13492" w14:textId="77777777" w:rsidR="001D2CBC" w:rsidRPr="00090B12" w:rsidRDefault="001D2CBC" w:rsidP="0032281E">
      <w:pPr>
        <w:pStyle w:val="NormalHanging12a"/>
      </w:pPr>
      <w:r w:rsidRPr="00090B12">
        <w:t>13.</w:t>
      </w:r>
      <w:r w:rsidRPr="00090B12">
        <w:tab/>
        <w:t>je přesvědčen, že slovinský Národní den památky obětí by měl připomínat oběti autoritářských a totalitních režimů, včetně obětí komunismu, aby učinil zadost historické spravedlnosti a přispěl k usmíření;</w:t>
      </w:r>
    </w:p>
    <w:p w14:paraId="3A6AB3B5" w14:textId="77777777" w:rsidR="001D2CBC" w:rsidRPr="00090B12" w:rsidRDefault="001D2CBC" w:rsidP="0032281E">
      <w:pPr>
        <w:pStyle w:val="NormalHanging12a"/>
      </w:pPr>
      <w:r w:rsidRPr="00090B12">
        <w:t>14.</w:t>
      </w:r>
      <w:r w:rsidRPr="00090B12">
        <w:tab/>
        <w:t>vyzývá Komisi, aby pokračovala v programu historické paměti, který by měl zohlednit</w:t>
      </w:r>
      <w:r w:rsidRPr="00090B12">
        <w:rPr>
          <w:i/>
        </w:rPr>
        <w:t xml:space="preserve"> </w:t>
      </w:r>
      <w:r w:rsidRPr="00090B12">
        <w:t>všechny tragédie, a podporovala tak projekty v celé Evropě, které se zabývají historií totalitních zločinů, oživují paměť a napomáhají usmíření; opětovně připomíná, že zločiny totalitního jugoslávského komunistického režimu se neděly pouze ve Slovinsku a že jeho oběti lze najít ve všech bývalých jugoslávských republikách a autonomních oblastech;</w:t>
      </w:r>
    </w:p>
    <w:p w14:paraId="2A7D0B76" w14:textId="77777777" w:rsidR="001D2CBC" w:rsidRPr="00090B12" w:rsidRDefault="001D2CBC" w:rsidP="0032281E">
      <w:pPr>
        <w:pStyle w:val="NormalHanging12a"/>
      </w:pPr>
      <w:r w:rsidRPr="00090B12">
        <w:t>15.</w:t>
      </w:r>
      <w:r w:rsidRPr="00090B12">
        <w:tab/>
        <w:t>vyzývá k důkladnému prozkoumání archivů jugoslávských tajných služeb, zejména KOS a UDBA;</w:t>
      </w:r>
    </w:p>
    <w:p w14:paraId="1A2D6624" w14:textId="77777777" w:rsidR="001D2CBC" w:rsidRPr="00090B12" w:rsidRDefault="001D2CBC" w:rsidP="0032281E">
      <w:pPr>
        <w:pStyle w:val="NormalHanging12a"/>
      </w:pPr>
      <w:r w:rsidRPr="00090B12">
        <w:t>16.</w:t>
      </w:r>
      <w:r w:rsidRPr="00090B12">
        <w:tab/>
        <w:t>zdůrazňuje, že všechny totalitní režimy by měly být odsouzeny a jejich symboly by neměly být propagovány;</w:t>
      </w:r>
    </w:p>
    <w:p w14:paraId="5AB4365D" w14:textId="77777777" w:rsidR="001D2CBC" w:rsidRPr="00090B12" w:rsidRDefault="001D2CBC" w:rsidP="0032281E">
      <w:pPr>
        <w:pStyle w:val="NormalHanging12a"/>
      </w:pPr>
      <w:r w:rsidRPr="00090B12">
        <w:t>17.</w:t>
      </w:r>
      <w:r w:rsidRPr="00090B12">
        <w:tab/>
        <w:t>vyzývá Slovinsko a ostatní členské státy, aby usilovaly o posilování historické paměti, vzájemného porozumění a usmíření na základě pravdy a úcty ke všem obětem totalitních režimů;</w:t>
      </w:r>
    </w:p>
    <w:p w14:paraId="4E966BF8" w14:textId="387ECBF9" w:rsidR="00090B12" w:rsidRPr="00090B12" w:rsidRDefault="001D2CBC" w:rsidP="0032281E">
      <w:pPr>
        <w:pStyle w:val="NormalHanging12a"/>
      </w:pPr>
      <w:r w:rsidRPr="00090B12">
        <w:t>18.</w:t>
      </w:r>
      <w:r w:rsidRPr="00090B12">
        <w:tab/>
        <w:t>pověřuje svou předsedkyni, aby předala toto usnesení Evropské komisi, Radě Evropské unie, slovinské vládě a parlamentu a vládám a parlamentům ostatních členských států.</w:t>
      </w:r>
    </w:p>
    <w:p w14:paraId="4BC38F85" w14:textId="3ABB5919" w:rsidR="00E365E1" w:rsidRPr="00090B12" w:rsidRDefault="00E365E1" w:rsidP="0032281E">
      <w:pPr>
        <w:spacing w:after="240"/>
        <w:ind w:hanging="567"/>
      </w:pPr>
    </w:p>
    <w:sectPr w:rsidR="00E365E1" w:rsidRPr="00090B12" w:rsidSect="00090B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BEF5C" w14:textId="77777777" w:rsidR="00CF476F" w:rsidRPr="00090B12" w:rsidRDefault="00CF476F">
      <w:r w:rsidRPr="00090B12">
        <w:separator/>
      </w:r>
    </w:p>
  </w:endnote>
  <w:endnote w:type="continuationSeparator" w:id="0">
    <w:p w14:paraId="4112B6F7" w14:textId="77777777" w:rsidR="00CF476F" w:rsidRPr="00090B12" w:rsidRDefault="00CF476F">
      <w:r w:rsidRPr="00090B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8DEF8" w14:textId="77777777" w:rsidR="00064002" w:rsidRPr="00090B1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FFD26" w14:textId="77777777" w:rsidR="00064002" w:rsidRPr="00090B1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81DAC" w14:textId="77777777" w:rsidR="00064002" w:rsidRPr="00090B1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D2DA8" w14:textId="77777777" w:rsidR="00CF476F" w:rsidRPr="00090B12" w:rsidRDefault="00CF476F">
      <w:r w:rsidRPr="00090B12">
        <w:separator/>
      </w:r>
    </w:p>
  </w:footnote>
  <w:footnote w:type="continuationSeparator" w:id="0">
    <w:p w14:paraId="3579435D" w14:textId="77777777" w:rsidR="00CF476F" w:rsidRPr="00090B12" w:rsidRDefault="00CF476F">
      <w:r w:rsidRPr="00090B12">
        <w:continuationSeparator/>
      </w:r>
    </w:p>
  </w:footnote>
  <w:footnote w:id="1">
    <w:p w14:paraId="083C6D90" w14:textId="77825FD4" w:rsidR="001D2CBC" w:rsidRPr="00090B12" w:rsidRDefault="001D2CBC" w:rsidP="00090B12">
      <w:pPr>
        <w:pStyle w:val="FootnoteText"/>
        <w:ind w:left="567" w:hanging="567"/>
        <w:rPr>
          <w:b/>
          <w:sz w:val="24"/>
          <w:lang w:val="cs-CZ"/>
        </w:rPr>
      </w:pPr>
      <w:r w:rsidRPr="00090B12">
        <w:rPr>
          <w:rStyle w:val="FootnoteReference"/>
          <w:sz w:val="24"/>
          <w:lang w:val="cs-CZ"/>
        </w:rPr>
        <w:footnoteRef/>
      </w:r>
      <w:r w:rsidR="00090B12" w:rsidRPr="00090B12">
        <w:rPr>
          <w:sz w:val="24"/>
          <w:lang w:val="cs-CZ"/>
        </w:rPr>
        <w:t xml:space="preserve"> </w:t>
      </w:r>
      <w:r w:rsidR="00090B12" w:rsidRPr="00090B12">
        <w:rPr>
          <w:sz w:val="24"/>
          <w:lang w:val="cs-CZ"/>
        </w:rPr>
        <w:tab/>
      </w:r>
      <w:proofErr w:type="spellStart"/>
      <w:r w:rsidRPr="00090B12">
        <w:rPr>
          <w:sz w:val="24"/>
          <w:lang w:val="cs-CZ"/>
        </w:rPr>
        <w:t>Úř</w:t>
      </w:r>
      <w:proofErr w:type="spellEnd"/>
      <w:r w:rsidRPr="00090B12">
        <w:rPr>
          <w:sz w:val="24"/>
          <w:lang w:val="cs-CZ"/>
        </w:rPr>
        <w:t xml:space="preserve">. </w:t>
      </w:r>
      <w:proofErr w:type="spellStart"/>
      <w:r w:rsidRPr="00090B12">
        <w:rPr>
          <w:sz w:val="24"/>
          <w:lang w:val="cs-CZ"/>
        </w:rPr>
        <w:t>věst</w:t>
      </w:r>
      <w:proofErr w:type="spellEnd"/>
      <w:r w:rsidRPr="00090B12">
        <w:rPr>
          <w:sz w:val="24"/>
          <w:lang w:val="cs-CZ"/>
        </w:rPr>
        <w:t>. C 8</w:t>
      </w:r>
      <w:r w:rsidR="0032281E">
        <w:rPr>
          <w:sz w:val="24"/>
          <w:lang w:val="cs-CZ"/>
        </w:rPr>
        <w:t xml:space="preserve"> </w:t>
      </w:r>
      <w:r w:rsidRPr="00090B12">
        <w:rPr>
          <w:sz w:val="24"/>
          <w:lang w:val="cs-CZ"/>
        </w:rPr>
        <w:t>E, 14.1.2010, s. 57.</w:t>
      </w:r>
    </w:p>
  </w:footnote>
  <w:footnote w:id="2">
    <w:p w14:paraId="1143F399" w14:textId="611CA7A2" w:rsidR="001D2CBC" w:rsidRPr="00090B12" w:rsidRDefault="001D2CBC" w:rsidP="00090B12">
      <w:pPr>
        <w:pStyle w:val="FootnoteText"/>
        <w:ind w:left="567" w:hanging="567"/>
        <w:rPr>
          <w:sz w:val="24"/>
          <w:lang w:val="cs-CZ"/>
        </w:rPr>
      </w:pPr>
      <w:r w:rsidRPr="00090B12">
        <w:rPr>
          <w:rStyle w:val="FootnoteReference"/>
          <w:sz w:val="24"/>
          <w:lang w:val="cs-CZ"/>
        </w:rPr>
        <w:footnoteRef/>
      </w:r>
      <w:r w:rsidR="00090B12" w:rsidRPr="00090B12">
        <w:rPr>
          <w:sz w:val="24"/>
          <w:lang w:val="cs-CZ"/>
        </w:rPr>
        <w:t xml:space="preserve"> </w:t>
      </w:r>
      <w:r w:rsidR="00090B12" w:rsidRPr="00090B12">
        <w:rPr>
          <w:sz w:val="24"/>
          <w:lang w:val="cs-CZ"/>
        </w:rPr>
        <w:tab/>
      </w:r>
      <w:proofErr w:type="spellStart"/>
      <w:r w:rsidRPr="00090B12">
        <w:rPr>
          <w:sz w:val="24"/>
          <w:lang w:val="cs-CZ"/>
        </w:rPr>
        <w:t>Úř</w:t>
      </w:r>
      <w:proofErr w:type="spellEnd"/>
      <w:r w:rsidRPr="00090B12">
        <w:rPr>
          <w:sz w:val="24"/>
          <w:lang w:val="cs-CZ"/>
        </w:rPr>
        <w:t xml:space="preserve">. </w:t>
      </w:r>
      <w:proofErr w:type="spellStart"/>
      <w:r w:rsidRPr="00090B12">
        <w:rPr>
          <w:sz w:val="24"/>
          <w:lang w:val="cs-CZ"/>
        </w:rPr>
        <w:t>věst</w:t>
      </w:r>
      <w:proofErr w:type="spellEnd"/>
      <w:r w:rsidRPr="00090B12">
        <w:rPr>
          <w:sz w:val="24"/>
          <w:lang w:val="cs-CZ"/>
        </w:rPr>
        <w:t>. C 137</w:t>
      </w:r>
      <w:r w:rsidR="0032281E">
        <w:rPr>
          <w:sz w:val="24"/>
          <w:lang w:val="cs-CZ"/>
        </w:rPr>
        <w:t xml:space="preserve"> </w:t>
      </w:r>
      <w:r w:rsidRPr="00090B12">
        <w:rPr>
          <w:sz w:val="24"/>
          <w:lang w:val="cs-CZ"/>
        </w:rPr>
        <w:t>E, 27.5.2010, s. 25.</w:t>
      </w:r>
    </w:p>
  </w:footnote>
  <w:footnote w:id="3">
    <w:p w14:paraId="76E50218" w14:textId="56A4C4AA" w:rsidR="001D2CBC" w:rsidRPr="00090B12" w:rsidRDefault="001D2CBC" w:rsidP="00090B12">
      <w:pPr>
        <w:pStyle w:val="FootnoteText"/>
        <w:ind w:left="567" w:hanging="567"/>
        <w:rPr>
          <w:sz w:val="24"/>
          <w:lang w:val="cs-CZ"/>
        </w:rPr>
      </w:pPr>
      <w:r w:rsidRPr="00090B12">
        <w:rPr>
          <w:rStyle w:val="FootnoteReference"/>
          <w:sz w:val="24"/>
          <w:lang w:val="cs-CZ"/>
        </w:rPr>
        <w:footnoteRef/>
      </w:r>
      <w:r w:rsidR="00090B12" w:rsidRPr="00090B12">
        <w:rPr>
          <w:sz w:val="24"/>
          <w:lang w:val="cs-CZ"/>
        </w:rPr>
        <w:t xml:space="preserve"> </w:t>
      </w:r>
      <w:r w:rsidR="00090B12" w:rsidRPr="00090B12">
        <w:rPr>
          <w:sz w:val="24"/>
          <w:lang w:val="cs-CZ"/>
        </w:rPr>
        <w:tab/>
      </w:r>
      <w:proofErr w:type="spellStart"/>
      <w:r w:rsidRPr="00090B12">
        <w:rPr>
          <w:sz w:val="24"/>
          <w:lang w:val="cs-CZ"/>
        </w:rPr>
        <w:t>Úř</w:t>
      </w:r>
      <w:proofErr w:type="spellEnd"/>
      <w:r w:rsidRPr="00090B12">
        <w:rPr>
          <w:sz w:val="24"/>
          <w:lang w:val="cs-CZ"/>
        </w:rPr>
        <w:t xml:space="preserve">. </w:t>
      </w:r>
      <w:proofErr w:type="spellStart"/>
      <w:r w:rsidRPr="00090B12">
        <w:rPr>
          <w:sz w:val="24"/>
          <w:lang w:val="cs-CZ"/>
        </w:rPr>
        <w:t>věst</w:t>
      </w:r>
      <w:proofErr w:type="spellEnd"/>
      <w:r w:rsidRPr="00090B12">
        <w:rPr>
          <w:sz w:val="24"/>
          <w:lang w:val="cs-CZ"/>
        </w:rPr>
        <w:t>. C 171, 6.5.2021, s. 25.</w:t>
      </w:r>
    </w:p>
  </w:footnote>
  <w:footnote w:id="4">
    <w:p w14:paraId="4A8E3C2E" w14:textId="1151204D" w:rsidR="001D2CBC" w:rsidRPr="00090B12" w:rsidRDefault="001D2CBC" w:rsidP="00090B12">
      <w:pPr>
        <w:pStyle w:val="FootnoteText"/>
        <w:ind w:left="567" w:hanging="567"/>
        <w:rPr>
          <w:sz w:val="24"/>
          <w:lang w:val="cs-CZ"/>
        </w:rPr>
      </w:pPr>
      <w:r w:rsidRPr="00090B12">
        <w:rPr>
          <w:rStyle w:val="FootnoteReference"/>
          <w:sz w:val="24"/>
          <w:lang w:val="cs-CZ"/>
        </w:rPr>
        <w:footnoteRef/>
      </w:r>
      <w:r w:rsidR="00090B12" w:rsidRPr="00090B12">
        <w:rPr>
          <w:sz w:val="24"/>
          <w:lang w:val="cs-CZ"/>
        </w:rPr>
        <w:t xml:space="preserve"> </w:t>
      </w:r>
      <w:r w:rsidR="00090B12" w:rsidRPr="00090B12">
        <w:rPr>
          <w:sz w:val="24"/>
          <w:lang w:val="cs-CZ"/>
        </w:rPr>
        <w:tab/>
      </w:r>
      <w:proofErr w:type="spellStart"/>
      <w:r w:rsidRPr="00090B12">
        <w:rPr>
          <w:sz w:val="24"/>
          <w:lang w:val="cs-CZ"/>
        </w:rPr>
        <w:t>Úř</w:t>
      </w:r>
      <w:proofErr w:type="spellEnd"/>
      <w:r w:rsidRPr="00090B12">
        <w:rPr>
          <w:sz w:val="24"/>
          <w:lang w:val="cs-CZ"/>
        </w:rPr>
        <w:t xml:space="preserve">. </w:t>
      </w:r>
      <w:proofErr w:type="spellStart"/>
      <w:r w:rsidRPr="00090B12">
        <w:rPr>
          <w:sz w:val="24"/>
          <w:lang w:val="cs-CZ"/>
        </w:rPr>
        <w:t>věst</w:t>
      </w:r>
      <w:proofErr w:type="spellEnd"/>
      <w:r w:rsidRPr="00090B12">
        <w:rPr>
          <w:sz w:val="24"/>
          <w:lang w:val="cs-CZ"/>
        </w:rPr>
        <w:t xml:space="preserve">. C, C/2024/5721, 17.10.2024, ELI: </w:t>
      </w:r>
      <w:r w:rsidR="00ED0290">
        <w:fldChar w:fldCharType="begin"/>
      </w:r>
      <w:r w:rsidR="00ED0290" w:rsidRPr="00ED0290">
        <w:rPr>
          <w:lang w:val="fi-FI"/>
        </w:rPr>
        <w:instrText>HYPERLINK "http://data.europa.eu/eli/C/2024/5721/oj"</w:instrText>
      </w:r>
      <w:r w:rsidR="00ED0290">
        <w:fldChar w:fldCharType="separate"/>
      </w:r>
      <w:r w:rsidRPr="00090B12">
        <w:rPr>
          <w:rStyle w:val="Hyperlink"/>
          <w:sz w:val="24"/>
          <w:lang w:val="cs-CZ"/>
        </w:rPr>
        <w:t>http://data.europa.eu/eli/C/2024/5721/oj</w:t>
      </w:r>
      <w:r w:rsidR="00ED0290">
        <w:rPr>
          <w:rStyle w:val="Hyperlink"/>
          <w:sz w:val="24"/>
          <w:lang w:val="cs-CZ"/>
        </w:rPr>
        <w:fldChar w:fldCharType="end"/>
      </w:r>
      <w:r w:rsidRPr="00090B12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AA9BB" w14:textId="77777777" w:rsidR="00064002" w:rsidRPr="00090B1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BC8E1" w14:textId="77777777" w:rsidR="00064002" w:rsidRPr="00090B1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F5591" w14:textId="77777777" w:rsidR="00064002" w:rsidRPr="00090B1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52777062">
    <w:abstractNumId w:val="9"/>
  </w:num>
  <w:num w:numId="2" w16cid:durableId="856819710">
    <w:abstractNumId w:val="9"/>
  </w:num>
  <w:num w:numId="3" w16cid:durableId="1929800743">
    <w:abstractNumId w:val="7"/>
  </w:num>
  <w:num w:numId="4" w16cid:durableId="1770273408">
    <w:abstractNumId w:val="7"/>
  </w:num>
  <w:num w:numId="5" w16cid:durableId="1975982367">
    <w:abstractNumId w:val="6"/>
  </w:num>
  <w:num w:numId="6" w16cid:durableId="327682837">
    <w:abstractNumId w:val="6"/>
  </w:num>
  <w:num w:numId="7" w16cid:durableId="335305444">
    <w:abstractNumId w:val="5"/>
  </w:num>
  <w:num w:numId="8" w16cid:durableId="1251163378">
    <w:abstractNumId w:val="5"/>
  </w:num>
  <w:num w:numId="9" w16cid:durableId="523903445">
    <w:abstractNumId w:val="4"/>
  </w:num>
  <w:num w:numId="10" w16cid:durableId="2062095758">
    <w:abstractNumId w:val="4"/>
  </w:num>
  <w:num w:numId="11" w16cid:durableId="722296670">
    <w:abstractNumId w:val="8"/>
  </w:num>
  <w:num w:numId="12" w16cid:durableId="936331338">
    <w:abstractNumId w:val="8"/>
  </w:num>
  <w:num w:numId="13" w16cid:durableId="23098240">
    <w:abstractNumId w:val="3"/>
  </w:num>
  <w:num w:numId="14" w16cid:durableId="1516455013">
    <w:abstractNumId w:val="3"/>
  </w:num>
  <w:num w:numId="15" w16cid:durableId="1115175275">
    <w:abstractNumId w:val="2"/>
  </w:num>
  <w:num w:numId="16" w16cid:durableId="408382203">
    <w:abstractNumId w:val="2"/>
  </w:num>
  <w:num w:numId="17" w16cid:durableId="1623851320">
    <w:abstractNumId w:val="1"/>
  </w:num>
  <w:num w:numId="18" w16cid:durableId="708799644">
    <w:abstractNumId w:val="1"/>
  </w:num>
  <w:num w:numId="19" w16cid:durableId="1297956431">
    <w:abstractNumId w:val="0"/>
  </w:num>
  <w:num w:numId="20" w16cid:durableId="507642066">
    <w:abstractNumId w:val="0"/>
  </w:num>
  <w:num w:numId="21" w16cid:durableId="550069413">
    <w:abstractNumId w:val="9"/>
  </w:num>
  <w:num w:numId="22" w16cid:durableId="172914961">
    <w:abstractNumId w:val="7"/>
  </w:num>
  <w:num w:numId="23" w16cid:durableId="618805217">
    <w:abstractNumId w:val="6"/>
  </w:num>
  <w:num w:numId="24" w16cid:durableId="673341818">
    <w:abstractNumId w:val="5"/>
  </w:num>
  <w:num w:numId="25" w16cid:durableId="1539007355">
    <w:abstractNumId w:val="4"/>
  </w:num>
  <w:num w:numId="26" w16cid:durableId="300306425">
    <w:abstractNumId w:val="8"/>
  </w:num>
  <w:num w:numId="27" w16cid:durableId="1902129798">
    <w:abstractNumId w:val="3"/>
  </w:num>
  <w:num w:numId="28" w16cid:durableId="1280451437">
    <w:abstractNumId w:val="2"/>
  </w:num>
  <w:num w:numId="29" w16cid:durableId="1735810875">
    <w:abstractNumId w:val="1"/>
  </w:num>
  <w:num w:numId="30" w16cid:durableId="1271931809">
    <w:abstractNumId w:val="0"/>
  </w:num>
  <w:num w:numId="31" w16cid:durableId="1623419788">
    <w:abstractNumId w:val="9"/>
  </w:num>
  <w:num w:numId="32" w16cid:durableId="776101033">
    <w:abstractNumId w:val="7"/>
  </w:num>
  <w:num w:numId="33" w16cid:durableId="1064567075">
    <w:abstractNumId w:val="6"/>
  </w:num>
  <w:num w:numId="34" w16cid:durableId="167864813">
    <w:abstractNumId w:val="5"/>
  </w:num>
  <w:num w:numId="35" w16cid:durableId="988553239">
    <w:abstractNumId w:val="4"/>
  </w:num>
  <w:num w:numId="36" w16cid:durableId="1265459991">
    <w:abstractNumId w:val="8"/>
  </w:num>
  <w:num w:numId="37" w16cid:durableId="612783776">
    <w:abstractNumId w:val="3"/>
  </w:num>
  <w:num w:numId="38" w16cid:durableId="1877306531">
    <w:abstractNumId w:val="2"/>
  </w:num>
  <w:num w:numId="39" w16cid:durableId="676153388">
    <w:abstractNumId w:val="1"/>
  </w:num>
  <w:num w:numId="40" w16cid:durableId="490560689">
    <w:abstractNumId w:val="0"/>
  </w:num>
  <w:num w:numId="41" w16cid:durableId="1084257542">
    <w:abstractNumId w:val="10"/>
  </w:num>
  <w:num w:numId="42" w16cid:durableId="1876578713">
    <w:abstractNumId w:val="10"/>
  </w:num>
  <w:num w:numId="43" w16cid:durableId="1070613498">
    <w:abstractNumId w:val="10"/>
  </w:num>
  <w:num w:numId="44" w16cid:durableId="20951979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22/2025"/>
    <w:docVar w:name="dvlangue" w:val="CS"/>
    <w:docVar w:name="dvnumam" w:val="0"/>
    <w:docVar w:name="dvpe" w:val="769.961"/>
    <w:docVar w:name="dvtitre" w:val="Usnesení Evropského parlamentu ze dne 8. července 2025 o uchování památky obětí poválečného komunistického období ve Slovinsku(2025/2575(RSP))"/>
  </w:docVars>
  <w:rsids>
    <w:rsidRoot w:val="00CF476F"/>
    <w:rsid w:val="00002272"/>
    <w:rsid w:val="00044809"/>
    <w:rsid w:val="00064002"/>
    <w:rsid w:val="000677B9"/>
    <w:rsid w:val="000831BA"/>
    <w:rsid w:val="00090B12"/>
    <w:rsid w:val="000A42CC"/>
    <w:rsid w:val="000E7DD9"/>
    <w:rsid w:val="0010095E"/>
    <w:rsid w:val="00125B37"/>
    <w:rsid w:val="00187494"/>
    <w:rsid w:val="001D2CBC"/>
    <w:rsid w:val="001F32AE"/>
    <w:rsid w:val="002767FF"/>
    <w:rsid w:val="002B18FE"/>
    <w:rsid w:val="002B5493"/>
    <w:rsid w:val="0032281E"/>
    <w:rsid w:val="0032367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52A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76F"/>
    <w:rsid w:val="00D058B8"/>
    <w:rsid w:val="00D5138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0290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957FD9"/>
  <w15:chartTrackingRefBased/>
  <w15:docId w15:val="{AE713F03-7667-499D-AFDC-8DC2088D7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D2CBC"/>
    <w:pPr>
      <w:spacing w:before="480" w:after="240"/>
    </w:pPr>
  </w:style>
  <w:style w:type="paragraph" w:customStyle="1" w:styleId="NormalHanging12a">
    <w:name w:val="NormalHanging12a"/>
    <w:basedOn w:val="Normal"/>
    <w:rsid w:val="001D2CBC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1D2CB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2281E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1377</Words>
  <Characters>8284</Characters>
  <Application>Microsoft Office Word</Application>
  <DocSecurity>0</DocSecurity>
  <Lines>184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2025-07-08T12:13:00Z</dcterms:created>
  <dcterms:modified xsi:type="dcterms:W3CDTF">2025-07-08T12:13:00Z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B10-0322/2025</vt:lpwstr>
  </property>
  <property fmtid="{D5CDD505-2E9C-101B-9397-08002B2CF9AE}" pid="4" name="&lt;Type&gt;">
    <vt:lpwstr>RR</vt:lpwstr>
  </property>
</Properties>
</file>