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409A" w:rsidTr="0010095E">
        <w:trPr>
          <w:trHeight w:hRule="exact" w:val="1418"/>
        </w:trPr>
        <w:tc>
          <w:tcPr>
            <w:tcW w:w="6804" w:type="dxa"/>
            <w:shd w:val="clear" w:color="auto" w:fill="auto"/>
            <w:vAlign w:val="center"/>
          </w:tcPr>
          <w:p w:rsidR="00751A4A" w:rsidRPr="008C409A" w:rsidRDefault="00ED3C60" w:rsidP="0010095E">
            <w:pPr>
              <w:pStyle w:val="EPName"/>
            </w:pPr>
            <w:bookmarkStart w:id="0" w:name="_GoBack"/>
            <w:bookmarkEnd w:id="0"/>
            <w:r w:rsidRPr="008C409A">
              <w:t>Ευρωπαϊκό Κοινοβούλιο</w:t>
            </w:r>
          </w:p>
          <w:p w:rsidR="00751A4A" w:rsidRPr="008C409A" w:rsidRDefault="005F1B17" w:rsidP="005F1B17">
            <w:pPr>
              <w:pStyle w:val="EPTerm"/>
              <w:rPr>
                <w:rStyle w:val="HideTWBExt"/>
                <w:noProof w:val="0"/>
                <w:vanish w:val="0"/>
                <w:color w:val="auto"/>
              </w:rPr>
            </w:pPr>
            <w:r w:rsidRPr="008C409A">
              <w:t>2024</w:t>
            </w:r>
            <w:r w:rsidR="00817416" w:rsidRPr="008C409A">
              <w:t>-202</w:t>
            </w:r>
            <w:r w:rsidRPr="008C409A">
              <w:t>9</w:t>
            </w:r>
          </w:p>
        </w:tc>
        <w:tc>
          <w:tcPr>
            <w:tcW w:w="2268" w:type="dxa"/>
            <w:shd w:val="clear" w:color="auto" w:fill="auto"/>
          </w:tcPr>
          <w:p w:rsidR="00751A4A" w:rsidRPr="008C409A" w:rsidRDefault="00187494" w:rsidP="0010095E">
            <w:pPr>
              <w:pStyle w:val="EPLogo"/>
            </w:pPr>
            <w:r w:rsidRPr="008C409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409A" w:rsidRDefault="00D058B8" w:rsidP="004C5D52">
      <w:pPr>
        <w:pStyle w:val="LineTop"/>
      </w:pPr>
    </w:p>
    <w:p w:rsidR="00680577" w:rsidRPr="008C409A" w:rsidRDefault="00ED3C60" w:rsidP="00680577">
      <w:pPr>
        <w:pStyle w:val="EPBodyTA1"/>
      </w:pPr>
      <w:r w:rsidRPr="008C409A">
        <w:t>ΚΕΙΜΕΝΑ ΠΟΥ ΕΓΚΡΙΘΗΚΑΝ</w:t>
      </w:r>
    </w:p>
    <w:p w:rsidR="00D058B8" w:rsidRPr="008C409A" w:rsidRDefault="00D058B8" w:rsidP="00D058B8">
      <w:pPr>
        <w:pStyle w:val="LineBottom"/>
      </w:pPr>
    </w:p>
    <w:p w:rsidR="00ED3C60" w:rsidRPr="008C409A" w:rsidRDefault="00ED3C60" w:rsidP="00ED3C60">
      <w:pPr>
        <w:pStyle w:val="ATHeading1"/>
      </w:pPr>
      <w:bookmarkStart w:id="1" w:name="TANumber"/>
      <w:r w:rsidRPr="008C409A">
        <w:t>P10_TA(2025)0</w:t>
      </w:r>
      <w:r w:rsidR="008C409A" w:rsidRPr="008C409A">
        <w:t>148</w:t>
      </w:r>
      <w:bookmarkEnd w:id="1"/>
    </w:p>
    <w:p w:rsidR="00ED3C60" w:rsidRPr="008C409A" w:rsidRDefault="009D04C1" w:rsidP="00ED3C60">
      <w:pPr>
        <w:pStyle w:val="ATHeading2"/>
      </w:pPr>
      <w:bookmarkStart w:id="2" w:name="title"/>
      <w:r w:rsidRPr="008C409A">
        <w:t xml:space="preserve">Απόφαση περί μη διατύπωσης αντίρρησης σε κατ’ εξουσιοδότηση πράξη: </w:t>
      </w:r>
      <w:r w:rsidR="008760C8" w:rsidRPr="008C409A">
        <w:t>τροποποίηση του κατ’ εξουσιοδότηση κανονισμού (ΕΕ) 2025/530 όσον αφορά την ημερομηνία εφαρμογής του</w:t>
      </w:r>
      <w:bookmarkEnd w:id="2"/>
    </w:p>
    <w:p w:rsidR="00ED3C60" w:rsidRPr="008C409A" w:rsidRDefault="00ED3C60" w:rsidP="00ED3C60">
      <w:pPr>
        <w:rPr>
          <w:i/>
          <w:vanish/>
        </w:rPr>
      </w:pPr>
      <w:r w:rsidRPr="008C409A">
        <w:rPr>
          <w:i/>
        </w:rPr>
        <w:fldChar w:fldCharType="begin"/>
      </w:r>
      <w:r w:rsidRPr="008C409A">
        <w:rPr>
          <w:i/>
        </w:rPr>
        <w:instrText xml:space="preserve"> TC"(</w:instrText>
      </w:r>
      <w:bookmarkStart w:id="3" w:name="DocNumber"/>
      <w:r w:rsidRPr="008C409A">
        <w:rPr>
          <w:i/>
        </w:rPr>
        <w:instrText>B10-0302/2025</w:instrText>
      </w:r>
      <w:bookmarkEnd w:id="3"/>
      <w:r w:rsidRPr="008C409A">
        <w:rPr>
          <w:i/>
        </w:rPr>
        <w:instrText xml:space="preserve">)"\l3 \n&gt; \* MERGEFORMAT </w:instrText>
      </w:r>
      <w:r w:rsidRPr="008C409A">
        <w:rPr>
          <w:i/>
        </w:rPr>
        <w:fldChar w:fldCharType="end"/>
      </w:r>
    </w:p>
    <w:p w:rsidR="00ED3C60" w:rsidRPr="008C409A" w:rsidRDefault="00ED3C60" w:rsidP="00ED3C60">
      <w:pPr>
        <w:rPr>
          <w:vanish/>
        </w:rPr>
      </w:pPr>
      <w:bookmarkStart w:id="4" w:name="PE"/>
      <w:r w:rsidRPr="008C409A">
        <w:rPr>
          <w:vanish/>
        </w:rPr>
        <w:t>PE774.519</w:t>
      </w:r>
      <w:bookmarkEnd w:id="4"/>
    </w:p>
    <w:p w:rsidR="00ED3C60" w:rsidRPr="008C409A" w:rsidRDefault="009D04C1" w:rsidP="00ED3C60">
      <w:pPr>
        <w:pStyle w:val="ATHeading3"/>
      </w:pPr>
      <w:bookmarkStart w:id="5" w:name="Sujet"/>
      <w:r w:rsidRPr="008C409A">
        <w:t xml:space="preserve">Απόφαση </w:t>
      </w:r>
      <w:r w:rsidR="00ED3C60" w:rsidRPr="008C409A">
        <w:t>του Ευρωπαϊκού Κοινοβουλίου περί μη διατύπωσης αντίρρησης στον κατ’</w:t>
      </w:r>
      <w:r w:rsidR="005118FB" w:rsidRPr="008C409A">
        <w:rPr>
          <w:lang w:val="en-GB"/>
        </w:rPr>
        <w:t> </w:t>
      </w:r>
      <w:r w:rsidR="00ED3C60" w:rsidRPr="008C409A">
        <w:t>εξουσιοδότηση κανονισμό της Επιτροπής της 12ης Ιουνίου 2025</w:t>
      </w:r>
      <w:r w:rsidR="008760C8" w:rsidRPr="008C409A">
        <w:t xml:space="preserve"> που τροποποιεί τον κατ’ εξουσιοδότηση κανονισμό (ΕΕ) 2025/530 της Επιτροπής</w:t>
      </w:r>
      <w:r w:rsidR="00ED3C60" w:rsidRPr="008C409A">
        <w:t xml:space="preserve"> όσον αφορά την ημερομηνία εφαρμογής του</w:t>
      </w:r>
      <w:bookmarkEnd w:id="5"/>
      <w:r w:rsidR="00ED3C60" w:rsidRPr="008C409A">
        <w:t xml:space="preserve"> </w:t>
      </w:r>
      <w:bookmarkStart w:id="6" w:name="References"/>
      <w:r w:rsidR="00ED3C60" w:rsidRPr="008C409A">
        <w:t>(C(2025)03819 – 2025/2766(DEA))</w:t>
      </w:r>
      <w:bookmarkEnd w:id="6"/>
    </w:p>
    <w:p w:rsidR="00965EE9" w:rsidRPr="008C409A" w:rsidRDefault="00965EE9" w:rsidP="00965EE9">
      <w:pPr>
        <w:pStyle w:val="EPComma"/>
      </w:pPr>
      <w:bookmarkStart w:id="7" w:name="TextBodyBegin"/>
      <w:bookmarkEnd w:id="7"/>
      <w:r w:rsidRPr="008C409A">
        <w:rPr>
          <w:i/>
          <w:iCs/>
        </w:rPr>
        <w:t>Το Ευρωπαϊκό Κοινοβούλιο</w:t>
      </w:r>
      <w:r w:rsidRPr="008C409A">
        <w:t>,</w:t>
      </w:r>
    </w:p>
    <w:p w:rsidR="00965EE9" w:rsidRPr="008C409A" w:rsidRDefault="00965EE9" w:rsidP="00965EE9">
      <w:pPr>
        <w:pStyle w:val="NormalHanging12a"/>
      </w:pPr>
      <w:r w:rsidRPr="008C409A">
        <w:t>–</w:t>
      </w:r>
      <w:r w:rsidRPr="008C409A">
        <w:tab/>
        <w:t>έχοντας υπόψη τον κατ’ εξουσιοδότηση κανονισμό της Επιτροπής (C</w:t>
      </w:r>
      <w:r w:rsidR="009D04C1" w:rsidRPr="008C409A">
        <w:t>(</w:t>
      </w:r>
      <w:r w:rsidRPr="008C409A">
        <w:t>2025)03819),</w:t>
      </w:r>
    </w:p>
    <w:p w:rsidR="00965EE9" w:rsidRPr="008C409A" w:rsidRDefault="00965EE9" w:rsidP="00965EE9">
      <w:pPr>
        <w:pStyle w:val="NormalHanging12a"/>
      </w:pPr>
      <w:r w:rsidRPr="008C409A">
        <w:t>–</w:t>
      </w:r>
      <w:r w:rsidRPr="008C409A">
        <w:tab/>
        <w:t>έχοντας υπόψη την με ημερομηνία 6 Ιουνίου 2025 επιστολή της Επιτροπής διά της οποίας του ζητείται να δηλώσει ότι δεν θα διατυπώσει αντίρρηση στον κατ’ εξουσιοδότηση κανονισμό,</w:t>
      </w:r>
    </w:p>
    <w:p w:rsidR="00965EE9" w:rsidRPr="008C409A" w:rsidRDefault="00965EE9" w:rsidP="00965EE9">
      <w:pPr>
        <w:pStyle w:val="NormalHanging12a"/>
      </w:pPr>
      <w:r w:rsidRPr="008C409A">
        <w:t>–</w:t>
      </w:r>
      <w:r w:rsidRPr="008C409A">
        <w:tab/>
        <w:t>έχοντας υπόψη την από 25ης Ιουνίου 2025 επιστολή της Επιτροπής Αλιείας προς τον Πρόεδρο της Διάσκεψης των Προέδρων των Επιτροπών,</w:t>
      </w:r>
    </w:p>
    <w:p w:rsidR="00965EE9" w:rsidRPr="008C409A" w:rsidRDefault="00965EE9" w:rsidP="00965EE9">
      <w:pPr>
        <w:pStyle w:val="NormalHanging12a"/>
      </w:pPr>
      <w:r w:rsidRPr="008C409A">
        <w:t>–</w:t>
      </w:r>
      <w:r w:rsidRPr="008C409A">
        <w:tab/>
        <w:t>έχοντας υπόψη το άρθρο 290 της Συνθήκης για τη λειτουργία της Ευρωπαϊκής Ένωσης,</w:t>
      </w:r>
    </w:p>
    <w:p w:rsidR="00965EE9" w:rsidRPr="008C409A" w:rsidRDefault="00965EE9" w:rsidP="00965EE9">
      <w:pPr>
        <w:pStyle w:val="NormalHanging12a"/>
      </w:pPr>
      <w:r w:rsidRPr="008C409A">
        <w:t>–</w:t>
      </w:r>
      <w:r w:rsidRPr="008C409A">
        <w:tab/>
        <w:t>έχοντας υπόψη τον κανονισμό (ΕΚ) αριθ. 2173/2005 του Συμβουλίου, της 20ής Δεκεμβρίου 2005, περί δημιουργίας εθελοντικού συστήματος αδειών FLEGT για τις εισαγωγές ξυλείας στην Ευρωπαϊκή Κοινότητα</w:t>
      </w:r>
      <w:r w:rsidRPr="008C409A">
        <w:rPr>
          <w:rStyle w:val="FootnoteReference"/>
        </w:rPr>
        <w:footnoteReference w:id="1"/>
      </w:r>
      <w:r w:rsidRPr="008C409A">
        <w:t>, και ιδίως το άρθρο 10 παράγραφοι 1 και 3 και το άρθρο 11α παράγραφος 5,</w:t>
      </w:r>
    </w:p>
    <w:p w:rsidR="00965EE9" w:rsidRPr="008C409A" w:rsidRDefault="00965EE9" w:rsidP="00965EE9">
      <w:pPr>
        <w:pStyle w:val="NormalHanging12a"/>
      </w:pPr>
      <w:r w:rsidRPr="008C409A">
        <w:t>–</w:t>
      </w:r>
      <w:r w:rsidRPr="008C409A">
        <w:tab/>
        <w:t>έχοντας υπόψη τον κατ’ εξουσιοδότηση κανονισμό (ΕΕ) 2025/530 της Επιτροπής</w:t>
      </w:r>
      <w:r w:rsidRPr="008C409A">
        <w:rPr>
          <w:vertAlign w:val="superscript"/>
        </w:rPr>
        <w:footnoteReference w:id="2"/>
      </w:r>
      <w:r w:rsidRPr="008C409A">
        <w:t>,</w:t>
      </w:r>
    </w:p>
    <w:p w:rsidR="00965EE9" w:rsidRPr="008C409A" w:rsidRDefault="00965EE9" w:rsidP="00965EE9">
      <w:pPr>
        <w:pStyle w:val="NormalHanging12a"/>
      </w:pPr>
      <w:r w:rsidRPr="008C409A">
        <w:t>–</w:t>
      </w:r>
      <w:r w:rsidRPr="008C409A">
        <w:tab/>
        <w:t>έχοντας υπόψη το άρθρο 114 παράγραφος 6 του Κανονισμού του,</w:t>
      </w:r>
    </w:p>
    <w:p w:rsidR="00965EE9" w:rsidRPr="008C409A" w:rsidRDefault="00965EE9" w:rsidP="00965EE9">
      <w:pPr>
        <w:pStyle w:val="NormalHanging12a"/>
      </w:pPr>
      <w:r w:rsidRPr="008C409A">
        <w:lastRenderedPageBreak/>
        <w:t>–</w:t>
      </w:r>
      <w:r w:rsidRPr="008C409A">
        <w:tab/>
        <w:t>έχοντας υπόψη τη σύσταση απόφασης της Επιτροπής Διεθνούς Εμπορίου,</w:t>
      </w:r>
    </w:p>
    <w:p w:rsidR="009D04C1" w:rsidRPr="008C409A" w:rsidRDefault="009D04C1" w:rsidP="009D04C1">
      <w:pPr>
        <w:pStyle w:val="NormalHanging12a"/>
        <w:widowControl/>
      </w:pPr>
      <w:r w:rsidRPr="008C409A">
        <w:t>–</w:t>
      </w:r>
      <w:r w:rsidRPr="008C409A">
        <w:tab/>
        <w:t>έχοντας υπόψη ότι δεν διατυπώθηκαν αντιρρήσεις εντός της προθεσμίας που ορίζεται στο άρθρο 11</w:t>
      </w:r>
      <w:r w:rsidR="005118FB" w:rsidRPr="008C409A">
        <w:t>4</w:t>
      </w:r>
      <w:r w:rsidRPr="008C409A">
        <w:t xml:space="preserve"> παράγραφος 6 τρίτη και τέταρτη περίπτωση του Κανονισμού του, η οποία έληξε στις </w:t>
      </w:r>
      <w:r w:rsidR="005118FB" w:rsidRPr="008C409A">
        <w:t>8</w:t>
      </w:r>
      <w:r w:rsidRPr="008C409A">
        <w:t xml:space="preserve"> Ιουλίου 2025,</w:t>
      </w:r>
    </w:p>
    <w:p w:rsidR="00965EE9" w:rsidRPr="008C409A" w:rsidRDefault="00965EE9" w:rsidP="00965EE9">
      <w:pPr>
        <w:pStyle w:val="NormalHanging12a"/>
      </w:pPr>
      <w:r w:rsidRPr="008C409A">
        <w:t>Α.</w:t>
      </w:r>
      <w:r w:rsidRPr="008C409A">
        <w:tab/>
        <w:t>λαμβάνοντας υπόψη ότι με τον κατ’ εξουσιοδότηση κανονισμό (ΕΕ) 2025/530 της Επιτροπής συμπεριλαμβάνεται η Δημοκρατία της Γκάνας και το οικείο τμήμα ανάπτυξης της βιομηχανίας ξυλείας στον κατάλογο του παραρτήματος I του κανονισμού (ΕΚ) αριθ. 2173/2005, καθώς και στον κατάλογο των προϊόντων που καλύπτονται από το σύστημα αδειών όσον αφορά την επιβολή της δασικής νομοθεσίας, τη διακυβέρνηση και το εμπόριο (FLEGT) στο παράρτημα III του εν λόγω κανονισμού· λαμβάνοντας υπόψη ότι το εμπόριο ξυλείας μεταξύ της Ένωσης και της Γκάνας ρυθμίζεται από τη συμφωνία εθελοντικής εταιρικής σχέσης μεταξύ της Ευρωπαϊκής Κοινότητας και της Δημοκρατίας της Γκάνας όσον αφορά την επιβολή της δασικής νομοθεσίας, τη διακυβέρνηση και το εμπόριο προϊόντων ξυλείας στην Κοινότητα (</w:t>
      </w:r>
      <w:r w:rsidR="008760C8" w:rsidRPr="008C409A">
        <w:t>η </w:t>
      </w:r>
      <w:r w:rsidR="009D04C1" w:rsidRPr="008C409A">
        <w:t>«</w:t>
      </w:r>
      <w:r w:rsidRPr="008C409A">
        <w:t>συμφωνία</w:t>
      </w:r>
      <w:r w:rsidR="009D04C1" w:rsidRPr="008C409A">
        <w:t>»</w:t>
      </w:r>
      <w:r w:rsidRPr="008C409A">
        <w:t>)</w:t>
      </w:r>
      <w:r w:rsidRPr="008C409A">
        <w:rPr>
          <w:vertAlign w:val="superscript"/>
        </w:rPr>
        <w:footnoteReference w:id="3"/>
      </w:r>
      <w:r w:rsidRPr="008C409A">
        <w:t>· λαμβάνοντας υπόψη ότι ο κατ’ εξουσιοδότηση κανονισμός (ΕΕ) 2025/530 πρέπει να εφαρμοστεί από τις 8 Ιουλίου 2025·</w:t>
      </w:r>
    </w:p>
    <w:p w:rsidR="00965EE9" w:rsidRPr="008C409A" w:rsidRDefault="00965EE9" w:rsidP="00965EE9">
      <w:pPr>
        <w:pStyle w:val="NormalHanging12a"/>
      </w:pPr>
      <w:r w:rsidRPr="008C409A">
        <w:t>Β.</w:t>
      </w:r>
      <w:r w:rsidRPr="008C409A">
        <w:tab/>
        <w:t>λαμβάνοντας υπόψη ότι οι προετοιμασίες για την έκδοση αδειών FLEGT διαρκούν περισσότερο από ό,τι αναμενόταν και ότι η Γκάνα θα αρχίσει την έκδοση των εν λόγω αδειών το νωρίτερο στις 30 Ιουνίου 2025· λαμβάνοντας υπόψη ότι οι αποστολές από την Γκάνα χρειάζονται δύο έως οκτώ εβδομάδες για να φθάσουν στην Ένωση, γεγονός που ενέχει τον κίνδυνο οι αποστολές που εξέρχονται από την Γκάνα πριν από τις 30</w:t>
      </w:r>
      <w:r w:rsidR="009D04C1" w:rsidRPr="008C409A">
        <w:t> </w:t>
      </w:r>
      <w:r w:rsidRPr="008C409A">
        <w:t>Ιουνίου 2025 αλλά φθάνουν στην Ένωση μετά τις 8 Ιουλίου 2025 να μην συνοδεύονται από άδεια FLEGT και, συνεπώς, να μην μπορούν να εισέλθουν στην Ένωση·</w:t>
      </w:r>
    </w:p>
    <w:p w:rsidR="00965EE9" w:rsidRPr="008C409A" w:rsidRDefault="00965EE9" w:rsidP="00965EE9">
      <w:pPr>
        <w:pStyle w:val="NormalHanging12a"/>
      </w:pPr>
      <w:r w:rsidRPr="008C409A">
        <w:t>Γ.</w:t>
      </w:r>
      <w:r w:rsidRPr="008C409A">
        <w:tab/>
        <w:t>λαμβάνοντας υπόψη ότι υπάρχει σημαντικός κίνδυνος οι αποστολές ξυλείας που φθάνουν στην Ένωση από τις 8 Ιουλίου 2025 να μην καλύπτονται από άδεια FLEGT, δεδομένου ότι ενδέχεται να έχουν αποσταλεί πριν από την έναρξη της έκδοσης αδειών FLEGT από την Γκάνα· λαμβάνοντας υπόψη ότι η κατάσταση αυτή θα μπορούσε να προκαλέσει διατάραξη του εμπορίου, να υπονομεύσει την αξιοπιστία της συμφωνίας ως μέσου διευκόλυνσης του εμπορίου και να έχει αρνητικό αντίκτυπο στους οικονομικούς φορείς τόσο στη Γκάνα όσο και στην Ένωση·</w:t>
      </w:r>
    </w:p>
    <w:p w:rsidR="00965EE9" w:rsidRPr="008C409A" w:rsidRDefault="00965EE9" w:rsidP="00965EE9">
      <w:pPr>
        <w:pStyle w:val="NormalHanging12a"/>
      </w:pPr>
      <w:r w:rsidRPr="008C409A">
        <w:t>Δ.</w:t>
      </w:r>
      <w:r w:rsidRPr="008C409A">
        <w:tab/>
        <w:t>λαμβάνοντας υπόψη ότι θα πρέπει να προσαρμοστεί η ημερομηνία από την οποία εφαρμόζεται ο κατ’ εξουσιοδότηση κανονισμός (ΕΕ) 2025/530 ώστε να υπάρχει επαρκής χρόνος προκειμένου οι αποστολές που φεύγουν από την Γκάνα πριν από τις 30</w:t>
      </w:r>
      <w:r w:rsidR="009D04C1" w:rsidRPr="008C409A">
        <w:t> </w:t>
      </w:r>
      <w:r w:rsidRPr="008C409A">
        <w:t>Ιουνίου 2025 να φθάνουν στην Ένωση χωρίς να υπέχουν την υποχρέωση κάλυψης από άδεια FLEGT·</w:t>
      </w:r>
    </w:p>
    <w:p w:rsidR="00965EE9" w:rsidRPr="008C409A" w:rsidRDefault="00965EE9" w:rsidP="00965EE9">
      <w:pPr>
        <w:pStyle w:val="NormalHanging12a"/>
      </w:pPr>
      <w:r w:rsidRPr="008C409A">
        <w:t>Ε.</w:t>
      </w:r>
      <w:r w:rsidRPr="008C409A">
        <w:tab/>
        <w:t>λαμβάνοντας υπόψη ότι ο κατ’ εξουσιοδότηση κανονισμός (ΕΕ) 2025/530 θα πρέπει να τροποποιηθεί αναλόγως·</w:t>
      </w:r>
    </w:p>
    <w:p w:rsidR="00965EE9" w:rsidRPr="008C409A" w:rsidRDefault="00965EE9" w:rsidP="00965EE9">
      <w:pPr>
        <w:pStyle w:val="NormalHanging12a"/>
      </w:pPr>
      <w:r w:rsidRPr="008C409A">
        <w:t>1.</w:t>
      </w:r>
      <w:r w:rsidRPr="008C409A">
        <w:tab/>
        <w:t>δηλώνει ότι δεν διατυπώνει αντίρρηση στον κατ’ εξουσιοδότηση κανονισμό·</w:t>
      </w:r>
    </w:p>
    <w:p w:rsidR="005A48C8" w:rsidRPr="008C409A" w:rsidRDefault="00965EE9" w:rsidP="005A48C8">
      <w:pPr>
        <w:pStyle w:val="NormalHanging12a"/>
      </w:pPr>
      <w:r w:rsidRPr="008C409A">
        <w:lastRenderedPageBreak/>
        <w:t>2.</w:t>
      </w:r>
      <w:r w:rsidRPr="008C409A">
        <w:tab/>
        <w:t xml:space="preserve">αναθέτει στην Πρόεδρό του να διαβιβάσει την παρούσα απόφαση στο </w:t>
      </w:r>
      <w:r w:rsidR="005A48C8" w:rsidRPr="008C409A">
        <w:t>Συμβούλιο και στην Επιτροπή.</w:t>
      </w:r>
    </w:p>
    <w:p w:rsidR="00E365E1" w:rsidRPr="008C409A" w:rsidRDefault="00E365E1" w:rsidP="00ED3C60"/>
    <w:sectPr w:rsidR="00E365E1" w:rsidRPr="008C409A" w:rsidSect="005A48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C60" w:rsidRPr="005A48C8" w:rsidRDefault="00ED3C60">
      <w:r w:rsidRPr="005A48C8">
        <w:separator/>
      </w:r>
    </w:p>
  </w:endnote>
  <w:endnote w:type="continuationSeparator" w:id="0">
    <w:p w:rsidR="00ED3C60" w:rsidRPr="005A48C8" w:rsidRDefault="00ED3C60">
      <w:r w:rsidRPr="005A48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8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8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8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C60" w:rsidRPr="005A48C8" w:rsidRDefault="00ED3C60">
      <w:r w:rsidRPr="005A48C8">
        <w:separator/>
      </w:r>
    </w:p>
  </w:footnote>
  <w:footnote w:type="continuationSeparator" w:id="0">
    <w:p w:rsidR="00ED3C60" w:rsidRPr="005A48C8" w:rsidRDefault="00ED3C60">
      <w:r w:rsidRPr="005A48C8">
        <w:continuationSeparator/>
      </w:r>
    </w:p>
  </w:footnote>
  <w:footnote w:id="1">
    <w:p w:rsidR="00965EE9" w:rsidRPr="005A48C8" w:rsidRDefault="00965EE9" w:rsidP="009D04C1">
      <w:pPr>
        <w:tabs>
          <w:tab w:val="left" w:pos="567"/>
        </w:tabs>
      </w:pPr>
      <w:r w:rsidRPr="005A48C8">
        <w:rPr>
          <w:rStyle w:val="FootnoteReference"/>
        </w:rPr>
        <w:footnoteRef/>
      </w:r>
      <w:r w:rsidR="005A48C8" w:rsidRPr="005A48C8">
        <w:t xml:space="preserve"> </w:t>
      </w:r>
      <w:r w:rsidR="005A48C8" w:rsidRPr="005A48C8">
        <w:tab/>
      </w:r>
      <w:r w:rsidRPr="005A48C8">
        <w:t>ΕΕ L 347 της 30.12.2005, σ. 1,</w:t>
      </w:r>
      <w:r w:rsidR="009D04C1">
        <w:t xml:space="preserve"> </w:t>
      </w:r>
      <w:r w:rsidR="009D04C1" w:rsidRPr="009D04C1">
        <w:rPr>
          <w:lang w:eastAsia="fr-FR"/>
        </w:rPr>
        <w:t xml:space="preserve">ELI: </w:t>
      </w:r>
      <w:hyperlink r:id="rId1" w:history="1">
        <w:r w:rsidR="009D04C1" w:rsidRPr="009D04C1">
          <w:rPr>
            <w:rStyle w:val="Hyperlink"/>
            <w:lang w:eastAsia="fr-FR"/>
          </w:rPr>
          <w:t>http://data.europa.eu/eli/reg/2005/2173/oj</w:t>
        </w:r>
      </w:hyperlink>
      <w:r w:rsidRPr="005A48C8">
        <w:t>.</w:t>
      </w:r>
    </w:p>
  </w:footnote>
  <w:footnote w:id="2">
    <w:p w:rsidR="00965EE9" w:rsidRPr="005A48C8" w:rsidRDefault="00965EE9" w:rsidP="009D04C1">
      <w:pPr>
        <w:pStyle w:val="FootnoteText"/>
        <w:tabs>
          <w:tab w:val="left" w:pos="567"/>
        </w:tabs>
        <w:ind w:left="567" w:hanging="567"/>
        <w:rPr>
          <w:sz w:val="24"/>
          <w:lang w:val="el-GR"/>
        </w:rPr>
      </w:pPr>
      <w:r w:rsidRPr="005A48C8">
        <w:rPr>
          <w:rStyle w:val="FootnoteReference"/>
          <w:sz w:val="24"/>
          <w:lang w:val="el-GR"/>
        </w:rPr>
        <w:footnoteRef/>
      </w:r>
      <w:r w:rsidR="005A48C8" w:rsidRPr="005A48C8">
        <w:rPr>
          <w:sz w:val="24"/>
          <w:lang w:val="el-GR"/>
        </w:rPr>
        <w:t xml:space="preserve"> </w:t>
      </w:r>
      <w:r w:rsidR="005A48C8" w:rsidRPr="005A48C8">
        <w:rPr>
          <w:sz w:val="24"/>
          <w:lang w:val="el-GR"/>
        </w:rPr>
        <w:tab/>
      </w:r>
      <w:r w:rsidRPr="005A48C8">
        <w:rPr>
          <w:sz w:val="24"/>
          <w:lang w:val="el-GR"/>
        </w:rPr>
        <w:t>Κατ’ εξουσιοδότηση κανονισμός (ΕΕ) 2025/530 της Επιτροπής, της 30ής Οκτωβρίου 2024, για την τροποποίηση των παραρτημάτων I και III του κανονισμού (ΕΚ) αριθ. </w:t>
      </w:r>
      <w:r w:rsidRPr="005A48C8">
        <w:rPr>
          <w:sz w:val="24"/>
          <w:lang w:val="el-GR"/>
        </w:rPr>
        <w:t xml:space="preserve">2173/2005 του Συμβουλίου σύμφωνα με τη συμφωνία εθελοντικής εταιρικής σχέσης με τη Δημοκρατία της Γκάνας σχετικά με σύστημα αδειών για την επιβολή της δασικής νομοθεσίας, τη διακυβέρνηση και το εμπόριο (FLEGT) όσον αφορά τις εισαγωγές ξυλείας στην Ευρωπαϊκή Ένωση (ΕΕ L, 2025/530, 20.3.2025, ELI: </w:t>
      </w:r>
      <w:hyperlink r:id="rId2" w:history="1">
        <w:r w:rsidR="009D04C1" w:rsidRPr="009D04C1">
          <w:rPr>
            <w:rStyle w:val="Hyperlink"/>
            <w:sz w:val="24"/>
            <w:lang w:val="el-GR"/>
          </w:rPr>
          <w:t>http://data.europa.eu/eli/reg_del/2025/530/oj</w:t>
        </w:r>
      </w:hyperlink>
      <w:r w:rsidRPr="005A48C8">
        <w:rPr>
          <w:sz w:val="24"/>
          <w:lang w:val="el-GR"/>
        </w:rPr>
        <w:t xml:space="preserve">). </w:t>
      </w:r>
    </w:p>
  </w:footnote>
  <w:footnote w:id="3">
    <w:p w:rsidR="00965EE9" w:rsidRPr="005A48C8" w:rsidRDefault="00965EE9" w:rsidP="009D04C1">
      <w:pPr>
        <w:pStyle w:val="FootnoteText"/>
        <w:tabs>
          <w:tab w:val="left" w:pos="567"/>
        </w:tabs>
        <w:ind w:left="567" w:hanging="567"/>
        <w:rPr>
          <w:sz w:val="24"/>
          <w:lang w:val="el-GR"/>
        </w:rPr>
      </w:pPr>
      <w:r w:rsidRPr="005A48C8">
        <w:rPr>
          <w:rStyle w:val="FootnoteReference"/>
          <w:sz w:val="24"/>
          <w:lang w:val="el-GR"/>
        </w:rPr>
        <w:footnoteRef/>
      </w:r>
      <w:r w:rsidR="005A48C8" w:rsidRPr="005A48C8">
        <w:rPr>
          <w:sz w:val="24"/>
          <w:lang w:val="el-GR"/>
        </w:rPr>
        <w:t xml:space="preserve"> </w:t>
      </w:r>
      <w:r w:rsidR="005A48C8" w:rsidRPr="005A48C8">
        <w:rPr>
          <w:sz w:val="24"/>
          <w:lang w:val="el-GR"/>
        </w:rPr>
        <w:tab/>
      </w:r>
      <w:r w:rsidRPr="005A48C8">
        <w:rPr>
          <w:sz w:val="24"/>
          <w:lang w:val="el-GR"/>
        </w:rPr>
        <w:t>Εθελοντική συμφωνία εταιρικής σχέσης μεταξύ της Ευρωπαϊκής Κοινότητας και της Δημοκρατίας της Γκάνας σχετικά με την εφαρμογή της δασικής νομοθεσίας, τη διακυβέρνηση και το εμπόριο προϊόντων ξυλείας στην Κοινότητα (ΕΕ L 70 της 19.3.2010, σ.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8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8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8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2/2025"/>
    <w:docVar w:name="dvlangue" w:val="EL"/>
    <w:docVar w:name="dvnumam" w:val="0"/>
    <w:docVar w:name="dvpe" w:val="774.519"/>
    <w:docVar w:name="dvtitre" w:val="Ψήφισμα του Ευρωπαϊκού Κοινοβουλίου περί μη διατύπωσης αντίρρησης στον κατ’ εξουσιοδότηση κανονισμό (ΕΕ) 2025/530 της Επιτροπής, της 12ης Ιουνίου 2025, όσον αφορά την ημερομηνία εφαρμογής του(C(2025)03819 – 2025/2766(DEA))"/>
  </w:docVars>
  <w:rsids>
    <w:rsidRoot w:val="00ED3C6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8FB"/>
    <w:rsid w:val="00514517"/>
    <w:rsid w:val="00545827"/>
    <w:rsid w:val="00560270"/>
    <w:rsid w:val="005A48C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0C8"/>
    <w:rsid w:val="00881A7B"/>
    <w:rsid w:val="008840E5"/>
    <w:rsid w:val="00887B3E"/>
    <w:rsid w:val="008C2AC6"/>
    <w:rsid w:val="008C409A"/>
    <w:rsid w:val="00930C23"/>
    <w:rsid w:val="0093193B"/>
    <w:rsid w:val="009509D8"/>
    <w:rsid w:val="00950B64"/>
    <w:rsid w:val="00965EE9"/>
    <w:rsid w:val="00981893"/>
    <w:rsid w:val="009D04C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3C60"/>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21208"/>
  <w15:chartTrackingRefBased/>
  <w15:docId w15:val="{CF9DD804-A7EC-4ACC-9534-FBEF9EFEC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65EE9"/>
    <w:pPr>
      <w:spacing w:before="480" w:after="240"/>
    </w:pPr>
  </w:style>
  <w:style w:type="paragraph" w:customStyle="1" w:styleId="NormalBold">
    <w:name w:val="NormalBold"/>
    <w:basedOn w:val="Normal"/>
    <w:rsid w:val="00965EE9"/>
    <w:rPr>
      <w:b/>
    </w:rPr>
  </w:style>
  <w:style w:type="paragraph" w:customStyle="1" w:styleId="NormalHanging12a">
    <w:name w:val="NormalHanging12a"/>
    <w:basedOn w:val="Normal"/>
    <w:rsid w:val="00965EE9"/>
    <w:pPr>
      <w:spacing w:after="240"/>
      <w:ind w:left="567" w:hanging="567"/>
    </w:pPr>
  </w:style>
  <w:style w:type="character" w:styleId="Hyperlink">
    <w:name w:val="Hyperlink"/>
    <w:basedOn w:val="DefaultParagraphFont"/>
    <w:rsid w:val="009D04C1"/>
    <w:rPr>
      <w:color w:val="0563C1" w:themeColor="hyperlink"/>
      <w:u w:val="single"/>
    </w:rPr>
  </w:style>
  <w:style w:type="character" w:styleId="FollowedHyperlink">
    <w:name w:val="FollowedHyperlink"/>
    <w:basedOn w:val="DefaultParagraphFont"/>
    <w:rsid w:val="009D04C1"/>
    <w:rPr>
      <w:color w:val="954F72" w:themeColor="followedHyperlink"/>
      <w:u w:val="single"/>
    </w:rPr>
  </w:style>
  <w:style w:type="paragraph" w:styleId="BalloonText">
    <w:name w:val="Balloon Text"/>
    <w:basedOn w:val="Normal"/>
    <w:link w:val="BalloonTextChar"/>
    <w:rsid w:val="009D04C1"/>
    <w:rPr>
      <w:rFonts w:ascii="Segoe UI" w:hAnsi="Segoe UI" w:cs="Segoe UI"/>
      <w:sz w:val="18"/>
      <w:szCs w:val="18"/>
    </w:rPr>
  </w:style>
  <w:style w:type="character" w:customStyle="1" w:styleId="BalloonTextChar">
    <w:name w:val="Balloon Text Char"/>
    <w:basedOn w:val="DefaultParagraphFont"/>
    <w:link w:val="BalloonText"/>
    <w:rsid w:val="009D04C1"/>
    <w:rPr>
      <w:rFonts w:ascii="Segoe UI" w:hAnsi="Segoe UI" w:cs="Segoe UI"/>
      <w:sz w:val="18"/>
      <w:szCs w:val="18"/>
      <w:lang w:val="el-GR"/>
    </w:rPr>
  </w:style>
  <w:style w:type="character" w:styleId="CommentReference">
    <w:name w:val="annotation reference"/>
    <w:basedOn w:val="DefaultParagraphFont"/>
    <w:rsid w:val="009D04C1"/>
    <w:rPr>
      <w:sz w:val="16"/>
      <w:szCs w:val="16"/>
    </w:rPr>
  </w:style>
  <w:style w:type="paragraph" w:styleId="CommentText">
    <w:name w:val="annotation text"/>
    <w:basedOn w:val="Normal"/>
    <w:link w:val="CommentTextChar"/>
    <w:rsid w:val="009D04C1"/>
    <w:rPr>
      <w:sz w:val="20"/>
    </w:rPr>
  </w:style>
  <w:style w:type="character" w:customStyle="1" w:styleId="CommentTextChar">
    <w:name w:val="Comment Text Char"/>
    <w:basedOn w:val="DefaultParagraphFont"/>
    <w:link w:val="CommentText"/>
    <w:rsid w:val="009D04C1"/>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259496">
      <w:bodyDiv w:val="1"/>
      <w:marLeft w:val="0"/>
      <w:marRight w:val="0"/>
      <w:marTop w:val="0"/>
      <w:marBottom w:val="0"/>
      <w:divBdr>
        <w:top w:val="none" w:sz="0" w:space="0" w:color="auto"/>
        <w:left w:val="none" w:sz="0" w:space="0" w:color="auto"/>
        <w:bottom w:val="none" w:sz="0" w:space="0" w:color="auto"/>
        <w:right w:val="none" w:sz="0" w:space="0" w:color="auto"/>
      </w:divBdr>
      <w:divsChild>
        <w:div w:id="1793599293">
          <w:marLeft w:val="0"/>
          <w:marRight w:val="0"/>
          <w:marTop w:val="0"/>
          <w:marBottom w:val="0"/>
          <w:divBdr>
            <w:top w:val="none" w:sz="0" w:space="0" w:color="auto"/>
            <w:left w:val="none" w:sz="0" w:space="0" w:color="auto"/>
            <w:bottom w:val="none" w:sz="0" w:space="0" w:color="auto"/>
            <w:right w:val="none" w:sz="0" w:space="0" w:color="auto"/>
          </w:divBdr>
          <w:divsChild>
            <w:div w:id="467746052">
              <w:marLeft w:val="0"/>
              <w:marRight w:val="0"/>
              <w:marTop w:val="0"/>
              <w:marBottom w:val="0"/>
              <w:divBdr>
                <w:top w:val="none" w:sz="0" w:space="0" w:color="auto"/>
                <w:left w:val="none" w:sz="0" w:space="0" w:color="auto"/>
                <w:bottom w:val="none" w:sz="0" w:space="0" w:color="auto"/>
                <w:right w:val="none" w:sz="0" w:space="0" w:color="auto"/>
              </w:divBdr>
              <w:divsChild>
                <w:div w:id="1120418347">
                  <w:marLeft w:val="0"/>
                  <w:marRight w:val="0"/>
                  <w:marTop w:val="0"/>
                  <w:marBottom w:val="0"/>
                  <w:divBdr>
                    <w:top w:val="none" w:sz="0" w:space="0" w:color="auto"/>
                    <w:left w:val="none" w:sz="0" w:space="0" w:color="auto"/>
                    <w:bottom w:val="none" w:sz="0" w:space="0" w:color="auto"/>
                    <w:right w:val="none" w:sz="0" w:space="0" w:color="auto"/>
                  </w:divBdr>
                  <w:divsChild>
                    <w:div w:id="95598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5/530/oj" TargetMode="External"/><Relationship Id="rId1" Type="http://schemas.openxmlformats.org/officeDocument/2006/relationships/hyperlink" Target="http://data.europa.eu/eli/reg/2005/2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D36FC-C1B1-4E1F-A701-5CC0BF698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2025-07-09T11:08:00Z</dcterms:created>
  <dcterms:modified xsi:type="dcterms:W3CDTF">2025-07-09T11:08:00Z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B10-0302/2025</vt:lpwstr>
  </property>
  <property fmtid="{D5CDD505-2E9C-101B-9397-08002B2CF9AE}" pid="4" name="&lt;Type&gt;">
    <vt:lpwstr>RR</vt:lpwstr>
  </property>
</Properties>
</file>