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24A4" w14:paraId="3681FF0E" w14:textId="77777777" w:rsidTr="0010095E">
        <w:trPr>
          <w:trHeight w:hRule="exact" w:val="1418"/>
        </w:trPr>
        <w:tc>
          <w:tcPr>
            <w:tcW w:w="6804" w:type="dxa"/>
            <w:shd w:val="clear" w:color="auto" w:fill="auto"/>
            <w:vAlign w:val="center"/>
          </w:tcPr>
          <w:p w14:paraId="6452AF77" w14:textId="77777777" w:rsidR="00751A4A" w:rsidRPr="008824A4" w:rsidRDefault="00FB6DFC" w:rsidP="0010095E">
            <w:pPr>
              <w:pStyle w:val="EPName"/>
            </w:pPr>
            <w:r w:rsidRPr="008824A4">
              <w:t>Parlamento europeo</w:t>
            </w:r>
          </w:p>
          <w:p w14:paraId="53226031" w14:textId="77777777" w:rsidR="00751A4A" w:rsidRPr="008824A4" w:rsidRDefault="005F1B17" w:rsidP="005F1B17">
            <w:pPr>
              <w:pStyle w:val="EPTerm"/>
              <w:rPr>
                <w:rStyle w:val="HideTWBExt"/>
                <w:noProof w:val="0"/>
                <w:vanish w:val="0"/>
                <w:color w:val="auto"/>
              </w:rPr>
            </w:pPr>
            <w:r w:rsidRPr="008824A4">
              <w:t>2024</w:t>
            </w:r>
            <w:r w:rsidR="00817416" w:rsidRPr="008824A4">
              <w:t>-202</w:t>
            </w:r>
            <w:r w:rsidRPr="008824A4">
              <w:t>9</w:t>
            </w:r>
          </w:p>
        </w:tc>
        <w:tc>
          <w:tcPr>
            <w:tcW w:w="2268" w:type="dxa"/>
            <w:shd w:val="clear" w:color="auto" w:fill="auto"/>
          </w:tcPr>
          <w:p w14:paraId="68D10A38" w14:textId="77777777" w:rsidR="00751A4A" w:rsidRPr="008824A4" w:rsidRDefault="00187494" w:rsidP="0010095E">
            <w:pPr>
              <w:pStyle w:val="EPLogo"/>
            </w:pPr>
            <w:r w:rsidRPr="008824A4">
              <w:rPr>
                <w:noProof/>
                <w:lang w:val="en-GB"/>
              </w:rPr>
              <w:drawing>
                <wp:inline distT="0" distB="0" distL="0" distR="0" wp14:anchorId="303CFA5E" wp14:editId="2E5DC5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228777" w14:textId="77777777" w:rsidR="00D058B8" w:rsidRPr="008824A4" w:rsidRDefault="00D058B8" w:rsidP="004C5D52">
      <w:pPr>
        <w:pStyle w:val="LineTop"/>
      </w:pPr>
    </w:p>
    <w:p w14:paraId="2BB3AFBB" w14:textId="77777777" w:rsidR="00680577" w:rsidRPr="008824A4" w:rsidRDefault="00FB6DFC" w:rsidP="00680577">
      <w:pPr>
        <w:pStyle w:val="EPBodyTA1"/>
      </w:pPr>
      <w:r w:rsidRPr="008824A4">
        <w:t>TESTI APPROVATI</w:t>
      </w:r>
    </w:p>
    <w:p w14:paraId="2769680F" w14:textId="77777777" w:rsidR="00D058B8" w:rsidRPr="008824A4" w:rsidRDefault="00D058B8" w:rsidP="00D058B8">
      <w:pPr>
        <w:pStyle w:val="LineBottom"/>
      </w:pPr>
    </w:p>
    <w:p w14:paraId="11C9DA19" w14:textId="2D4F8F6A" w:rsidR="00FB6DFC" w:rsidRPr="008824A4" w:rsidRDefault="00FB6DFC" w:rsidP="00FB6DFC">
      <w:pPr>
        <w:pStyle w:val="ATHeading1"/>
      </w:pPr>
      <w:bookmarkStart w:id="0" w:name="TANumber"/>
      <w:r w:rsidRPr="008824A4">
        <w:t>P10_TA(2025)0</w:t>
      </w:r>
      <w:bookmarkEnd w:id="0"/>
      <w:r w:rsidR="00E848C2">
        <w:t>148</w:t>
      </w:r>
      <w:bookmarkStart w:id="1" w:name="_GoBack"/>
      <w:bookmarkEnd w:id="1"/>
    </w:p>
    <w:p w14:paraId="07C0B1F9" w14:textId="77777777" w:rsidR="00FB6DFC" w:rsidRPr="008824A4" w:rsidRDefault="00FB6DFC" w:rsidP="00FB6DFC">
      <w:pPr>
        <w:pStyle w:val="ATHeading2"/>
      </w:pPr>
      <w:bookmarkStart w:id="2" w:name="title"/>
      <w:r w:rsidRPr="008824A4">
        <w:t>Decisione di non sollevare obiezioni a un atto delegato:</w:t>
      </w:r>
      <w:bookmarkEnd w:id="2"/>
      <w:r w:rsidR="00C75686" w:rsidRPr="008824A4">
        <w:t xml:space="preserve"> modifica della data di applicazione del regolamento delegato (UE) 2025/530</w:t>
      </w:r>
    </w:p>
    <w:p w14:paraId="06785C7A" w14:textId="77777777" w:rsidR="00FB6DFC" w:rsidRPr="008824A4" w:rsidRDefault="00FB6DFC" w:rsidP="00FB6DFC">
      <w:pPr>
        <w:rPr>
          <w:i/>
          <w:vanish/>
        </w:rPr>
      </w:pPr>
      <w:r w:rsidRPr="008824A4">
        <w:rPr>
          <w:i/>
        </w:rPr>
        <w:fldChar w:fldCharType="begin"/>
      </w:r>
      <w:r w:rsidRPr="008824A4">
        <w:rPr>
          <w:i/>
        </w:rPr>
        <w:instrText xml:space="preserve"> TC"(</w:instrText>
      </w:r>
      <w:bookmarkStart w:id="3" w:name="DocNumber"/>
      <w:r w:rsidRPr="008824A4">
        <w:rPr>
          <w:i/>
        </w:rPr>
        <w:instrText>B10-0302/2025</w:instrText>
      </w:r>
      <w:bookmarkEnd w:id="3"/>
      <w:r w:rsidRPr="008824A4">
        <w:rPr>
          <w:i/>
        </w:rPr>
        <w:instrText xml:space="preserve">)"\l3 \n&gt; \* MERGEFORMAT </w:instrText>
      </w:r>
      <w:r w:rsidRPr="008824A4">
        <w:rPr>
          <w:i/>
        </w:rPr>
        <w:fldChar w:fldCharType="end"/>
      </w:r>
    </w:p>
    <w:p w14:paraId="52805E94" w14:textId="77777777" w:rsidR="00FB6DFC" w:rsidRPr="008824A4" w:rsidRDefault="00FB6DFC" w:rsidP="00FB6DFC">
      <w:pPr>
        <w:rPr>
          <w:vanish/>
        </w:rPr>
      </w:pPr>
      <w:bookmarkStart w:id="4" w:name="PE"/>
      <w:r w:rsidRPr="008824A4">
        <w:rPr>
          <w:vanish/>
        </w:rPr>
        <w:t>PE774.519</w:t>
      </w:r>
      <w:bookmarkEnd w:id="4"/>
    </w:p>
    <w:p w14:paraId="21B93EB1" w14:textId="77894EFD" w:rsidR="00FB6DFC" w:rsidRPr="008824A4" w:rsidRDefault="00FB6DFC" w:rsidP="00C75686">
      <w:pPr>
        <w:pStyle w:val="ATHeading3"/>
      </w:pPr>
      <w:bookmarkStart w:id="5" w:name="Sujet"/>
      <w:r w:rsidRPr="008824A4">
        <w:t>Decisione del Parlamento europeo di non sollevare obiezioni al regolamento delegato della Commissione del 12 giugno 2025 che modifica la data di applicazione del regolamento delegato (UE) 2025/530 della Commissione</w:t>
      </w:r>
      <w:bookmarkEnd w:id="5"/>
      <w:r w:rsidRPr="008824A4">
        <w:t xml:space="preserve"> </w:t>
      </w:r>
      <w:bookmarkStart w:id="6" w:name="References"/>
      <w:r w:rsidRPr="008824A4">
        <w:t>(C(2025)03819 – 2025/2766(DEA))</w:t>
      </w:r>
      <w:bookmarkEnd w:id="6"/>
    </w:p>
    <w:p w14:paraId="5AA6C77E" w14:textId="77777777" w:rsidR="00972434" w:rsidRPr="008824A4" w:rsidRDefault="00972434" w:rsidP="00972434">
      <w:pPr>
        <w:pStyle w:val="EPComma"/>
      </w:pPr>
      <w:bookmarkStart w:id="7" w:name="TextBodyBegin"/>
      <w:bookmarkEnd w:id="7"/>
      <w:r w:rsidRPr="008824A4">
        <w:rPr>
          <w:i/>
        </w:rPr>
        <w:t>Il Parlamento europeo</w:t>
      </w:r>
      <w:r w:rsidRPr="008824A4">
        <w:t>,</w:t>
      </w:r>
    </w:p>
    <w:p w14:paraId="4B4019A5" w14:textId="77777777" w:rsidR="00972434" w:rsidRPr="008824A4" w:rsidRDefault="00972434" w:rsidP="00972434">
      <w:pPr>
        <w:pStyle w:val="NormalHanging12a"/>
      </w:pPr>
      <w:r w:rsidRPr="008824A4">
        <w:t>–</w:t>
      </w:r>
      <w:r w:rsidRPr="008824A4">
        <w:tab/>
        <w:t>visto il regolamento delegato della Commissione (C(2025)03819),</w:t>
      </w:r>
    </w:p>
    <w:p w14:paraId="7524A5DB" w14:textId="77777777" w:rsidR="00972434" w:rsidRPr="008824A4" w:rsidRDefault="00972434" w:rsidP="00972434">
      <w:pPr>
        <w:pStyle w:val="NormalHanging12a"/>
      </w:pPr>
      <w:r w:rsidRPr="008824A4">
        <w:t>–</w:t>
      </w:r>
      <w:r w:rsidRPr="008824A4">
        <w:tab/>
        <w:t>vista la lettera in data 6 giugno 2025 della Commissione con cui quest'ultima chiede al Parlamento di dichiarare che non solleverà obiezioni al regolamento delegato,</w:t>
      </w:r>
    </w:p>
    <w:p w14:paraId="19FBB760" w14:textId="77777777" w:rsidR="00972434" w:rsidRPr="008824A4" w:rsidRDefault="00972434" w:rsidP="00972434">
      <w:pPr>
        <w:pStyle w:val="NormalHanging12a"/>
      </w:pPr>
      <w:r w:rsidRPr="008824A4">
        <w:t>–</w:t>
      </w:r>
      <w:r w:rsidRPr="008824A4">
        <w:tab/>
        <w:t>vista la lettera in data 25 giugno 2025 della commissione per il commercio internazionale al presidente della Conferenza dei presidenti di commissione,</w:t>
      </w:r>
    </w:p>
    <w:p w14:paraId="68B6983E" w14:textId="77777777" w:rsidR="00972434" w:rsidRPr="008824A4" w:rsidRDefault="00972434" w:rsidP="00972434">
      <w:pPr>
        <w:pStyle w:val="NormalHanging12a"/>
      </w:pPr>
      <w:r w:rsidRPr="008824A4">
        <w:t>–</w:t>
      </w:r>
      <w:r w:rsidRPr="008824A4">
        <w:tab/>
        <w:t>visto l'articolo 290 del trattato sul funzionamento dell'Unione europea,</w:t>
      </w:r>
    </w:p>
    <w:p w14:paraId="3FFB6F78" w14:textId="77777777" w:rsidR="00972434" w:rsidRPr="008824A4" w:rsidRDefault="00972434" w:rsidP="00972434">
      <w:pPr>
        <w:pStyle w:val="NormalHanging12a"/>
      </w:pPr>
      <w:r w:rsidRPr="008824A4">
        <w:t>–</w:t>
      </w:r>
      <w:r w:rsidRPr="008824A4">
        <w:tab/>
        <w:t>visto il regolamento (CE) n. 2173/2005 del Consiglio, del 20 dicembre 2005, relativo all'istituzione di un sistema di licenze FLEGT per le importazioni di legname nella Comunità europea</w:t>
      </w:r>
      <w:r w:rsidRPr="008824A4">
        <w:rPr>
          <w:rStyle w:val="FootnoteReference"/>
        </w:rPr>
        <w:footnoteReference w:id="1"/>
      </w:r>
      <w:r w:rsidRPr="008824A4">
        <w:t>, in particolare l'articolo 10, paragrafi 1 e 3, e l'articolo 11 bis, paragrafo 5,</w:t>
      </w:r>
    </w:p>
    <w:p w14:paraId="2BF02C7B" w14:textId="77777777" w:rsidR="00972434" w:rsidRPr="008824A4" w:rsidRDefault="00972434" w:rsidP="00972434">
      <w:pPr>
        <w:pStyle w:val="NormalHanging12a"/>
      </w:pPr>
      <w:r w:rsidRPr="008824A4">
        <w:t>–</w:t>
      </w:r>
      <w:r w:rsidRPr="008824A4">
        <w:tab/>
        <w:t>visto il regolamento delegato (UE) 2025/530 della Commissione</w:t>
      </w:r>
      <w:r w:rsidRPr="008824A4">
        <w:rPr>
          <w:vertAlign w:val="superscript"/>
        </w:rPr>
        <w:footnoteReference w:id="2"/>
      </w:r>
      <w:r w:rsidRPr="008824A4">
        <w:t>,</w:t>
      </w:r>
    </w:p>
    <w:p w14:paraId="37E73503" w14:textId="77777777" w:rsidR="00972434" w:rsidRPr="008824A4" w:rsidRDefault="00972434" w:rsidP="00972434">
      <w:pPr>
        <w:pStyle w:val="NormalHanging12a"/>
      </w:pPr>
      <w:r w:rsidRPr="008824A4">
        <w:t>–</w:t>
      </w:r>
      <w:r w:rsidRPr="008824A4">
        <w:tab/>
        <w:t>visto l'articolo 114, paragrafo 6, del suo regolamento,</w:t>
      </w:r>
    </w:p>
    <w:p w14:paraId="3BE9951F" w14:textId="77777777" w:rsidR="00972434" w:rsidRPr="008824A4" w:rsidRDefault="00972434" w:rsidP="00972434">
      <w:pPr>
        <w:pStyle w:val="NormalHanging12a"/>
      </w:pPr>
      <w:r w:rsidRPr="008824A4">
        <w:t>–</w:t>
      </w:r>
      <w:r w:rsidRPr="008824A4">
        <w:tab/>
        <w:t>vista la raccomandazione di decisione della commissione per il commercio internazionale,</w:t>
      </w:r>
    </w:p>
    <w:p w14:paraId="0B0AA8B9" w14:textId="689A4ACA" w:rsidR="00C75686" w:rsidRPr="008824A4" w:rsidRDefault="00C75686" w:rsidP="00972434">
      <w:pPr>
        <w:pStyle w:val="NormalHanging12a"/>
      </w:pPr>
      <w:r w:rsidRPr="008824A4">
        <w:lastRenderedPageBreak/>
        <w:t>–</w:t>
      </w:r>
      <w:r w:rsidRPr="008824A4">
        <w:tab/>
        <w:t>visto che non è stata sollevata alcuna obiezione nel termine previsto all'articolo 11</w:t>
      </w:r>
      <w:r w:rsidR="003732D8" w:rsidRPr="008824A4">
        <w:t>4</w:t>
      </w:r>
      <w:r w:rsidRPr="008824A4">
        <w:t>, paragrafo 6, terzo e quarto trattino, del suo regolamento, che arrivava a scadenza l’8 luglio 2025,</w:t>
      </w:r>
    </w:p>
    <w:p w14:paraId="32F7683F" w14:textId="77777777" w:rsidR="00972434" w:rsidRPr="008824A4" w:rsidRDefault="00972434" w:rsidP="00972434">
      <w:pPr>
        <w:pStyle w:val="NormalHanging12a"/>
      </w:pPr>
      <w:r w:rsidRPr="008824A4">
        <w:t>A.</w:t>
      </w:r>
      <w:r w:rsidRPr="008824A4">
        <w:tab/>
        <w:t>considerando che il regolamento delegato (UE) 2025/530 della Commissione inserisce la Repubblica del Ghana e la sua Divisione per lo Sviluppo dell'industria del legno nell'elenco di cui all'allegato I del regolamento (CE) n. 2173/2005 e nell'elenco dei prodotti ai quali si applica il sistema di licenze per l'applicazione delle normative, il governo e il commercio nel settore forestale ("FLEGT") di cui all'allegato III dello stesso; che il commercio di legname tra l'Unione e il Ghana è disciplinato dall'accordo volontario di partenariato tra la Comunità europea e la Repubblica del Ghana sull'applicazione delle normative nel settore forestale, sulla governance e sul commercio del legname e dei suoi derivati importati nella Comunità ("accordo")</w:t>
      </w:r>
      <w:r w:rsidRPr="008824A4">
        <w:rPr>
          <w:vertAlign w:val="superscript"/>
        </w:rPr>
        <w:footnoteReference w:id="3"/>
      </w:r>
      <w:r w:rsidRPr="008824A4">
        <w:t xml:space="preserve">; considerando che </w:t>
      </w:r>
      <w:r w:rsidR="00C75686" w:rsidRPr="008824A4">
        <w:t xml:space="preserve">il </w:t>
      </w:r>
      <w:r w:rsidRPr="008824A4">
        <w:t>regolamento delegato (UE) 2025/530 si applica a decorrere dall'8 luglio 2025;</w:t>
      </w:r>
    </w:p>
    <w:p w14:paraId="586704B7" w14:textId="77777777" w:rsidR="00972434" w:rsidRPr="008824A4" w:rsidRDefault="00972434" w:rsidP="00972434">
      <w:pPr>
        <w:pStyle w:val="NormalHanging12a"/>
      </w:pPr>
      <w:r w:rsidRPr="008824A4">
        <w:t>B.</w:t>
      </w:r>
      <w:r w:rsidRPr="008824A4">
        <w:tab/>
        <w:t>considerando che i preparativi per il rilascio delle licenze FLEGT stanno richiedendo più tempo del previsto e che il Ghana inizierà a rilasciare le licenze FLEGT non prima del 30 giugno 2025; considerando che occorrono tra le due e le otto settimane affinché i carichi dal Ghana raggiungano l'Unione, il che comporta il rischio che i carichi che partono dal Ghana prima del 30 giugno 2025 ma arrivano nell'Unione dopo l'8 luglio 2025 non siano provvisti di una licenza FLEGT e non possano pertanto entrare nell'Unione;</w:t>
      </w:r>
    </w:p>
    <w:p w14:paraId="032CB36E" w14:textId="77777777" w:rsidR="00972434" w:rsidRPr="008824A4" w:rsidRDefault="00972434" w:rsidP="00972434">
      <w:pPr>
        <w:pStyle w:val="NormalHanging12a"/>
      </w:pPr>
      <w:r w:rsidRPr="008824A4">
        <w:t>C.</w:t>
      </w:r>
      <w:r w:rsidRPr="008824A4">
        <w:tab/>
        <w:t>considerando che vi è un rischio significativo che i carichi di legname che arrivano nell'Unione a partire dall'8 luglio 2025 non siano coperti da una licenza FLEGT in quanto potrebbero essere stati spediti prima che il Ghana inizi a rilasciare le licenze FLEGT; che ciò potrebbe generare perturbazioni degli scambi, compromettere la credibilità dell'accordo in quanto strumento di agevolazione degli scambi e avere un impatto negativo sugli operatori economici sia del Ghana che dell'Unione;</w:t>
      </w:r>
    </w:p>
    <w:p w14:paraId="64EC395B" w14:textId="77777777" w:rsidR="00972434" w:rsidRPr="008824A4" w:rsidRDefault="00972434" w:rsidP="00972434">
      <w:pPr>
        <w:pStyle w:val="NormalHanging12a"/>
      </w:pPr>
      <w:r w:rsidRPr="008824A4">
        <w:t>D.</w:t>
      </w:r>
      <w:r w:rsidRPr="008824A4">
        <w:tab/>
        <w:t>considerando che è opportuno modificare la data a decorrere dalla quale si applica il regolamento delegato (UE) 2025/530, al fine di concedere tempo sufficiente affinché i carichi che partono dal Ghana prima del 30 giugno 2025 possano raggiungere l'Unione senza l'obbligo di essere coperti da una licenza FLEGT;</w:t>
      </w:r>
    </w:p>
    <w:p w14:paraId="55615351" w14:textId="77777777" w:rsidR="00972434" w:rsidRPr="008824A4" w:rsidRDefault="00972434" w:rsidP="00972434">
      <w:pPr>
        <w:pStyle w:val="NormalHanging12a"/>
      </w:pPr>
      <w:r w:rsidRPr="008824A4">
        <w:t>E.</w:t>
      </w:r>
      <w:r w:rsidRPr="008824A4">
        <w:tab/>
        <w:t>considerando che è pertanto opportuno modificare di conseguenza il regolamento delegato (UE) 2025/530;</w:t>
      </w:r>
    </w:p>
    <w:p w14:paraId="11C6338E" w14:textId="77777777" w:rsidR="00972434" w:rsidRPr="008824A4" w:rsidRDefault="00972434" w:rsidP="00972434">
      <w:pPr>
        <w:pStyle w:val="NormalHanging12a"/>
      </w:pPr>
      <w:r w:rsidRPr="008824A4">
        <w:t>1.</w:t>
      </w:r>
      <w:r w:rsidRPr="008824A4">
        <w:tab/>
        <w:t>dichiara di non sollevare obiezioni al regolamento delegato;</w:t>
      </w:r>
    </w:p>
    <w:p w14:paraId="7BB47BFD" w14:textId="77777777" w:rsidR="003E35FB" w:rsidRPr="008824A4" w:rsidRDefault="00972434" w:rsidP="003E35FB">
      <w:pPr>
        <w:pStyle w:val="NormalHanging12a"/>
      </w:pPr>
      <w:r w:rsidRPr="008824A4">
        <w:t>2.</w:t>
      </w:r>
      <w:r w:rsidRPr="008824A4">
        <w:tab/>
        <w:t xml:space="preserve">incarica la sua Presidente di trasmettere la presente decisione al Consiglio </w:t>
      </w:r>
      <w:r w:rsidR="003E35FB" w:rsidRPr="008824A4">
        <w:t>e alla Commissione.</w:t>
      </w:r>
    </w:p>
    <w:p w14:paraId="56059BF5" w14:textId="77777777" w:rsidR="00E365E1" w:rsidRPr="008824A4" w:rsidRDefault="00E365E1" w:rsidP="00FB6DFC"/>
    <w:sectPr w:rsidR="00E365E1" w:rsidRPr="008824A4" w:rsidSect="003E35F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6C0DEE" w14:textId="77777777" w:rsidR="00FB6DFC" w:rsidRPr="003E35FB" w:rsidRDefault="00FB6DFC">
      <w:r w:rsidRPr="003E35FB">
        <w:separator/>
      </w:r>
    </w:p>
  </w:endnote>
  <w:endnote w:type="continuationSeparator" w:id="0">
    <w:p w14:paraId="3C5FFADF" w14:textId="77777777" w:rsidR="00FB6DFC" w:rsidRPr="003E35FB" w:rsidRDefault="00FB6DFC">
      <w:r w:rsidRPr="003E35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225E3" w14:textId="77777777" w:rsidR="00064002" w:rsidRPr="003E35F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6F8D5" w14:textId="77777777" w:rsidR="00064002" w:rsidRPr="003E35F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44321" w14:textId="77777777" w:rsidR="00064002" w:rsidRPr="003E35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F8FD9" w14:textId="77777777" w:rsidR="00FB6DFC" w:rsidRPr="003E35FB" w:rsidRDefault="00FB6DFC">
      <w:r w:rsidRPr="003E35FB">
        <w:separator/>
      </w:r>
    </w:p>
  </w:footnote>
  <w:footnote w:type="continuationSeparator" w:id="0">
    <w:p w14:paraId="4FE30A63" w14:textId="77777777" w:rsidR="00FB6DFC" w:rsidRPr="003E35FB" w:rsidRDefault="00FB6DFC">
      <w:r w:rsidRPr="003E35FB">
        <w:continuationSeparator/>
      </w:r>
    </w:p>
  </w:footnote>
  <w:footnote w:id="1">
    <w:p w14:paraId="5CE3CE7B" w14:textId="77777777" w:rsidR="00972434" w:rsidRPr="003E35FB" w:rsidRDefault="00972434" w:rsidP="003E35FB">
      <w:pPr>
        <w:pStyle w:val="FootnoteText"/>
        <w:ind w:left="567" w:hanging="567"/>
        <w:rPr>
          <w:sz w:val="24"/>
          <w:lang w:val="it-IT"/>
        </w:rPr>
      </w:pPr>
      <w:r w:rsidRPr="003E35FB">
        <w:rPr>
          <w:rStyle w:val="FootnoteReference"/>
          <w:sz w:val="24"/>
          <w:lang w:val="it-IT"/>
        </w:rPr>
        <w:footnoteRef/>
      </w:r>
      <w:r w:rsidR="003E35FB" w:rsidRPr="003E35FB">
        <w:rPr>
          <w:sz w:val="24"/>
          <w:lang w:val="it-IT"/>
        </w:rPr>
        <w:t xml:space="preserve"> </w:t>
      </w:r>
      <w:r w:rsidR="003E35FB" w:rsidRPr="003E35FB">
        <w:rPr>
          <w:sz w:val="24"/>
          <w:lang w:val="it-IT"/>
        </w:rPr>
        <w:tab/>
      </w:r>
      <w:r w:rsidRPr="003E35FB">
        <w:rPr>
          <w:sz w:val="24"/>
          <w:lang w:val="it-IT"/>
        </w:rPr>
        <w:t xml:space="preserve">GU L 347 del 30.12.2005, pag. 1, ELI: </w:t>
      </w:r>
      <w:hyperlink r:id="rId1" w:history="1">
        <w:r w:rsidRPr="00C75686">
          <w:rPr>
            <w:rStyle w:val="Hyperlink"/>
            <w:sz w:val="24"/>
            <w:lang w:val="it-IT"/>
          </w:rPr>
          <w:t>http://data.europa.eu/eli/reg/2005/2173/oj</w:t>
        </w:r>
      </w:hyperlink>
      <w:r w:rsidRPr="003E35FB">
        <w:rPr>
          <w:sz w:val="24"/>
          <w:lang w:val="it-IT"/>
        </w:rPr>
        <w:t>.</w:t>
      </w:r>
    </w:p>
  </w:footnote>
  <w:footnote w:id="2">
    <w:p w14:paraId="2A751E13" w14:textId="77777777" w:rsidR="00972434" w:rsidRPr="003E35FB" w:rsidRDefault="00972434" w:rsidP="003E35FB">
      <w:pPr>
        <w:pStyle w:val="FootnoteText"/>
        <w:ind w:left="567" w:hanging="567"/>
        <w:rPr>
          <w:sz w:val="24"/>
          <w:lang w:val="it-IT"/>
        </w:rPr>
      </w:pPr>
      <w:r w:rsidRPr="003E35FB">
        <w:rPr>
          <w:rStyle w:val="FootnoteReference"/>
          <w:sz w:val="24"/>
          <w:lang w:val="it-IT"/>
        </w:rPr>
        <w:footnoteRef/>
      </w:r>
      <w:r w:rsidR="003E35FB" w:rsidRPr="003E35FB">
        <w:rPr>
          <w:sz w:val="24"/>
          <w:lang w:val="it-IT"/>
        </w:rPr>
        <w:t xml:space="preserve"> </w:t>
      </w:r>
      <w:r w:rsidR="003E35FB" w:rsidRPr="003E35FB">
        <w:rPr>
          <w:sz w:val="24"/>
          <w:lang w:val="it-IT"/>
        </w:rPr>
        <w:tab/>
      </w:r>
      <w:r w:rsidRPr="003E35FB">
        <w:rPr>
          <w:sz w:val="24"/>
          <w:lang w:val="it-IT"/>
        </w:rPr>
        <w:t xml:space="preserve">Regolamento delegato (UE) 2025/530 della Commissione, del 30 ottobre 2024, che modifica gli allegati I e III del regolamento (CE) n. 2173/2005 del Consiglio a seguito di un accordo volontario di partenariato con la Repubblica del Ghana relativo a un sistema di licenze per l'applicazione delle normative, la governance e il commercio nel settore forestale (FLEGT) per le importazioni di legname nell'Unione europea (GU L, 2025/530, 20.3.2025, ELI: </w:t>
      </w:r>
      <w:hyperlink r:id="rId2" w:history="1">
        <w:r w:rsidRPr="00C75686">
          <w:rPr>
            <w:rStyle w:val="Hyperlink"/>
            <w:sz w:val="24"/>
            <w:lang w:val="it-IT"/>
          </w:rPr>
          <w:t>http://data.europa.eu/eli/reg_del/2025/530/oj</w:t>
        </w:r>
      </w:hyperlink>
      <w:r w:rsidRPr="003E35FB">
        <w:rPr>
          <w:sz w:val="24"/>
          <w:lang w:val="it-IT"/>
        </w:rPr>
        <w:t xml:space="preserve">). </w:t>
      </w:r>
    </w:p>
  </w:footnote>
  <w:footnote w:id="3">
    <w:p w14:paraId="6A0F8D20" w14:textId="77777777" w:rsidR="00972434" w:rsidRPr="003E35FB" w:rsidRDefault="00972434" w:rsidP="003E35FB">
      <w:pPr>
        <w:pStyle w:val="FootnoteText"/>
        <w:ind w:left="567" w:hanging="567"/>
        <w:rPr>
          <w:sz w:val="24"/>
          <w:lang w:val="it-IT"/>
        </w:rPr>
      </w:pPr>
      <w:r w:rsidRPr="003E35FB">
        <w:rPr>
          <w:rStyle w:val="FootnoteReference"/>
          <w:sz w:val="24"/>
          <w:lang w:val="it-IT"/>
        </w:rPr>
        <w:footnoteRef/>
      </w:r>
      <w:r w:rsidR="003E35FB" w:rsidRPr="003E35FB">
        <w:rPr>
          <w:sz w:val="24"/>
          <w:lang w:val="it-IT"/>
        </w:rPr>
        <w:t xml:space="preserve"> </w:t>
      </w:r>
      <w:r w:rsidR="003E35FB" w:rsidRPr="003E35FB">
        <w:rPr>
          <w:sz w:val="24"/>
          <w:lang w:val="it-IT"/>
        </w:rPr>
        <w:tab/>
      </w:r>
      <w:r w:rsidRPr="003E35FB">
        <w:rPr>
          <w:sz w:val="24"/>
          <w:lang w:val="it-IT"/>
        </w:rPr>
        <w:t>Accordo volontario di partenariato tra la Comunità europea e la Repubblica del Ghana sull'applicazione delle normative nel settore forestale, sulla governance e sul commercio del legname e dei suoi derivati importati nella Comunità (GU L 70 del 19.3.2010, pag.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DC79A" w14:textId="77777777" w:rsidR="00064002" w:rsidRPr="003E35F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8AC13" w14:textId="77777777" w:rsidR="00064002" w:rsidRPr="003E35F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EEFF5" w14:textId="77777777" w:rsidR="00064002" w:rsidRPr="003E35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2/2025"/>
    <w:docVar w:name="dvlangue" w:val="IT"/>
    <w:docVar w:name="dvnumam" w:val="0"/>
    <w:docVar w:name="dvpe" w:val="774.519"/>
    <w:docVar w:name="dvtitre" w:val="Decisione del Parlamento europeo del ... 2025 di non sollevare obiezioni al regolamento delegato della Commissione del 12 giugno 2025 che modifica la data di applicazione del regolamento delegato (UE) 2025/530 della Commissione(C(2025)03819 – 2025/2766(DEA))"/>
  </w:docVars>
  <w:rsids>
    <w:rsidRoot w:val="00FB6DF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32D8"/>
    <w:rsid w:val="00395FA1"/>
    <w:rsid w:val="003E15D4"/>
    <w:rsid w:val="003E35FB"/>
    <w:rsid w:val="00411CCE"/>
    <w:rsid w:val="0041666E"/>
    <w:rsid w:val="00421060"/>
    <w:rsid w:val="00471C19"/>
    <w:rsid w:val="004867E3"/>
    <w:rsid w:val="00494A28"/>
    <w:rsid w:val="004C0004"/>
    <w:rsid w:val="004C46D7"/>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4A4"/>
    <w:rsid w:val="008840E5"/>
    <w:rsid w:val="00887B3E"/>
    <w:rsid w:val="008C2AC6"/>
    <w:rsid w:val="00930C23"/>
    <w:rsid w:val="0093193B"/>
    <w:rsid w:val="009509D8"/>
    <w:rsid w:val="00950B64"/>
    <w:rsid w:val="0097243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5686"/>
    <w:rsid w:val="00C941CB"/>
    <w:rsid w:val="00CC2357"/>
    <w:rsid w:val="00CF071A"/>
    <w:rsid w:val="00D058B8"/>
    <w:rsid w:val="00D56C11"/>
    <w:rsid w:val="00D834A0"/>
    <w:rsid w:val="00D872DF"/>
    <w:rsid w:val="00D91E21"/>
    <w:rsid w:val="00DA7FCD"/>
    <w:rsid w:val="00DF2C30"/>
    <w:rsid w:val="00E365E1"/>
    <w:rsid w:val="00E820A4"/>
    <w:rsid w:val="00E848C2"/>
    <w:rsid w:val="00EB006A"/>
    <w:rsid w:val="00EB4772"/>
    <w:rsid w:val="00ED169E"/>
    <w:rsid w:val="00ED4235"/>
    <w:rsid w:val="00F04346"/>
    <w:rsid w:val="00F075DC"/>
    <w:rsid w:val="00F149E9"/>
    <w:rsid w:val="00F5134D"/>
    <w:rsid w:val="00F74202"/>
    <w:rsid w:val="00F87713"/>
    <w:rsid w:val="00FB4360"/>
    <w:rsid w:val="00FB6DF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51808"/>
  <w15:chartTrackingRefBased/>
  <w15:docId w15:val="{15517C85-B24D-449A-A32C-80D1BEBD3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72434"/>
    <w:pPr>
      <w:spacing w:before="480" w:after="240"/>
    </w:pPr>
  </w:style>
  <w:style w:type="paragraph" w:customStyle="1" w:styleId="NormalHanging12a">
    <w:name w:val="NormalHanging12a"/>
    <w:basedOn w:val="Normal"/>
    <w:rsid w:val="00972434"/>
    <w:pPr>
      <w:spacing w:after="240"/>
      <w:ind w:left="567" w:hanging="567"/>
    </w:pPr>
  </w:style>
  <w:style w:type="paragraph" w:styleId="BalloonText">
    <w:name w:val="Balloon Text"/>
    <w:basedOn w:val="Normal"/>
    <w:link w:val="BalloonTextChar"/>
    <w:rsid w:val="00C75686"/>
    <w:rPr>
      <w:rFonts w:ascii="Segoe UI" w:hAnsi="Segoe UI" w:cs="Segoe UI"/>
      <w:sz w:val="18"/>
      <w:szCs w:val="18"/>
    </w:rPr>
  </w:style>
  <w:style w:type="character" w:customStyle="1" w:styleId="BalloonTextChar">
    <w:name w:val="Balloon Text Char"/>
    <w:basedOn w:val="DefaultParagraphFont"/>
    <w:link w:val="BalloonText"/>
    <w:rsid w:val="00C75686"/>
    <w:rPr>
      <w:rFonts w:ascii="Segoe UI" w:hAnsi="Segoe UI" w:cs="Segoe UI"/>
      <w:sz w:val="18"/>
      <w:szCs w:val="18"/>
      <w:lang w:val="it-IT"/>
    </w:rPr>
  </w:style>
  <w:style w:type="character" w:styleId="CommentReference">
    <w:name w:val="annotation reference"/>
    <w:basedOn w:val="DefaultParagraphFont"/>
    <w:rsid w:val="00C75686"/>
    <w:rPr>
      <w:sz w:val="16"/>
      <w:szCs w:val="16"/>
    </w:rPr>
  </w:style>
  <w:style w:type="paragraph" w:styleId="CommentText">
    <w:name w:val="annotation text"/>
    <w:basedOn w:val="Normal"/>
    <w:link w:val="CommentTextChar"/>
    <w:rsid w:val="00C75686"/>
    <w:rPr>
      <w:sz w:val="20"/>
    </w:rPr>
  </w:style>
  <w:style w:type="character" w:customStyle="1" w:styleId="CommentTextChar">
    <w:name w:val="Comment Text Char"/>
    <w:basedOn w:val="DefaultParagraphFont"/>
    <w:link w:val="CommentText"/>
    <w:rsid w:val="00C75686"/>
    <w:rPr>
      <w:lang w:val="it-IT"/>
    </w:rPr>
  </w:style>
  <w:style w:type="paragraph" w:styleId="CommentSubject">
    <w:name w:val="annotation subject"/>
    <w:basedOn w:val="CommentText"/>
    <w:next w:val="CommentText"/>
    <w:link w:val="CommentSubjectChar"/>
    <w:rsid w:val="00C75686"/>
    <w:rPr>
      <w:b/>
      <w:bCs/>
    </w:rPr>
  </w:style>
  <w:style w:type="character" w:customStyle="1" w:styleId="CommentSubjectChar">
    <w:name w:val="Comment Subject Char"/>
    <w:basedOn w:val="CommentTextChar"/>
    <w:link w:val="CommentSubject"/>
    <w:rsid w:val="00C75686"/>
    <w:rPr>
      <w:b/>
      <w:bCs/>
      <w:lang w:val="it-IT"/>
    </w:rPr>
  </w:style>
  <w:style w:type="character" w:styleId="Hyperlink">
    <w:name w:val="Hyperlink"/>
    <w:basedOn w:val="DefaultParagraphFont"/>
    <w:rsid w:val="00C75686"/>
    <w:rPr>
      <w:color w:val="0563C1" w:themeColor="hyperlink"/>
      <w:u w:val="single"/>
    </w:rPr>
  </w:style>
  <w:style w:type="character" w:styleId="FollowedHyperlink">
    <w:name w:val="FollowedHyperlink"/>
    <w:basedOn w:val="DefaultParagraphFont"/>
    <w:rsid w:val="00C756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5/530/oj" TargetMode="External"/><Relationship Id="rId1" Type="http://schemas.openxmlformats.org/officeDocument/2006/relationships/hyperlink" Target="http://data.europa.eu/eli/reg/2005/2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F0A25-923C-4DC3-82B1-FCF4B04A8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599</Words>
  <Characters>3525</Characters>
  <Application>Microsoft Office Word</Application>
  <DocSecurity>0</DocSecurity>
  <Lines>88</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AR_2</cp:lastModifiedBy>
  <cp:revision>2</cp:revision>
  <cp:lastPrinted>2004-11-19T15:42:00Z</cp:lastPrinted>
  <dcterms:created xsi:type="dcterms:W3CDTF">2025-07-09T13:09:00Z</dcterms:created>
  <dcterms:modified xsi:type="dcterms:W3CDTF">2025-07-09T13:09:00Z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B10-0302/2025</vt:lpwstr>
  </property>
  <property fmtid="{D5CDD505-2E9C-101B-9397-08002B2CF9AE}" pid="4" name="&lt;Type&gt;">
    <vt:lpwstr>RR</vt:lpwstr>
  </property>
</Properties>
</file>