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0889" w14:paraId="155D1D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5FEC51" w14:textId="77777777" w:rsidR="00751A4A" w:rsidRPr="00C60889" w:rsidRDefault="00E0459D" w:rsidP="0010095E">
            <w:pPr>
              <w:pStyle w:val="EPName"/>
            </w:pPr>
            <w:r w:rsidRPr="00C60889">
              <w:t>Parlamento Europeu</w:t>
            </w:r>
          </w:p>
          <w:p w14:paraId="3AF9B79E" w14:textId="77777777" w:rsidR="00751A4A" w:rsidRPr="00C608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0889">
              <w:t>2024</w:t>
            </w:r>
            <w:r w:rsidR="00817416" w:rsidRPr="00C60889">
              <w:t>-202</w:t>
            </w:r>
            <w:r w:rsidRPr="00C60889">
              <w:t>9</w:t>
            </w:r>
          </w:p>
        </w:tc>
        <w:tc>
          <w:tcPr>
            <w:tcW w:w="2268" w:type="dxa"/>
            <w:shd w:val="clear" w:color="auto" w:fill="auto"/>
          </w:tcPr>
          <w:p w14:paraId="1905FA39" w14:textId="77777777" w:rsidR="00751A4A" w:rsidRPr="00C60889" w:rsidRDefault="00187494" w:rsidP="0010095E">
            <w:pPr>
              <w:pStyle w:val="EPLogo"/>
            </w:pPr>
            <w:r w:rsidRPr="00C60889">
              <w:rPr>
                <w:noProof/>
                <w:lang w:val="en-GB"/>
              </w:rPr>
              <w:drawing>
                <wp:inline distT="0" distB="0" distL="0" distR="0" wp14:anchorId="126E82D4" wp14:editId="349DA8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481578" w14:textId="77777777" w:rsidR="00D058B8" w:rsidRPr="00C60889" w:rsidRDefault="00D058B8" w:rsidP="004C5D52">
      <w:pPr>
        <w:pStyle w:val="LineTop"/>
      </w:pPr>
    </w:p>
    <w:p w14:paraId="586C6918" w14:textId="77777777" w:rsidR="00680577" w:rsidRPr="00C60889" w:rsidRDefault="00E0459D" w:rsidP="00680577">
      <w:pPr>
        <w:pStyle w:val="EPBodyTA1"/>
      </w:pPr>
      <w:r w:rsidRPr="00C60889">
        <w:t>TEXTOS APROVADOS</w:t>
      </w:r>
    </w:p>
    <w:p w14:paraId="5208A904" w14:textId="77777777" w:rsidR="00D058B8" w:rsidRPr="00C60889" w:rsidRDefault="00D058B8" w:rsidP="00D058B8">
      <w:pPr>
        <w:pStyle w:val="LineBottom"/>
      </w:pPr>
    </w:p>
    <w:p w14:paraId="3148DC7D" w14:textId="4BF9E6C0" w:rsidR="00E0459D" w:rsidRPr="00C60889" w:rsidRDefault="00E0459D" w:rsidP="00E0459D">
      <w:pPr>
        <w:pStyle w:val="ATHeading1"/>
      </w:pPr>
      <w:bookmarkStart w:id="0" w:name="TANumber"/>
      <w:r w:rsidRPr="00C60889">
        <w:t>P10_TA(2025)0</w:t>
      </w:r>
      <w:bookmarkEnd w:id="0"/>
      <w:r w:rsidR="00F662C3" w:rsidRPr="00C60889">
        <w:t>148</w:t>
      </w:r>
    </w:p>
    <w:p w14:paraId="533F7FAD" w14:textId="4170EAFF" w:rsidR="00E0459D" w:rsidRPr="00C60889" w:rsidRDefault="00223BFC" w:rsidP="00E0459D">
      <w:pPr>
        <w:pStyle w:val="ATHeading2"/>
      </w:pPr>
      <w:bookmarkStart w:id="1" w:name="title"/>
      <w:r w:rsidRPr="00C60889">
        <w:t xml:space="preserve">Não objeção a um ato delegado: </w:t>
      </w:r>
      <w:r w:rsidR="00E0459D" w:rsidRPr="00C60889">
        <w:t>Alteração do Regulamento Delegado (UE) 2025/530 da Comissão no que diz respeito à sua data de início da aplicação</w:t>
      </w:r>
      <w:bookmarkEnd w:id="1"/>
    </w:p>
    <w:p w14:paraId="4611E8A3" w14:textId="77777777" w:rsidR="00E0459D" w:rsidRPr="00C60889" w:rsidRDefault="00E0459D" w:rsidP="00E0459D">
      <w:pPr>
        <w:rPr>
          <w:i/>
          <w:vanish/>
        </w:rPr>
      </w:pPr>
      <w:r w:rsidRPr="00C60889">
        <w:rPr>
          <w:i/>
        </w:rPr>
        <w:fldChar w:fldCharType="begin"/>
      </w:r>
      <w:r w:rsidRPr="00C60889">
        <w:rPr>
          <w:i/>
        </w:rPr>
        <w:instrText xml:space="preserve"> TC"(</w:instrText>
      </w:r>
      <w:bookmarkStart w:id="2" w:name="DocNumber"/>
      <w:r w:rsidRPr="00C60889">
        <w:rPr>
          <w:i/>
        </w:rPr>
        <w:instrText>B10-0302/2025</w:instrText>
      </w:r>
      <w:bookmarkEnd w:id="2"/>
      <w:r w:rsidRPr="00C60889">
        <w:rPr>
          <w:i/>
        </w:rPr>
        <w:instrText xml:space="preserve">)"\l3 \n&gt; \* MERGEFORMAT </w:instrText>
      </w:r>
      <w:r w:rsidRPr="00C60889">
        <w:rPr>
          <w:i/>
        </w:rPr>
        <w:fldChar w:fldCharType="end"/>
      </w:r>
    </w:p>
    <w:p w14:paraId="3816986C" w14:textId="77777777" w:rsidR="00E0459D" w:rsidRPr="00C60889" w:rsidRDefault="00E0459D" w:rsidP="00E0459D">
      <w:pPr>
        <w:rPr>
          <w:vanish/>
        </w:rPr>
      </w:pPr>
      <w:bookmarkStart w:id="3" w:name="PE"/>
      <w:r w:rsidRPr="00C60889">
        <w:rPr>
          <w:vanish/>
        </w:rPr>
        <w:t>PE774.519</w:t>
      </w:r>
      <w:bookmarkEnd w:id="3"/>
    </w:p>
    <w:p w14:paraId="55E22D97" w14:textId="6923DC97" w:rsidR="00E0459D" w:rsidRPr="00C60889" w:rsidRDefault="00E0459D" w:rsidP="00E0459D">
      <w:pPr>
        <w:pStyle w:val="ATHeading3"/>
      </w:pPr>
      <w:bookmarkStart w:id="4" w:name="Sujet"/>
      <w:r w:rsidRPr="00C60889">
        <w:t>Decisão do Parlamento Europeu referente à não formulação de objeções ao Regulamento Delegado da Comissão, de 12 de junho de 2025, que altera o Regulamento Delegado (UE) 2025/530 da Comissão no que diz respeito à sua data de início da aplicação</w:t>
      </w:r>
      <w:bookmarkEnd w:id="4"/>
      <w:r w:rsidRPr="00C60889">
        <w:t xml:space="preserve"> </w:t>
      </w:r>
      <w:bookmarkStart w:id="5" w:name="References"/>
      <w:r w:rsidRPr="00C60889">
        <w:t>(C(2025)03819 – 2025/2766(DEA))</w:t>
      </w:r>
      <w:bookmarkEnd w:id="5"/>
    </w:p>
    <w:p w14:paraId="60FBE932" w14:textId="77777777" w:rsidR="00592C81" w:rsidRPr="00C60889" w:rsidRDefault="00592C81" w:rsidP="00592C81">
      <w:pPr>
        <w:pStyle w:val="EPComma"/>
      </w:pPr>
      <w:bookmarkStart w:id="6" w:name="TextBodyBegin"/>
      <w:bookmarkEnd w:id="6"/>
      <w:r w:rsidRPr="00C60889">
        <w:rPr>
          <w:i/>
          <w:iCs/>
        </w:rPr>
        <w:t>O Parlamento Europeu</w:t>
      </w:r>
      <w:r w:rsidRPr="00C60889">
        <w:t>,</w:t>
      </w:r>
    </w:p>
    <w:p w14:paraId="3B2E2038" w14:textId="2310BF32" w:rsidR="00592C81" w:rsidRPr="00C60889" w:rsidRDefault="00592C81" w:rsidP="00592C81">
      <w:pPr>
        <w:pStyle w:val="NormalHanging12a"/>
      </w:pPr>
      <w:r w:rsidRPr="00C60889">
        <w:t>–</w:t>
      </w:r>
      <w:r w:rsidRPr="00C60889">
        <w:tab/>
        <w:t xml:space="preserve">Tendo em conta o Regulamento Delegado da Comissão </w:t>
      </w:r>
      <w:r w:rsidR="009D3EE4">
        <w:t>(</w:t>
      </w:r>
      <w:r w:rsidR="0058662F" w:rsidRPr="0058662F">
        <w:t>C(2025)03819</w:t>
      </w:r>
      <w:r w:rsidR="009D3EE4">
        <w:t>)</w:t>
      </w:r>
      <w:r w:rsidRPr="00C60889">
        <w:t>,</w:t>
      </w:r>
    </w:p>
    <w:p w14:paraId="7396E440" w14:textId="77777777" w:rsidR="00592C81" w:rsidRPr="00C60889" w:rsidRDefault="00592C81" w:rsidP="00592C81">
      <w:pPr>
        <w:pStyle w:val="NormalHanging12a"/>
      </w:pPr>
      <w:r w:rsidRPr="00C60889">
        <w:t>–</w:t>
      </w:r>
      <w:r w:rsidRPr="00C60889">
        <w:tab/>
        <w:t>Tendo em conta a carta da Comissão, de 6 de junho de 2025, em que a Comissão solicita ao Parlamento que declare que não formulará objeções ao Regulamento Delegado,</w:t>
      </w:r>
    </w:p>
    <w:p w14:paraId="7EBF5844" w14:textId="7BD73727" w:rsidR="00592C81" w:rsidRPr="00C60889" w:rsidRDefault="00592C81" w:rsidP="00592C81">
      <w:pPr>
        <w:pStyle w:val="NormalHanging12a"/>
      </w:pPr>
      <w:r w:rsidRPr="00C60889">
        <w:t>–</w:t>
      </w:r>
      <w:r w:rsidRPr="00C60889">
        <w:tab/>
        <w:t xml:space="preserve">Tendo em conta a carta da Comissão do Comércio Internacional ao </w:t>
      </w:r>
      <w:r w:rsidR="00374D06" w:rsidRPr="00C60889">
        <w:t xml:space="preserve">Presidente </w:t>
      </w:r>
      <w:r w:rsidRPr="00C60889">
        <w:t>da Conferência dos Presidentes das Comissões, de 25 de junho de 2025,</w:t>
      </w:r>
    </w:p>
    <w:p w14:paraId="0DAA3400" w14:textId="77777777" w:rsidR="00592C81" w:rsidRPr="00C60889" w:rsidRDefault="00592C81" w:rsidP="00592C81">
      <w:pPr>
        <w:pStyle w:val="NormalHanging12a"/>
      </w:pPr>
      <w:r w:rsidRPr="00C60889">
        <w:t>–</w:t>
      </w:r>
      <w:r w:rsidRPr="00C60889">
        <w:tab/>
        <w:t>Tendo em conta o artigo 290.º do Tratado sobre o Funcionamento da União Europeia,</w:t>
      </w:r>
    </w:p>
    <w:p w14:paraId="55998AE3" w14:textId="77777777" w:rsidR="00592C81" w:rsidRPr="00C60889" w:rsidRDefault="00592C81" w:rsidP="00592C81">
      <w:pPr>
        <w:pStyle w:val="NormalHanging12a"/>
      </w:pPr>
      <w:r w:rsidRPr="00C60889">
        <w:t>–</w:t>
      </w:r>
      <w:r w:rsidRPr="00C60889">
        <w:tab/>
        <w:t>Tendo em conta o Regulamento (CE) n.º 2173/2005 do</w:t>
      </w:r>
      <w:r w:rsidR="00374D06" w:rsidRPr="00C60889">
        <w:t xml:space="preserve"> Conselho, de 20 de dezembro de </w:t>
      </w:r>
      <w:r w:rsidRPr="00C60889">
        <w:t>2005, relativo ao estabelecimento de um regime de licenciamento para a importação de madeira para a Comunidade Europeia (FLEGT)</w:t>
      </w:r>
      <w:r w:rsidRPr="00C60889">
        <w:rPr>
          <w:vertAlign w:val="superscript"/>
        </w:rPr>
        <w:footnoteReference w:id="1"/>
      </w:r>
      <w:r w:rsidRPr="00C60889">
        <w:t>, nomeadamente o artigo 10.º, n.</w:t>
      </w:r>
      <w:r w:rsidRPr="00C60889">
        <w:rPr>
          <w:vertAlign w:val="superscript"/>
        </w:rPr>
        <w:t>os</w:t>
      </w:r>
      <w:r w:rsidRPr="00C60889">
        <w:t> 1 e 3, e o artigo 11.º-A, n.º 5,</w:t>
      </w:r>
    </w:p>
    <w:p w14:paraId="7E720AB7" w14:textId="268EC9DF" w:rsidR="00592C81" w:rsidRPr="00C60889" w:rsidRDefault="00592C81" w:rsidP="00592C81">
      <w:pPr>
        <w:pStyle w:val="NormalHanging12a"/>
      </w:pPr>
      <w:r w:rsidRPr="00C60889">
        <w:t>–</w:t>
      </w:r>
      <w:r w:rsidRPr="00C60889">
        <w:tab/>
        <w:t>Tendo em conta o Regulamento Delegado (UE) 2025/530 da Comissão</w:t>
      </w:r>
      <w:r w:rsidRPr="00C60889">
        <w:rPr>
          <w:vertAlign w:val="superscript"/>
        </w:rPr>
        <w:footnoteReference w:id="2"/>
      </w:r>
      <w:r w:rsidRPr="00C60889">
        <w:t>,</w:t>
      </w:r>
    </w:p>
    <w:p w14:paraId="78121007" w14:textId="77777777" w:rsidR="00592C81" w:rsidRPr="00C60889" w:rsidRDefault="00592C81" w:rsidP="00592C81">
      <w:pPr>
        <w:pStyle w:val="NormalHanging12a"/>
      </w:pPr>
      <w:r w:rsidRPr="00C60889">
        <w:lastRenderedPageBreak/>
        <w:t>–</w:t>
      </w:r>
      <w:r w:rsidRPr="00C60889">
        <w:tab/>
        <w:t>Tendo em conta o artigo 114.º, n.º 6, do seu Regimento,</w:t>
      </w:r>
    </w:p>
    <w:p w14:paraId="67FDDEFE" w14:textId="7E2E8F0D" w:rsidR="00592C81" w:rsidRPr="00C60889" w:rsidRDefault="00592C81" w:rsidP="00592C81">
      <w:pPr>
        <w:pStyle w:val="NormalHanging12a"/>
      </w:pPr>
      <w:r w:rsidRPr="00C60889">
        <w:t>–</w:t>
      </w:r>
      <w:r w:rsidRPr="00C60889">
        <w:tab/>
        <w:t>Tendo em conta a recomendação de decisão da Comissão do Comércio Internacional,</w:t>
      </w:r>
    </w:p>
    <w:p w14:paraId="5B32E27A" w14:textId="0E64C7FF" w:rsidR="00FA477E" w:rsidRPr="00C60889" w:rsidRDefault="00FA477E" w:rsidP="00592C81">
      <w:pPr>
        <w:pStyle w:val="NormalHanging12a"/>
      </w:pPr>
      <w:r w:rsidRPr="00C60889">
        <w:t>–</w:t>
      </w:r>
      <w:r w:rsidRPr="00C60889">
        <w:tab/>
        <w:t xml:space="preserve">Tendo em conta que não foram formuladas objeções no prazo </w:t>
      </w:r>
      <w:r w:rsidR="00526270" w:rsidRPr="00C60889">
        <w:t>fixado</w:t>
      </w:r>
      <w:r w:rsidRPr="00C60889">
        <w:t xml:space="preserve"> no artigo 114.º, n.º</w:t>
      </w:r>
      <w:r w:rsidR="00F662C3" w:rsidRPr="00C60889">
        <w:t> </w:t>
      </w:r>
      <w:r w:rsidRPr="00C60889">
        <w:t>6, terceiro e quarto travessões, do seu Regimento, que expirou em 8 de julho de 2025,</w:t>
      </w:r>
    </w:p>
    <w:p w14:paraId="11609942" w14:textId="657147A5" w:rsidR="00592C81" w:rsidRPr="00C60889" w:rsidRDefault="00592C81" w:rsidP="00592C81">
      <w:pPr>
        <w:pStyle w:val="NormalHanging12a"/>
      </w:pPr>
      <w:r w:rsidRPr="00C60889">
        <w:t>A.</w:t>
      </w:r>
      <w:r w:rsidRPr="00C60889">
        <w:tab/>
        <w:t>Considerando que o Regulamento Delegado (UE) 2025/530 da Comissão inclui a República do Gana e a sua Divisão de Desenvolvimento do Setor Madeireiro na lista do anexo I do Regulamento (CE) n.º 2173/2005 e na lista de produtos abrangidos pelo regime de licenciamento para a aplicação da legislação, a governação e o comércio no setor florestal (FLEGT) constante do anexo III desse regulamento; que o comércio de madeira entre a União e o Gana é regulamentado pelo Acordo de parceria voluntário entre a Comunidade Europeia e a República do Gana relativo à aplicação da legislação, à governação e ao comércio no sector florestal no que respeita aos produtos de madeira importados para a Comunidade</w:t>
      </w:r>
      <w:r w:rsidRPr="00C60889">
        <w:rPr>
          <w:vertAlign w:val="superscript"/>
        </w:rPr>
        <w:footnoteReference w:id="3"/>
      </w:r>
      <w:r w:rsidRPr="00C60889">
        <w:t xml:space="preserve"> (o «Acordo»); que o Regulamento Delegado (UE) 2025/530 é aplicável a partir de 8 de julho de 2025;</w:t>
      </w:r>
    </w:p>
    <w:p w14:paraId="41E42A6E" w14:textId="77777777" w:rsidR="00592C81" w:rsidRPr="00C60889" w:rsidRDefault="00592C81" w:rsidP="00592C81">
      <w:pPr>
        <w:pStyle w:val="NormalHanging12a"/>
      </w:pPr>
      <w:r w:rsidRPr="00C60889">
        <w:t>B.</w:t>
      </w:r>
      <w:r w:rsidRPr="00C60889">
        <w:tab/>
        <w:t>Considerando que os preparativos para a emissão de licenças FLEGT estão a demorar mais que o previsto e que o Gana não começará a emitir licenças FLEGT antes de 30 de junho de 2025; que as remessas provenientes do Gana demoram entre duas e oito semanas a chegar à União, o que implica o risco de que as remessas que saiam do Gana antes de 30 de junho de 2025, mas cheguem à União após 8 de julho de 2025, não sejam abrangidas por uma licença FLEGT, não podendo, nesse caso, entrar na União;</w:t>
      </w:r>
    </w:p>
    <w:p w14:paraId="693C934D" w14:textId="77777777" w:rsidR="00592C81" w:rsidRPr="00C60889" w:rsidRDefault="00592C81" w:rsidP="00592C81">
      <w:pPr>
        <w:pStyle w:val="NormalHanging12a"/>
      </w:pPr>
      <w:r w:rsidRPr="00C60889">
        <w:t>C.</w:t>
      </w:r>
      <w:r w:rsidRPr="00C60889">
        <w:tab/>
        <w:t>Considerando que existe um risco significativo de que as remessas de madeira que cheguem à União a partir de 8 de julho de 2025 não estejam abrangidas por uma licença FLEGT, uma vez que podem ter sido expedidas antes de o Gana ter começado a emitir licenças FLEGT; que tal pode gerar perturbações do comércio, comprometer a credibilidade do Acordo enquanto instrumento facilitador do comércio e afetar negativamente os operadores económicos tanto no Gana como na União;</w:t>
      </w:r>
    </w:p>
    <w:p w14:paraId="53EBECE7" w14:textId="77777777" w:rsidR="00592C81" w:rsidRPr="00C60889" w:rsidRDefault="00592C81" w:rsidP="00592C81">
      <w:pPr>
        <w:pStyle w:val="NormalHanging12a"/>
      </w:pPr>
      <w:r w:rsidRPr="00C60889">
        <w:t>D.</w:t>
      </w:r>
      <w:r w:rsidRPr="00C60889">
        <w:tab/>
        <w:t>Considerando que a data de início da aplicação do Regulamento Delegado (UE) 2025/530 deve ser adaptada, a fim de dar tempo suficiente para que as remessas que saem do Gana antes de 30 de junho de 2025 cheguem à União sem a obrigação de estarem abrangidas por uma licença FLEGT.</w:t>
      </w:r>
    </w:p>
    <w:p w14:paraId="1CEC4465" w14:textId="77777777" w:rsidR="00592C81" w:rsidRPr="00C60889" w:rsidRDefault="00592C81" w:rsidP="00592C81">
      <w:pPr>
        <w:pStyle w:val="NormalHanging12a"/>
      </w:pPr>
      <w:r w:rsidRPr="00C60889">
        <w:t>E.</w:t>
      </w:r>
      <w:r w:rsidRPr="00C60889">
        <w:tab/>
        <w:t>Considerando que o Regulamento Delegado (UE) 2025/530 deve, portanto, ser alterado em conformidade;</w:t>
      </w:r>
    </w:p>
    <w:p w14:paraId="2F088E70" w14:textId="77777777" w:rsidR="00592C81" w:rsidRPr="00C60889" w:rsidRDefault="00592C81" w:rsidP="00592C81">
      <w:pPr>
        <w:pStyle w:val="NormalHanging12a"/>
      </w:pPr>
      <w:r w:rsidRPr="00C60889">
        <w:t>1.</w:t>
      </w:r>
      <w:r w:rsidRPr="00C60889">
        <w:tab/>
        <w:t>Declara não formular objeções ao Regulamento Delegado;</w:t>
      </w:r>
    </w:p>
    <w:p w14:paraId="764D3DEB" w14:textId="77777777" w:rsidR="00C83A68" w:rsidRPr="00C60889" w:rsidRDefault="00592C81" w:rsidP="00C83A68">
      <w:pPr>
        <w:pStyle w:val="NormalHanging12a"/>
      </w:pPr>
      <w:r w:rsidRPr="00C60889">
        <w:t>2.</w:t>
      </w:r>
      <w:r w:rsidRPr="00C60889">
        <w:tab/>
        <w:t xml:space="preserve">Encarrega a sua Presidente de transmitir a presente decisão </w:t>
      </w:r>
      <w:r w:rsidR="00C83A68" w:rsidRPr="00C60889">
        <w:t>ao Conselho e à Comissão.</w:t>
      </w:r>
    </w:p>
    <w:p w14:paraId="0C4D5B68" w14:textId="77777777" w:rsidR="00E365E1" w:rsidRPr="00C60889" w:rsidRDefault="00E365E1" w:rsidP="00E0459D"/>
    <w:sectPr w:rsidR="00E365E1" w:rsidRPr="00C60889" w:rsidSect="00C83A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17C5A" w14:textId="77777777" w:rsidR="00E0459D" w:rsidRPr="00C83A68" w:rsidRDefault="00E0459D">
      <w:r w:rsidRPr="00C83A68">
        <w:separator/>
      </w:r>
    </w:p>
  </w:endnote>
  <w:endnote w:type="continuationSeparator" w:id="0">
    <w:p w14:paraId="44871298" w14:textId="77777777" w:rsidR="00E0459D" w:rsidRPr="00C83A68" w:rsidRDefault="00E0459D">
      <w:r w:rsidRPr="00C83A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1C1D" w14:textId="77777777" w:rsidR="00064002" w:rsidRPr="00C83A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3AA53" w14:textId="77777777" w:rsidR="00064002" w:rsidRPr="00C83A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6F14B" w14:textId="77777777" w:rsidR="00064002" w:rsidRPr="00C83A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AEC14" w14:textId="77777777" w:rsidR="00E0459D" w:rsidRPr="00C83A68" w:rsidRDefault="00E0459D">
      <w:r w:rsidRPr="00C83A68">
        <w:separator/>
      </w:r>
    </w:p>
  </w:footnote>
  <w:footnote w:type="continuationSeparator" w:id="0">
    <w:p w14:paraId="2AF2AA91" w14:textId="77777777" w:rsidR="00E0459D" w:rsidRPr="00C83A68" w:rsidRDefault="00E0459D">
      <w:r w:rsidRPr="00C83A68">
        <w:continuationSeparator/>
      </w:r>
    </w:p>
  </w:footnote>
  <w:footnote w:id="1">
    <w:p w14:paraId="73669B9C" w14:textId="77777777" w:rsidR="00592C81" w:rsidRPr="00C83A68" w:rsidRDefault="00592C81" w:rsidP="00C83A68">
      <w:pPr>
        <w:pStyle w:val="FootnoteText"/>
        <w:ind w:left="567" w:hanging="567"/>
        <w:rPr>
          <w:sz w:val="24"/>
          <w:lang w:val="pt-PT"/>
        </w:rPr>
      </w:pPr>
      <w:r w:rsidRPr="00C83A68">
        <w:rPr>
          <w:rStyle w:val="FootnoteReference"/>
          <w:sz w:val="24"/>
          <w:lang w:val="pt-PT"/>
        </w:rPr>
        <w:footnoteRef/>
      </w:r>
      <w:r w:rsidR="00C83A68" w:rsidRPr="00C83A68">
        <w:rPr>
          <w:sz w:val="24"/>
          <w:lang w:val="pt-PT"/>
        </w:rPr>
        <w:t xml:space="preserve"> </w:t>
      </w:r>
      <w:r w:rsidR="00C83A68" w:rsidRPr="00C83A68">
        <w:rPr>
          <w:sz w:val="24"/>
          <w:lang w:val="pt-PT"/>
        </w:rPr>
        <w:tab/>
      </w:r>
      <w:r w:rsidRPr="00C83A68">
        <w:rPr>
          <w:sz w:val="24"/>
          <w:lang w:val="pt-PT"/>
        </w:rPr>
        <w:t>JO L 347 de 30.12.2005, p. 1, ELI: http://data.europa.eu/eli/reg/2005/2173/oj.</w:t>
      </w:r>
    </w:p>
  </w:footnote>
  <w:footnote w:id="2">
    <w:p w14:paraId="426CB74B" w14:textId="45D67C3A" w:rsidR="00592C81" w:rsidRPr="00C83A68" w:rsidRDefault="00592C81" w:rsidP="00C83A68">
      <w:pPr>
        <w:pStyle w:val="FootnoteText"/>
        <w:ind w:left="567" w:hanging="567"/>
        <w:rPr>
          <w:sz w:val="24"/>
          <w:lang w:val="pt-PT"/>
        </w:rPr>
      </w:pPr>
      <w:r w:rsidRPr="00C83A68">
        <w:rPr>
          <w:rStyle w:val="FootnoteReference"/>
          <w:sz w:val="24"/>
          <w:lang w:val="pt-PT"/>
        </w:rPr>
        <w:footnoteRef/>
      </w:r>
      <w:r w:rsidR="00C83A68" w:rsidRPr="00C83A68">
        <w:rPr>
          <w:sz w:val="24"/>
          <w:lang w:val="pt-PT"/>
        </w:rPr>
        <w:t xml:space="preserve"> </w:t>
      </w:r>
      <w:r w:rsidR="00C83A68" w:rsidRPr="00C83A68">
        <w:rPr>
          <w:sz w:val="24"/>
          <w:lang w:val="pt-PT"/>
        </w:rPr>
        <w:tab/>
      </w:r>
      <w:r w:rsidRPr="00C83A68">
        <w:rPr>
          <w:sz w:val="24"/>
          <w:lang w:val="pt-PT"/>
        </w:rPr>
        <w:t xml:space="preserve">Regulamento Delegado (UE) 2025/530 da Comissão, de 30 de outubro de 2024, que altera os anexos I e III do Regulamento (CE) n.º 2173/2005 do Conselho, na sequência de um acordo de parceria voluntário com a República do Gana relativo a um regime de licenciamento para a aplicação da legislação, a governação e o comércio no setor florestal (FLEGT) para a importação de madeira para a União Europeia (JO L, 2025/530, 20.3.2025, ELI: </w:t>
      </w:r>
      <w:r w:rsidR="009D3EE4">
        <w:fldChar w:fldCharType="begin"/>
      </w:r>
      <w:r w:rsidR="009D3EE4" w:rsidRPr="009D3EE4">
        <w:rPr>
          <w:lang w:val="pt-PT"/>
        </w:rPr>
        <w:instrText>HYPERLINK "http://data.europa.eu/eli/reg_del/2025/530/oj"</w:instrText>
      </w:r>
      <w:r w:rsidR="009D3EE4">
        <w:fldChar w:fldCharType="separate"/>
      </w:r>
      <w:r w:rsidRPr="00374D06">
        <w:rPr>
          <w:rStyle w:val="Hyperlink"/>
          <w:sz w:val="24"/>
          <w:lang w:val="pt-PT"/>
        </w:rPr>
        <w:t>http://data.europa.eu/eli/reg_del/2025/530/oj</w:t>
      </w:r>
      <w:r w:rsidR="009D3EE4">
        <w:rPr>
          <w:rStyle w:val="Hyperlink"/>
          <w:sz w:val="24"/>
          <w:lang w:val="pt-PT"/>
        </w:rPr>
        <w:fldChar w:fldCharType="end"/>
      </w:r>
      <w:r w:rsidRPr="00C83A68">
        <w:rPr>
          <w:sz w:val="24"/>
          <w:lang w:val="pt-PT"/>
        </w:rPr>
        <w:t>).</w:t>
      </w:r>
    </w:p>
  </w:footnote>
  <w:footnote w:id="3">
    <w:p w14:paraId="5FC08964" w14:textId="50689D81" w:rsidR="00592C81" w:rsidRPr="00C83A68" w:rsidRDefault="00592C81" w:rsidP="00C83A68">
      <w:pPr>
        <w:pStyle w:val="FootnoteText"/>
        <w:ind w:left="567" w:hanging="567"/>
        <w:rPr>
          <w:sz w:val="24"/>
          <w:lang w:val="pt-PT"/>
        </w:rPr>
      </w:pPr>
      <w:r w:rsidRPr="00C83A68">
        <w:rPr>
          <w:rStyle w:val="FootnoteReference"/>
          <w:sz w:val="24"/>
          <w:lang w:val="pt-PT"/>
        </w:rPr>
        <w:footnoteRef/>
      </w:r>
      <w:r w:rsidR="00C83A68" w:rsidRPr="00C83A68">
        <w:rPr>
          <w:sz w:val="24"/>
          <w:lang w:val="pt-PT"/>
        </w:rPr>
        <w:t xml:space="preserve"> </w:t>
      </w:r>
      <w:r w:rsidR="00C83A68" w:rsidRPr="00C83A68">
        <w:rPr>
          <w:sz w:val="24"/>
          <w:lang w:val="pt-PT"/>
        </w:rPr>
        <w:tab/>
      </w:r>
      <w:r w:rsidRPr="00C83A68">
        <w:rPr>
          <w:sz w:val="24"/>
          <w:lang w:val="pt-PT"/>
        </w:rPr>
        <w:t>Acordo de parceria voluntário entre a Comunidade Europeia e a República do Gana relativo à aplicação da legislação no setor florestal, à governação e ao comércio de produtos de madeira importados para a Comunidade (JO L 70</w:t>
      </w:r>
      <w:r w:rsidR="00374D06">
        <w:rPr>
          <w:sz w:val="24"/>
          <w:lang w:val="pt-PT"/>
        </w:rPr>
        <w:t xml:space="preserve"> de</w:t>
      </w:r>
      <w:r w:rsidR="00374D06" w:rsidRPr="00C83A68">
        <w:rPr>
          <w:sz w:val="24"/>
          <w:lang w:val="pt-PT"/>
        </w:rPr>
        <w:t xml:space="preserve"> </w:t>
      </w:r>
      <w:r w:rsidRPr="00C83A68">
        <w:rPr>
          <w:sz w:val="24"/>
          <w:lang w:val="pt-PT"/>
        </w:rPr>
        <w:t>19.3.2010, p. 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C3C8" w14:textId="77777777" w:rsidR="00064002" w:rsidRPr="00C83A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42C13" w14:textId="77777777" w:rsidR="00064002" w:rsidRPr="00C83A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4DABC" w14:textId="77777777" w:rsidR="00064002" w:rsidRPr="00C83A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2311092">
    <w:abstractNumId w:val="9"/>
  </w:num>
  <w:num w:numId="2" w16cid:durableId="421339071">
    <w:abstractNumId w:val="9"/>
  </w:num>
  <w:num w:numId="3" w16cid:durableId="492641662">
    <w:abstractNumId w:val="7"/>
  </w:num>
  <w:num w:numId="4" w16cid:durableId="1215192613">
    <w:abstractNumId w:val="7"/>
  </w:num>
  <w:num w:numId="5" w16cid:durableId="441606696">
    <w:abstractNumId w:val="6"/>
  </w:num>
  <w:num w:numId="6" w16cid:durableId="460922413">
    <w:abstractNumId w:val="6"/>
  </w:num>
  <w:num w:numId="7" w16cid:durableId="579095516">
    <w:abstractNumId w:val="5"/>
  </w:num>
  <w:num w:numId="8" w16cid:durableId="1534346458">
    <w:abstractNumId w:val="5"/>
  </w:num>
  <w:num w:numId="9" w16cid:durableId="1771002716">
    <w:abstractNumId w:val="4"/>
  </w:num>
  <w:num w:numId="10" w16cid:durableId="945162603">
    <w:abstractNumId w:val="4"/>
  </w:num>
  <w:num w:numId="11" w16cid:durableId="1311594230">
    <w:abstractNumId w:val="8"/>
  </w:num>
  <w:num w:numId="12" w16cid:durableId="903179943">
    <w:abstractNumId w:val="8"/>
  </w:num>
  <w:num w:numId="13" w16cid:durableId="1929344493">
    <w:abstractNumId w:val="3"/>
  </w:num>
  <w:num w:numId="14" w16cid:durableId="1020204194">
    <w:abstractNumId w:val="3"/>
  </w:num>
  <w:num w:numId="15" w16cid:durableId="1237595075">
    <w:abstractNumId w:val="2"/>
  </w:num>
  <w:num w:numId="16" w16cid:durableId="1639530429">
    <w:abstractNumId w:val="2"/>
  </w:num>
  <w:num w:numId="17" w16cid:durableId="537863201">
    <w:abstractNumId w:val="1"/>
  </w:num>
  <w:num w:numId="18" w16cid:durableId="1802386016">
    <w:abstractNumId w:val="1"/>
  </w:num>
  <w:num w:numId="19" w16cid:durableId="386152964">
    <w:abstractNumId w:val="0"/>
  </w:num>
  <w:num w:numId="20" w16cid:durableId="1933976615">
    <w:abstractNumId w:val="0"/>
  </w:num>
  <w:num w:numId="21" w16cid:durableId="1533305925">
    <w:abstractNumId w:val="9"/>
  </w:num>
  <w:num w:numId="22" w16cid:durableId="1896971055">
    <w:abstractNumId w:val="7"/>
  </w:num>
  <w:num w:numId="23" w16cid:durableId="105926685">
    <w:abstractNumId w:val="6"/>
  </w:num>
  <w:num w:numId="24" w16cid:durableId="178589797">
    <w:abstractNumId w:val="5"/>
  </w:num>
  <w:num w:numId="25" w16cid:durableId="123473212">
    <w:abstractNumId w:val="4"/>
  </w:num>
  <w:num w:numId="26" w16cid:durableId="392584180">
    <w:abstractNumId w:val="8"/>
  </w:num>
  <w:num w:numId="27" w16cid:durableId="1181041129">
    <w:abstractNumId w:val="3"/>
  </w:num>
  <w:num w:numId="28" w16cid:durableId="444620586">
    <w:abstractNumId w:val="2"/>
  </w:num>
  <w:num w:numId="29" w16cid:durableId="36588355">
    <w:abstractNumId w:val="1"/>
  </w:num>
  <w:num w:numId="30" w16cid:durableId="587421508">
    <w:abstractNumId w:val="0"/>
  </w:num>
  <w:num w:numId="31" w16cid:durableId="319890389">
    <w:abstractNumId w:val="9"/>
  </w:num>
  <w:num w:numId="32" w16cid:durableId="401025343">
    <w:abstractNumId w:val="7"/>
  </w:num>
  <w:num w:numId="33" w16cid:durableId="333340551">
    <w:abstractNumId w:val="6"/>
  </w:num>
  <w:num w:numId="34" w16cid:durableId="1856531906">
    <w:abstractNumId w:val="5"/>
  </w:num>
  <w:num w:numId="35" w16cid:durableId="175384090">
    <w:abstractNumId w:val="4"/>
  </w:num>
  <w:num w:numId="36" w16cid:durableId="1231503798">
    <w:abstractNumId w:val="8"/>
  </w:num>
  <w:num w:numId="37" w16cid:durableId="1904098932">
    <w:abstractNumId w:val="3"/>
  </w:num>
  <w:num w:numId="38" w16cid:durableId="1135752589">
    <w:abstractNumId w:val="2"/>
  </w:num>
  <w:num w:numId="39" w16cid:durableId="1946576613">
    <w:abstractNumId w:val="1"/>
  </w:num>
  <w:num w:numId="40" w16cid:durableId="1628855347">
    <w:abstractNumId w:val="0"/>
  </w:num>
  <w:num w:numId="41" w16cid:durableId="887648139">
    <w:abstractNumId w:val="10"/>
  </w:num>
  <w:num w:numId="42" w16cid:durableId="1667902226">
    <w:abstractNumId w:val="10"/>
  </w:num>
  <w:num w:numId="43" w16cid:durableId="1951424432">
    <w:abstractNumId w:val="10"/>
  </w:num>
  <w:num w:numId="44" w16cid:durableId="2080357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02/2025"/>
    <w:docVar w:name="dvlangue" w:val="PT"/>
    <w:docVar w:name="dvnumam" w:val="0"/>
    <w:docVar w:name="dvpe" w:val="774.519"/>
    <w:docVar w:name="dvtitre" w:val="Decisão do Parlamento Europeu, de ... de ... de 2025,_x000d__x000a_ referente à não formulação de objeções ao Regulamento Delegado da Comissão, de 12 de junho de 2025, que altera o Regulamento Delegado (UE) n.º 2025/530 da Comissão no que diz respeito à sua data de início da aplicação(C(2025)03819 – 2025/2766(DEA))"/>
  </w:docVars>
  <w:rsids>
    <w:rsidRoot w:val="00E0459D"/>
    <w:rsid w:val="00002272"/>
    <w:rsid w:val="00043A2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BFC"/>
    <w:rsid w:val="002767FF"/>
    <w:rsid w:val="002B18FE"/>
    <w:rsid w:val="002B5493"/>
    <w:rsid w:val="00343214"/>
    <w:rsid w:val="00361C00"/>
    <w:rsid w:val="00374D0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270"/>
    <w:rsid w:val="00545827"/>
    <w:rsid w:val="00560270"/>
    <w:rsid w:val="0058662F"/>
    <w:rsid w:val="00592C8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E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FD4"/>
    <w:rsid w:val="00B558F0"/>
    <w:rsid w:val="00BD48FE"/>
    <w:rsid w:val="00BD7BD8"/>
    <w:rsid w:val="00BE6ADC"/>
    <w:rsid w:val="00C05BFE"/>
    <w:rsid w:val="00C23CD4"/>
    <w:rsid w:val="00C60889"/>
    <w:rsid w:val="00C61C0C"/>
    <w:rsid w:val="00C83A6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59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BCF"/>
    <w:rsid w:val="00F662C3"/>
    <w:rsid w:val="00F74202"/>
    <w:rsid w:val="00F87713"/>
    <w:rsid w:val="00FA477E"/>
    <w:rsid w:val="00FB4360"/>
    <w:rsid w:val="00FD019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C57D2"/>
  <w15:chartTrackingRefBased/>
  <w15:docId w15:val="{58C2745C-B373-47DA-9C7D-4BA7C681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2C81"/>
    <w:pPr>
      <w:spacing w:before="480" w:after="240"/>
    </w:pPr>
  </w:style>
  <w:style w:type="paragraph" w:customStyle="1" w:styleId="NormalHanging12a">
    <w:name w:val="NormalHanging12a"/>
    <w:basedOn w:val="Normal"/>
    <w:rsid w:val="00592C81"/>
    <w:pPr>
      <w:spacing w:after="240"/>
      <w:ind w:left="567" w:hanging="567"/>
    </w:pPr>
  </w:style>
  <w:style w:type="character" w:styleId="Hyperlink">
    <w:name w:val="Hyperlink"/>
    <w:basedOn w:val="DefaultParagraphFont"/>
    <w:rsid w:val="00374D0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374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74D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74D0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74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74D0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74D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4D06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374D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6A4E1-62DD-40E2-B970-ACC5A03F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2026-02-03T17:38:00Z</dcterms:created>
  <dcterms:modified xsi:type="dcterms:W3CDTF">2026-02-03T17:38:00Z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B10-0302/2025</vt:lpwstr>
  </property>
  <property fmtid="{D5CDD505-2E9C-101B-9397-08002B2CF9AE}" pid="4" name="&lt;Type&gt;">
    <vt:lpwstr>RR</vt:lpwstr>
  </property>
</Properties>
</file>