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2033D2" w14:paraId="049A2373" w14:textId="77777777" w:rsidTr="0010095E">
        <w:trPr>
          <w:trHeight w:hRule="exact" w:val="1418"/>
        </w:trPr>
        <w:tc>
          <w:tcPr>
            <w:tcW w:w="6804" w:type="dxa"/>
            <w:shd w:val="clear" w:color="auto" w:fill="auto"/>
            <w:vAlign w:val="center"/>
          </w:tcPr>
          <w:p w14:paraId="323E6953" w14:textId="77777777" w:rsidR="00751A4A" w:rsidRPr="002033D2" w:rsidRDefault="008E3D91" w:rsidP="0010095E">
            <w:pPr>
              <w:pStyle w:val="EPName"/>
            </w:pPr>
            <w:r w:rsidRPr="002033D2">
              <w:t>Parlamentul European</w:t>
            </w:r>
          </w:p>
          <w:p w14:paraId="1F5B542B" w14:textId="77777777" w:rsidR="00751A4A" w:rsidRPr="002033D2" w:rsidRDefault="005F1B17" w:rsidP="005F1B17">
            <w:pPr>
              <w:pStyle w:val="EPTerm"/>
              <w:rPr>
                <w:rStyle w:val="HideTWBExt"/>
                <w:noProof w:val="0"/>
                <w:vanish w:val="0"/>
                <w:color w:val="auto"/>
              </w:rPr>
            </w:pPr>
            <w:r w:rsidRPr="002033D2">
              <w:t>2024</w:t>
            </w:r>
            <w:r w:rsidR="00817416" w:rsidRPr="002033D2">
              <w:t>-202</w:t>
            </w:r>
            <w:r w:rsidRPr="002033D2">
              <w:t>9</w:t>
            </w:r>
          </w:p>
        </w:tc>
        <w:tc>
          <w:tcPr>
            <w:tcW w:w="2268" w:type="dxa"/>
            <w:shd w:val="clear" w:color="auto" w:fill="auto"/>
          </w:tcPr>
          <w:p w14:paraId="0DB8C63F" w14:textId="77777777" w:rsidR="00751A4A" w:rsidRPr="002033D2" w:rsidRDefault="00187494" w:rsidP="0010095E">
            <w:pPr>
              <w:pStyle w:val="EPLogo"/>
            </w:pPr>
            <w:r w:rsidRPr="002033D2">
              <w:rPr>
                <w:noProof/>
                <w:lang w:val="en-GB"/>
              </w:rPr>
              <w:drawing>
                <wp:inline distT="0" distB="0" distL="0" distR="0" wp14:anchorId="49C4248E" wp14:editId="04BB3654">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84EADF9" w14:textId="77777777" w:rsidR="00D058B8" w:rsidRPr="002033D2" w:rsidRDefault="00D058B8" w:rsidP="004C5D52">
      <w:pPr>
        <w:pStyle w:val="LineTop"/>
      </w:pPr>
    </w:p>
    <w:p w14:paraId="6D74EFF6" w14:textId="77777777" w:rsidR="00680577" w:rsidRPr="002033D2" w:rsidRDefault="008E3D91" w:rsidP="00680577">
      <w:pPr>
        <w:pStyle w:val="EPBodyTA1"/>
      </w:pPr>
      <w:r w:rsidRPr="002033D2">
        <w:t>TEXTE ADOPTATE</w:t>
      </w:r>
    </w:p>
    <w:p w14:paraId="3A26ADA6" w14:textId="77777777" w:rsidR="00D058B8" w:rsidRPr="002033D2" w:rsidRDefault="00D058B8" w:rsidP="00D058B8">
      <w:pPr>
        <w:pStyle w:val="LineBottom"/>
      </w:pPr>
    </w:p>
    <w:p w14:paraId="78E087C0" w14:textId="77777777" w:rsidR="008E3D91" w:rsidRPr="002033D2" w:rsidRDefault="008E3D91" w:rsidP="008E3D91">
      <w:pPr>
        <w:pStyle w:val="ATHeading1"/>
      </w:pPr>
      <w:bookmarkStart w:id="0" w:name="TANumber"/>
      <w:r w:rsidRPr="002033D2">
        <w:t>P10_TA(2025)</w:t>
      </w:r>
      <w:bookmarkEnd w:id="0"/>
      <w:r w:rsidR="002033D2" w:rsidRPr="002033D2">
        <w:t>0148</w:t>
      </w:r>
    </w:p>
    <w:p w14:paraId="58C4D7C5" w14:textId="77777777" w:rsidR="008E3D91" w:rsidRPr="002033D2" w:rsidRDefault="000C4027" w:rsidP="008E3D91">
      <w:pPr>
        <w:pStyle w:val="ATHeading2"/>
      </w:pPr>
      <w:bookmarkStart w:id="1" w:name="title"/>
      <w:r w:rsidRPr="002033D2">
        <w:t xml:space="preserve">Decizia de a nu formula obiecții </w:t>
      </w:r>
      <w:r w:rsidR="00515674" w:rsidRPr="002033D2">
        <w:t>la un act delegat: m</w:t>
      </w:r>
      <w:r w:rsidR="008E3D91" w:rsidRPr="002033D2">
        <w:t>odificarea Regulamentului delegat (UE) 2025/530 în ceea ce privește data aplicării</w:t>
      </w:r>
      <w:bookmarkEnd w:id="1"/>
    </w:p>
    <w:p w14:paraId="129686B2" w14:textId="77777777" w:rsidR="008E3D91" w:rsidRPr="002033D2" w:rsidRDefault="008E3D91" w:rsidP="008E3D91">
      <w:pPr>
        <w:rPr>
          <w:i/>
          <w:vanish/>
        </w:rPr>
      </w:pPr>
      <w:r w:rsidRPr="002033D2">
        <w:rPr>
          <w:i/>
        </w:rPr>
        <w:fldChar w:fldCharType="begin"/>
      </w:r>
      <w:r w:rsidRPr="002033D2">
        <w:rPr>
          <w:i/>
        </w:rPr>
        <w:instrText xml:space="preserve"> TC"(</w:instrText>
      </w:r>
      <w:bookmarkStart w:id="2" w:name="DocNumber"/>
      <w:r w:rsidRPr="002033D2">
        <w:rPr>
          <w:i/>
        </w:rPr>
        <w:instrText>B10-0302/2025</w:instrText>
      </w:r>
      <w:bookmarkEnd w:id="2"/>
      <w:r w:rsidRPr="002033D2">
        <w:rPr>
          <w:i/>
        </w:rPr>
        <w:instrText xml:space="preserve">)"\l3 \n&gt; \* MERGEFORMAT </w:instrText>
      </w:r>
      <w:r w:rsidRPr="002033D2">
        <w:rPr>
          <w:i/>
        </w:rPr>
        <w:fldChar w:fldCharType="end"/>
      </w:r>
    </w:p>
    <w:p w14:paraId="33BA243F" w14:textId="77777777" w:rsidR="008E3D91" w:rsidRPr="002033D2" w:rsidRDefault="008E3D91" w:rsidP="008E3D91">
      <w:pPr>
        <w:rPr>
          <w:vanish/>
        </w:rPr>
      </w:pPr>
      <w:bookmarkStart w:id="3" w:name="PE"/>
      <w:r w:rsidRPr="002033D2">
        <w:rPr>
          <w:vanish/>
        </w:rPr>
        <w:t>PE774.519</w:t>
      </w:r>
      <w:bookmarkEnd w:id="3"/>
    </w:p>
    <w:p w14:paraId="070D469A" w14:textId="77777777" w:rsidR="008E3D91" w:rsidRPr="002033D2" w:rsidRDefault="00515674" w:rsidP="002033D2">
      <w:pPr>
        <w:pStyle w:val="ATHeading3"/>
      </w:pPr>
      <w:bookmarkStart w:id="4" w:name="Sujet"/>
      <w:r w:rsidRPr="002033D2">
        <w:t xml:space="preserve">Decizia </w:t>
      </w:r>
      <w:r w:rsidR="008E3D91" w:rsidRPr="002033D2">
        <w:t>Parlamentului European de a nu formula obiecții la Regulamentul delegat al Comisiei din 12 iunie 2025 de modificare a Regulamentului delegat (UE) 2025/530 al Comisiei în ceea ce privește data aplicării</w:t>
      </w:r>
      <w:bookmarkEnd w:id="4"/>
      <w:r w:rsidR="008E3D91" w:rsidRPr="002033D2">
        <w:t xml:space="preserve"> </w:t>
      </w:r>
      <w:bookmarkStart w:id="5" w:name="References"/>
      <w:r w:rsidR="008E3D91" w:rsidRPr="002033D2">
        <w:t>(C(2025)03819 – 2025/2766(DEA))</w:t>
      </w:r>
      <w:bookmarkEnd w:id="5"/>
    </w:p>
    <w:p w14:paraId="235A40E3" w14:textId="77777777" w:rsidR="003B3813" w:rsidRPr="002033D2" w:rsidRDefault="003B3813" w:rsidP="003B3813">
      <w:pPr>
        <w:pStyle w:val="EPComma"/>
      </w:pPr>
      <w:bookmarkStart w:id="6" w:name="TextBodyBegin"/>
      <w:bookmarkEnd w:id="6"/>
      <w:r w:rsidRPr="002033D2">
        <w:rPr>
          <w:i/>
        </w:rPr>
        <w:t>Parlamentul European</w:t>
      </w:r>
      <w:r w:rsidRPr="002033D2">
        <w:t>,</w:t>
      </w:r>
    </w:p>
    <w:p w14:paraId="58780E1E" w14:textId="77777777" w:rsidR="003B3813" w:rsidRPr="002033D2" w:rsidRDefault="003B3813" w:rsidP="003B3813">
      <w:pPr>
        <w:pStyle w:val="NormalHanging12a"/>
      </w:pPr>
      <w:r w:rsidRPr="002033D2">
        <w:t>–</w:t>
      </w:r>
      <w:r w:rsidRPr="002033D2">
        <w:tab/>
        <w:t>având în vedere regulamentul delegat al Comisiei (C(2025)03819),</w:t>
      </w:r>
    </w:p>
    <w:p w14:paraId="10C283F2" w14:textId="77777777" w:rsidR="003B3813" w:rsidRPr="002033D2" w:rsidRDefault="003B3813" w:rsidP="003B3813">
      <w:pPr>
        <w:pStyle w:val="NormalHanging12a"/>
      </w:pPr>
      <w:r w:rsidRPr="002033D2">
        <w:t>–</w:t>
      </w:r>
      <w:r w:rsidRPr="002033D2">
        <w:tab/>
        <w:t>având în vedere scrisoarea Comisiei din 6 iunie 2025 prin care aceasta îi solicită să declare că nu va formula obiecții la regulamentul delegat,</w:t>
      </w:r>
    </w:p>
    <w:p w14:paraId="114C95BC" w14:textId="77777777" w:rsidR="003B3813" w:rsidRPr="002033D2" w:rsidRDefault="003B3813" w:rsidP="003B3813">
      <w:pPr>
        <w:pStyle w:val="NormalHanging12a"/>
      </w:pPr>
      <w:r w:rsidRPr="002033D2">
        <w:t>–</w:t>
      </w:r>
      <w:r w:rsidRPr="002033D2">
        <w:tab/>
        <w:t>având în vedere scrisoarea Comisiei pentru comerț internațional trimisă președintelui Conferinței președinților de comisie la 25 iunie 2025,</w:t>
      </w:r>
    </w:p>
    <w:p w14:paraId="42191754" w14:textId="77777777" w:rsidR="003B3813" w:rsidRPr="002033D2" w:rsidRDefault="003B3813" w:rsidP="003B3813">
      <w:pPr>
        <w:pStyle w:val="NormalHanging12a"/>
      </w:pPr>
      <w:r w:rsidRPr="002033D2">
        <w:t>–</w:t>
      </w:r>
      <w:r w:rsidRPr="002033D2">
        <w:tab/>
        <w:t>având în vedere articolul 290 din Tratatul privind funcționarea Uniunii Europene,</w:t>
      </w:r>
    </w:p>
    <w:p w14:paraId="57A0B6AC" w14:textId="77777777" w:rsidR="003B3813" w:rsidRPr="002033D2" w:rsidRDefault="003B3813" w:rsidP="003B3813">
      <w:pPr>
        <w:pStyle w:val="NormalHanging12a"/>
      </w:pPr>
      <w:r w:rsidRPr="002033D2">
        <w:t>–</w:t>
      </w:r>
      <w:r w:rsidRPr="002033D2">
        <w:tab/>
        <w:t>având în vedere Regulamentul (CE) nr. 2173/2005 al Consiliului din 20 decembrie 2005 privind instituirea unui regim de licențe FLEGT pentru importurile de lemn în Comunitatea Europeană</w:t>
      </w:r>
      <w:r w:rsidRPr="002033D2">
        <w:rPr>
          <w:rStyle w:val="FootnoteReference"/>
        </w:rPr>
        <w:footnoteReference w:id="1"/>
      </w:r>
      <w:r w:rsidRPr="002033D2">
        <w:t>, în special articolul 10 alineatele (1) și (3) și articolul 11a alineatul (5),</w:t>
      </w:r>
    </w:p>
    <w:p w14:paraId="4B8CD76D" w14:textId="77777777" w:rsidR="003B3813" w:rsidRPr="002033D2" w:rsidRDefault="003B3813" w:rsidP="003B3813">
      <w:pPr>
        <w:pStyle w:val="NormalHanging12a"/>
      </w:pPr>
      <w:r w:rsidRPr="002033D2">
        <w:t>–</w:t>
      </w:r>
      <w:r w:rsidRPr="002033D2">
        <w:tab/>
        <w:t>având în vedere Regulamentul delegat (UE) 2025/530 al Comisiei</w:t>
      </w:r>
      <w:r w:rsidRPr="002033D2">
        <w:rPr>
          <w:vertAlign w:val="superscript"/>
        </w:rPr>
        <w:footnoteReference w:id="2"/>
      </w:r>
      <w:r w:rsidRPr="002033D2">
        <w:t>,</w:t>
      </w:r>
    </w:p>
    <w:p w14:paraId="75313C7F" w14:textId="77777777" w:rsidR="003B3813" w:rsidRPr="002033D2" w:rsidRDefault="003B3813" w:rsidP="003B3813">
      <w:pPr>
        <w:pStyle w:val="NormalHanging12a"/>
      </w:pPr>
      <w:r w:rsidRPr="002033D2">
        <w:t>–</w:t>
      </w:r>
      <w:r w:rsidRPr="002033D2">
        <w:tab/>
        <w:t>având în vedere articolul 114 alineatul (6) din Regulamentul său de procedură,</w:t>
      </w:r>
    </w:p>
    <w:p w14:paraId="7CEAD469" w14:textId="77777777" w:rsidR="003B3813" w:rsidRPr="002033D2" w:rsidRDefault="003B3813" w:rsidP="003B3813">
      <w:pPr>
        <w:pStyle w:val="NormalHanging12a"/>
      </w:pPr>
      <w:r w:rsidRPr="002033D2">
        <w:t>–</w:t>
      </w:r>
      <w:r w:rsidRPr="002033D2">
        <w:tab/>
        <w:t>având în vedere recomandarea de decizie a Comisiei pentru comerț internațional,</w:t>
      </w:r>
    </w:p>
    <w:p w14:paraId="57E3BF26" w14:textId="77777777" w:rsidR="000C4027" w:rsidRPr="002033D2" w:rsidRDefault="000C4027" w:rsidP="003B3813">
      <w:pPr>
        <w:pStyle w:val="NormalHanging12a"/>
      </w:pPr>
      <w:r w:rsidRPr="002033D2">
        <w:t>–</w:t>
      </w:r>
      <w:r w:rsidRPr="002033D2">
        <w:tab/>
        <w:t xml:space="preserve">având în vedere faptul că nu au fost formulate obiecții în termenul prevăzut la articolul 114 alineatul (6) a treia și a patra liniuță din Regulamentul său de procedură, care a </w:t>
      </w:r>
      <w:r w:rsidRPr="002033D2">
        <w:lastRenderedPageBreak/>
        <w:t>expirat la 8 iulie 2025,</w:t>
      </w:r>
    </w:p>
    <w:p w14:paraId="5728EA26" w14:textId="77777777" w:rsidR="003B3813" w:rsidRPr="002033D2" w:rsidRDefault="003B3813" w:rsidP="003B3813">
      <w:pPr>
        <w:pStyle w:val="NormalHanging12a"/>
      </w:pPr>
      <w:r w:rsidRPr="002033D2">
        <w:t>A.</w:t>
      </w:r>
      <w:r w:rsidRPr="002033D2">
        <w:tab/>
        <w:t>întrucât Regulamentul delegat (UE) 2025/530 al Comisiei include Republica Ghana și Divizia sa pentru dezvoltarea industriei lemnului în lista din anexa I la Regulamentul (CE) nr. 2173/2005, precum și în lista produselor care fac obiectul regimului de licențe FLEGT (regimul de licențe pentru aplicarea legislației, guvernanța și schimburile comerciale în domeniul forestier) din anexa III la acest regulament; întrucât comerțul cu lemn între Uniune și Ghana este reglementat de Acordul de parteneriat voluntar între Comunitatea Europeană și Republica Ghana cu privire la aplicarea legislației în domeniul forestier, guvernanța și schimburile comerciale cu produse din lemn care intră în Comunitate (denumit în continuare „acordul”)</w:t>
      </w:r>
      <w:r w:rsidRPr="002033D2">
        <w:rPr>
          <w:vertAlign w:val="superscript"/>
        </w:rPr>
        <w:footnoteReference w:id="3"/>
      </w:r>
      <w:r w:rsidRPr="002033D2">
        <w:t>; întrucât Regulamentul delegat (UE) 2025/530 urmează să se aplice începând cu data de 8 iulie 2025;</w:t>
      </w:r>
    </w:p>
    <w:p w14:paraId="57AB895F" w14:textId="77777777" w:rsidR="003B3813" w:rsidRPr="002033D2" w:rsidRDefault="003B3813" w:rsidP="003B3813">
      <w:pPr>
        <w:pStyle w:val="NormalHanging12a"/>
      </w:pPr>
      <w:r w:rsidRPr="002033D2">
        <w:t>B.</w:t>
      </w:r>
      <w:r w:rsidRPr="002033D2">
        <w:tab/>
        <w:t>întrucât pregătirile pentru eliberarea licențelor FLEGT durează mai mult decât se preconizase, iar Ghana va începe să elibereze licențe FLEGT cel mai devreme la 30 iunie 2025; întrucât transporturile din Ghana durează între 2 și 8 săptămâni pentru a ajunge în Uniune, creând riscul ca transporturile care pleacă din Ghana înainte de 30 iunie 2025, dar ajung în Uniune după 8 iulie 2025 să nu fie însoțite de o licență FLEGT și, prin urmare, să nu poată intra în Uniune;</w:t>
      </w:r>
    </w:p>
    <w:p w14:paraId="6AC1EBFC" w14:textId="77777777" w:rsidR="003B3813" w:rsidRPr="002033D2" w:rsidRDefault="003B3813" w:rsidP="003B3813">
      <w:pPr>
        <w:pStyle w:val="NormalHanging12a"/>
      </w:pPr>
      <w:r w:rsidRPr="002033D2">
        <w:t>C.</w:t>
      </w:r>
      <w:r w:rsidRPr="002033D2">
        <w:tab/>
        <w:t>întrucât există un risc semnificativ ca transporturile de lemn care sosesc în Uniune începând cu 8 iulie 2025 să nu facă obiectul unei licențe FLEGT, deoarece este posibil ca acestea să fi fost expediate înainte ca Ghana să înceapă să elibereze licențe FLEGT; întrucât această situație ar putea genera perturbarea comerțului, ar submina credibilitatea acordului ca instrument de facilitare a comerțului și ar avea un impact negativ asupra operatorilor economici din Ghana și din Uniune;</w:t>
      </w:r>
    </w:p>
    <w:p w14:paraId="2C8700A9" w14:textId="77777777" w:rsidR="003B3813" w:rsidRPr="002033D2" w:rsidRDefault="003B3813" w:rsidP="003B3813">
      <w:pPr>
        <w:pStyle w:val="NormalHanging12a"/>
      </w:pPr>
      <w:r w:rsidRPr="002033D2">
        <w:t>D.</w:t>
      </w:r>
      <w:r w:rsidRPr="002033D2">
        <w:tab/>
        <w:t>întrucât data de la care trebuie să se aplice Regulamentul delegat (UE) 2025/530 ar trebui adaptată pentru a acorda suficient timp astfel încât transporturile care părăsesc Ghana înainte de 30 iunie 2025 să ajungă în Uniune fără obligația de a face obiectul unei licențe FLEGT;</w:t>
      </w:r>
    </w:p>
    <w:p w14:paraId="52310C44" w14:textId="77777777" w:rsidR="003B3813" w:rsidRPr="002033D2" w:rsidRDefault="003B3813" w:rsidP="003B3813">
      <w:pPr>
        <w:pStyle w:val="NormalHanging12a"/>
      </w:pPr>
      <w:r w:rsidRPr="002033D2">
        <w:t>E.</w:t>
      </w:r>
      <w:r w:rsidRPr="002033D2">
        <w:tab/>
        <w:t>întrucât Regulamentul delegat (UE) 2025/530 ar trebui, prin urmare, modificat în consecință,</w:t>
      </w:r>
    </w:p>
    <w:p w14:paraId="3EB0615F" w14:textId="77777777" w:rsidR="003B3813" w:rsidRPr="002033D2" w:rsidRDefault="003B3813" w:rsidP="003B3813">
      <w:pPr>
        <w:pStyle w:val="NormalHanging12a"/>
      </w:pPr>
      <w:r w:rsidRPr="002033D2">
        <w:t>1.</w:t>
      </w:r>
      <w:r w:rsidRPr="002033D2">
        <w:tab/>
        <w:t>declară că nu formulează obiecții la regulamentul delegat;</w:t>
      </w:r>
    </w:p>
    <w:p w14:paraId="0F945D18" w14:textId="77777777" w:rsidR="00E365E1" w:rsidRPr="002033D2" w:rsidRDefault="003B3813" w:rsidP="002033D2">
      <w:pPr>
        <w:pStyle w:val="NormalHanging12a"/>
      </w:pPr>
      <w:r w:rsidRPr="002033D2">
        <w:t>2.</w:t>
      </w:r>
      <w:r w:rsidRPr="002033D2">
        <w:tab/>
        <w:t>încredințează Președintei sarcina de a transmite prezenta decizie Consiliului și Comisiei.</w:t>
      </w:r>
    </w:p>
    <w:sectPr w:rsidR="00E365E1" w:rsidRPr="002033D2" w:rsidSect="00B64761">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020B19E" w14:textId="77777777" w:rsidR="008E3D91" w:rsidRPr="00B64761" w:rsidRDefault="008E3D91">
      <w:r w:rsidRPr="00B64761">
        <w:separator/>
      </w:r>
    </w:p>
  </w:endnote>
  <w:endnote w:type="continuationSeparator" w:id="0">
    <w:p w14:paraId="4A676BC0" w14:textId="77777777" w:rsidR="008E3D91" w:rsidRPr="00B64761" w:rsidRDefault="008E3D91">
      <w:r w:rsidRPr="00B6476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084D7F" w14:textId="77777777" w:rsidR="00064002" w:rsidRPr="00B64761"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6D64C4" w14:textId="77777777" w:rsidR="00064002" w:rsidRPr="00B64761"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D3CF24" w14:textId="77777777" w:rsidR="00064002" w:rsidRPr="00B64761"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BE2EF24" w14:textId="77777777" w:rsidR="008E3D91" w:rsidRPr="00B64761" w:rsidRDefault="008E3D91">
      <w:r w:rsidRPr="00B64761">
        <w:separator/>
      </w:r>
    </w:p>
  </w:footnote>
  <w:footnote w:type="continuationSeparator" w:id="0">
    <w:p w14:paraId="3B53E01D" w14:textId="77777777" w:rsidR="008E3D91" w:rsidRPr="00B64761" w:rsidRDefault="008E3D91">
      <w:r w:rsidRPr="00B64761">
        <w:continuationSeparator/>
      </w:r>
    </w:p>
  </w:footnote>
  <w:footnote w:id="1">
    <w:p w14:paraId="7292C575" w14:textId="77777777" w:rsidR="003B3813" w:rsidRPr="00B64761" w:rsidRDefault="003B3813" w:rsidP="00B64761">
      <w:pPr>
        <w:pStyle w:val="FootnoteText"/>
        <w:ind w:left="567" w:hanging="567"/>
        <w:rPr>
          <w:sz w:val="24"/>
          <w:lang w:val="ro-RO"/>
        </w:rPr>
      </w:pPr>
      <w:r w:rsidRPr="00B64761">
        <w:rPr>
          <w:rStyle w:val="FootnoteReference"/>
          <w:sz w:val="24"/>
          <w:lang w:val="ro-RO"/>
        </w:rPr>
        <w:footnoteRef/>
      </w:r>
      <w:r w:rsidR="00B64761" w:rsidRPr="00B64761">
        <w:rPr>
          <w:sz w:val="24"/>
          <w:lang w:val="ro-RO"/>
        </w:rPr>
        <w:t xml:space="preserve"> </w:t>
      </w:r>
      <w:r w:rsidR="00B64761" w:rsidRPr="00B64761">
        <w:rPr>
          <w:sz w:val="24"/>
          <w:lang w:val="ro-RO"/>
        </w:rPr>
        <w:tab/>
      </w:r>
      <w:r w:rsidRPr="00B64761">
        <w:rPr>
          <w:sz w:val="24"/>
          <w:lang w:val="ro-RO"/>
        </w:rPr>
        <w:t xml:space="preserve">JO L 347, 30.12.2005, p. 1, ELI: </w:t>
      </w:r>
      <w:hyperlink r:id="rId1" w:history="1">
        <w:r w:rsidR="00515674" w:rsidRPr="00B80EC5">
          <w:rPr>
            <w:rStyle w:val="Hyperlink"/>
            <w:sz w:val="24"/>
            <w:lang w:val="ro-RO"/>
          </w:rPr>
          <w:t>http://data.europa.eu/eli/reg/2005/2173/oj</w:t>
        </w:r>
      </w:hyperlink>
      <w:r w:rsidRPr="00B64761">
        <w:rPr>
          <w:sz w:val="24"/>
          <w:lang w:val="ro-RO"/>
        </w:rPr>
        <w:t>.</w:t>
      </w:r>
    </w:p>
  </w:footnote>
  <w:footnote w:id="2">
    <w:p w14:paraId="03AE06AE" w14:textId="1E0A5389" w:rsidR="003B3813" w:rsidRPr="00B64761" w:rsidRDefault="003B3813" w:rsidP="00B64761">
      <w:pPr>
        <w:pStyle w:val="FootnoteText"/>
        <w:ind w:left="567" w:hanging="567"/>
        <w:rPr>
          <w:sz w:val="24"/>
          <w:lang w:val="ro-RO"/>
        </w:rPr>
      </w:pPr>
      <w:r w:rsidRPr="00B64761">
        <w:rPr>
          <w:rStyle w:val="FootnoteReference"/>
          <w:sz w:val="24"/>
          <w:lang w:val="ro-RO"/>
        </w:rPr>
        <w:footnoteRef/>
      </w:r>
      <w:r w:rsidR="00B64761" w:rsidRPr="00B64761">
        <w:rPr>
          <w:sz w:val="24"/>
          <w:lang w:val="ro-RO"/>
        </w:rPr>
        <w:t xml:space="preserve"> </w:t>
      </w:r>
      <w:r w:rsidR="00B64761" w:rsidRPr="00B64761">
        <w:rPr>
          <w:sz w:val="24"/>
          <w:lang w:val="ro-RO"/>
        </w:rPr>
        <w:tab/>
      </w:r>
      <w:r w:rsidRPr="00B64761">
        <w:rPr>
          <w:sz w:val="24"/>
          <w:lang w:val="ro-RO"/>
        </w:rPr>
        <w:t>Regulamentul delegat (UE) 2025/530 al Comisiei din 30 octombrie 2024 de modificare a anexelor I și III la Regulamentul (CE) nr. </w:t>
      </w:r>
      <w:r w:rsidRPr="00B64761">
        <w:rPr>
          <w:sz w:val="24"/>
          <w:lang w:val="ro-RO"/>
        </w:rPr>
        <w:t xml:space="preserve">2173/2005 al Consiliului în urma unui acord de parteneriat voluntar cu Republica Ghana privind un regim de licențe pentru aplicarea reglementărilor forestiere, guvernare și schimburi comerciale (FLEGT) pentru importurile de lemn în Uniunea Europeană (JO L, 2025/530, 20.3.2025, ELI: </w:t>
      </w:r>
      <w:r w:rsidR="00717452">
        <w:fldChar w:fldCharType="begin"/>
      </w:r>
      <w:r w:rsidR="00717452" w:rsidRPr="00717452">
        <w:rPr>
          <w:lang w:val="ro-RO"/>
        </w:rPr>
        <w:instrText>HYPERLINK "http://data.europa.eu/eli/reg_del/2025/530/oj"</w:instrText>
      </w:r>
      <w:r w:rsidR="00717452">
        <w:fldChar w:fldCharType="separate"/>
      </w:r>
      <w:r w:rsidR="00515674" w:rsidRPr="00B80EC5">
        <w:rPr>
          <w:rStyle w:val="Hyperlink"/>
          <w:sz w:val="24"/>
          <w:lang w:val="ro-RO"/>
        </w:rPr>
        <w:t>http://data.europa.eu/eli/reg_del/2025/530/oj</w:t>
      </w:r>
      <w:r w:rsidR="00717452">
        <w:rPr>
          <w:rStyle w:val="Hyperlink"/>
          <w:sz w:val="24"/>
          <w:lang w:val="ro-RO"/>
        </w:rPr>
        <w:fldChar w:fldCharType="end"/>
      </w:r>
      <w:r w:rsidRPr="00B64761">
        <w:rPr>
          <w:sz w:val="24"/>
          <w:lang w:val="ro-RO"/>
        </w:rPr>
        <w:t>).</w:t>
      </w:r>
    </w:p>
  </w:footnote>
  <w:footnote w:id="3">
    <w:p w14:paraId="4642E759" w14:textId="77777777" w:rsidR="003B3813" w:rsidRPr="00B64761" w:rsidRDefault="003B3813" w:rsidP="00B64761">
      <w:pPr>
        <w:pStyle w:val="FootnoteText"/>
        <w:ind w:left="567" w:hanging="567"/>
        <w:rPr>
          <w:sz w:val="24"/>
          <w:lang w:val="ro-RO"/>
        </w:rPr>
      </w:pPr>
      <w:r w:rsidRPr="00B64761">
        <w:rPr>
          <w:rStyle w:val="FootnoteReference"/>
          <w:sz w:val="24"/>
          <w:lang w:val="ro-RO"/>
        </w:rPr>
        <w:footnoteRef/>
      </w:r>
      <w:r w:rsidR="00B64761" w:rsidRPr="00B64761">
        <w:rPr>
          <w:sz w:val="24"/>
          <w:lang w:val="ro-RO"/>
        </w:rPr>
        <w:t xml:space="preserve"> </w:t>
      </w:r>
      <w:r w:rsidR="00B64761" w:rsidRPr="00B64761">
        <w:rPr>
          <w:sz w:val="24"/>
          <w:lang w:val="ro-RO"/>
        </w:rPr>
        <w:tab/>
      </w:r>
      <w:r w:rsidRPr="00B64761">
        <w:rPr>
          <w:sz w:val="24"/>
          <w:lang w:val="ro-RO"/>
        </w:rPr>
        <w:t>Acord de parteneriat voluntar între Comunitatea Europeană și Republica Ghana cu privire la asigurarea aplicării legislației în domeniul forestier, guvernanța și schimburile comerciale cu produse din lemn care intră în Comunitate (JO L 70, 19.3.2010, p. 3).</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A91A86" w14:textId="77777777" w:rsidR="00064002" w:rsidRPr="00B64761"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CA1B55" w14:textId="77777777" w:rsidR="00064002" w:rsidRPr="00B64761"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42344B" w14:textId="77777777" w:rsidR="00064002" w:rsidRPr="00B64761"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972711628">
    <w:abstractNumId w:val="9"/>
  </w:num>
  <w:num w:numId="2" w16cid:durableId="563561909">
    <w:abstractNumId w:val="9"/>
  </w:num>
  <w:num w:numId="3" w16cid:durableId="989404621">
    <w:abstractNumId w:val="7"/>
  </w:num>
  <w:num w:numId="4" w16cid:durableId="279839946">
    <w:abstractNumId w:val="7"/>
  </w:num>
  <w:num w:numId="5" w16cid:durableId="488794229">
    <w:abstractNumId w:val="6"/>
  </w:num>
  <w:num w:numId="6" w16cid:durableId="1662345618">
    <w:abstractNumId w:val="6"/>
  </w:num>
  <w:num w:numId="7" w16cid:durableId="269122871">
    <w:abstractNumId w:val="5"/>
  </w:num>
  <w:num w:numId="8" w16cid:durableId="1934245963">
    <w:abstractNumId w:val="5"/>
  </w:num>
  <w:num w:numId="9" w16cid:durableId="920288113">
    <w:abstractNumId w:val="4"/>
  </w:num>
  <w:num w:numId="10" w16cid:durableId="1854807224">
    <w:abstractNumId w:val="4"/>
  </w:num>
  <w:num w:numId="11" w16cid:durableId="1652639654">
    <w:abstractNumId w:val="8"/>
  </w:num>
  <w:num w:numId="12" w16cid:durableId="1817336417">
    <w:abstractNumId w:val="8"/>
  </w:num>
  <w:num w:numId="13" w16cid:durableId="858932292">
    <w:abstractNumId w:val="3"/>
  </w:num>
  <w:num w:numId="14" w16cid:durableId="1745568795">
    <w:abstractNumId w:val="3"/>
  </w:num>
  <w:num w:numId="15" w16cid:durableId="275136604">
    <w:abstractNumId w:val="2"/>
  </w:num>
  <w:num w:numId="16" w16cid:durableId="1510681835">
    <w:abstractNumId w:val="2"/>
  </w:num>
  <w:num w:numId="17" w16cid:durableId="646394759">
    <w:abstractNumId w:val="1"/>
  </w:num>
  <w:num w:numId="18" w16cid:durableId="1634826082">
    <w:abstractNumId w:val="1"/>
  </w:num>
  <w:num w:numId="19" w16cid:durableId="308442830">
    <w:abstractNumId w:val="0"/>
  </w:num>
  <w:num w:numId="20" w16cid:durableId="1502744717">
    <w:abstractNumId w:val="0"/>
  </w:num>
  <w:num w:numId="21" w16cid:durableId="707338098">
    <w:abstractNumId w:val="9"/>
  </w:num>
  <w:num w:numId="22" w16cid:durableId="1368141858">
    <w:abstractNumId w:val="7"/>
  </w:num>
  <w:num w:numId="23" w16cid:durableId="514272653">
    <w:abstractNumId w:val="6"/>
  </w:num>
  <w:num w:numId="24" w16cid:durableId="966621675">
    <w:abstractNumId w:val="5"/>
  </w:num>
  <w:num w:numId="25" w16cid:durableId="59333947">
    <w:abstractNumId w:val="4"/>
  </w:num>
  <w:num w:numId="26" w16cid:durableId="1298562200">
    <w:abstractNumId w:val="8"/>
  </w:num>
  <w:num w:numId="27" w16cid:durableId="205027590">
    <w:abstractNumId w:val="3"/>
  </w:num>
  <w:num w:numId="28" w16cid:durableId="1736001693">
    <w:abstractNumId w:val="2"/>
  </w:num>
  <w:num w:numId="29" w16cid:durableId="1682731951">
    <w:abstractNumId w:val="1"/>
  </w:num>
  <w:num w:numId="30" w16cid:durableId="587738976">
    <w:abstractNumId w:val="0"/>
  </w:num>
  <w:num w:numId="31" w16cid:durableId="1347707202">
    <w:abstractNumId w:val="9"/>
  </w:num>
  <w:num w:numId="32" w16cid:durableId="670177477">
    <w:abstractNumId w:val="7"/>
  </w:num>
  <w:num w:numId="33" w16cid:durableId="790172209">
    <w:abstractNumId w:val="6"/>
  </w:num>
  <w:num w:numId="34" w16cid:durableId="1720398410">
    <w:abstractNumId w:val="5"/>
  </w:num>
  <w:num w:numId="35" w16cid:durableId="104160774">
    <w:abstractNumId w:val="4"/>
  </w:num>
  <w:num w:numId="36" w16cid:durableId="1981180494">
    <w:abstractNumId w:val="8"/>
  </w:num>
  <w:num w:numId="37" w16cid:durableId="1051273737">
    <w:abstractNumId w:val="3"/>
  </w:num>
  <w:num w:numId="38" w16cid:durableId="1183012190">
    <w:abstractNumId w:val="2"/>
  </w:num>
  <w:num w:numId="39" w16cid:durableId="633414693">
    <w:abstractNumId w:val="1"/>
  </w:num>
  <w:num w:numId="40" w16cid:durableId="1417705773">
    <w:abstractNumId w:val="0"/>
  </w:num>
  <w:num w:numId="41" w16cid:durableId="613630715">
    <w:abstractNumId w:val="10"/>
  </w:num>
  <w:num w:numId="42" w16cid:durableId="126513200">
    <w:abstractNumId w:val="10"/>
  </w:num>
  <w:num w:numId="43" w16cid:durableId="330334094">
    <w:abstractNumId w:val="10"/>
  </w:num>
  <w:num w:numId="44" w16cid:durableId="212325808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B10-0302/2025"/>
    <w:docVar w:name="dvlangue" w:val="RO"/>
    <w:docVar w:name="dvnumam" w:val="0"/>
    <w:docVar w:name="dvpe" w:val="774.519"/>
    <w:docVar w:name="dvtitre" w:val="Recomandarea Parlamentului European adresată Consiliului de a nu formula obiecții la Regulamentul delegat al Comisiei din 12 iunie 2025 de modificare a Regulamentului delegat (UE) 2025/530 al Comisiei în ceea ce privește data aplicării(C(2025)03819 – 2025/2766(DEA))"/>
  </w:docVars>
  <w:rsids>
    <w:rsidRoot w:val="008E3D91"/>
    <w:rsid w:val="00002272"/>
    <w:rsid w:val="00064002"/>
    <w:rsid w:val="000677B9"/>
    <w:rsid w:val="000831BA"/>
    <w:rsid w:val="000A42CC"/>
    <w:rsid w:val="000C4027"/>
    <w:rsid w:val="000E7DD9"/>
    <w:rsid w:val="0010095E"/>
    <w:rsid w:val="00125B37"/>
    <w:rsid w:val="00187494"/>
    <w:rsid w:val="001F32AE"/>
    <w:rsid w:val="002033D2"/>
    <w:rsid w:val="002767FF"/>
    <w:rsid w:val="002B18FE"/>
    <w:rsid w:val="002B5493"/>
    <w:rsid w:val="00343214"/>
    <w:rsid w:val="00361C00"/>
    <w:rsid w:val="00395FA1"/>
    <w:rsid w:val="003B3813"/>
    <w:rsid w:val="003E15D4"/>
    <w:rsid w:val="00411CCE"/>
    <w:rsid w:val="0041666E"/>
    <w:rsid w:val="00421060"/>
    <w:rsid w:val="00471C19"/>
    <w:rsid w:val="004867E3"/>
    <w:rsid w:val="00494A28"/>
    <w:rsid w:val="004C0004"/>
    <w:rsid w:val="004C5D52"/>
    <w:rsid w:val="0050519A"/>
    <w:rsid w:val="005072A1"/>
    <w:rsid w:val="00514517"/>
    <w:rsid w:val="00515674"/>
    <w:rsid w:val="00545827"/>
    <w:rsid w:val="00560270"/>
    <w:rsid w:val="005C2568"/>
    <w:rsid w:val="005F1B17"/>
    <w:rsid w:val="006037C0"/>
    <w:rsid w:val="006631B6"/>
    <w:rsid w:val="00680577"/>
    <w:rsid w:val="006F74FA"/>
    <w:rsid w:val="00717452"/>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962CB"/>
    <w:rsid w:val="008C2AC6"/>
    <w:rsid w:val="008E3D91"/>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64761"/>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6A5BEF2"/>
  <w15:chartTrackingRefBased/>
  <w15:docId w15:val="{96E8C679-9AE9-4545-B600-4DBEB9A5C7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ro-RO"/>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3B3813"/>
    <w:pPr>
      <w:spacing w:before="480" w:after="240"/>
    </w:pPr>
  </w:style>
  <w:style w:type="paragraph" w:customStyle="1" w:styleId="NormalHanging12a">
    <w:name w:val="NormalHanging12a"/>
    <w:basedOn w:val="Normal"/>
    <w:rsid w:val="003B3813"/>
    <w:pPr>
      <w:spacing w:after="240"/>
      <w:ind w:left="567" w:hanging="567"/>
    </w:pPr>
  </w:style>
  <w:style w:type="paragraph" w:styleId="BalloonText">
    <w:name w:val="Balloon Text"/>
    <w:basedOn w:val="Normal"/>
    <w:link w:val="BalloonTextChar"/>
    <w:rsid w:val="00515674"/>
    <w:rPr>
      <w:rFonts w:ascii="Segoe UI" w:hAnsi="Segoe UI" w:cs="Segoe UI"/>
      <w:sz w:val="18"/>
      <w:szCs w:val="18"/>
    </w:rPr>
  </w:style>
  <w:style w:type="character" w:customStyle="1" w:styleId="BalloonTextChar">
    <w:name w:val="Balloon Text Char"/>
    <w:basedOn w:val="DefaultParagraphFont"/>
    <w:link w:val="BalloonText"/>
    <w:rsid w:val="00515674"/>
    <w:rPr>
      <w:rFonts w:ascii="Segoe UI" w:hAnsi="Segoe UI" w:cs="Segoe UI"/>
      <w:sz w:val="18"/>
      <w:szCs w:val="18"/>
      <w:lang w:val="ro-RO"/>
    </w:rPr>
  </w:style>
  <w:style w:type="character" w:styleId="Hyperlink">
    <w:name w:val="Hyperlink"/>
    <w:basedOn w:val="DefaultParagraphFont"/>
    <w:rsid w:val="00515674"/>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reg/2005/2173/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2474A99-3533-4D65-AAA0-A23CE6543F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2</Pages>
  <Words>592</Words>
  <Characters>3406</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3991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DUMITRESCU Mihai</dc:creator>
  <cp:keywords/>
  <cp:lastModifiedBy>PAUL Andrada</cp:lastModifiedBy>
  <cp:revision>2</cp:revision>
  <cp:lastPrinted>2004-11-19T15:42:00Z</cp:lastPrinted>
  <dcterms:created xsi:type="dcterms:W3CDTF">2025-08-21T15:07:00Z</dcterms:created>
  <dcterms:modified xsi:type="dcterms:W3CDTF">2025-08-21T15:07:00Z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B10-0302/2025</vt:lpwstr>
  </property>
  <property fmtid="{D5CDD505-2E9C-101B-9397-08002B2CF9AE}" pid="4" name="&lt;Type&gt;">
    <vt:lpwstr>RR</vt:lpwstr>
  </property>
</Properties>
</file>