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6FBF" w14:paraId="36790EC6" w14:textId="77777777" w:rsidTr="0010095E">
        <w:trPr>
          <w:trHeight w:hRule="exact" w:val="1418"/>
        </w:trPr>
        <w:tc>
          <w:tcPr>
            <w:tcW w:w="6804" w:type="dxa"/>
            <w:shd w:val="clear" w:color="auto" w:fill="auto"/>
            <w:vAlign w:val="center"/>
          </w:tcPr>
          <w:p w14:paraId="195384AD" w14:textId="77777777" w:rsidR="00751A4A" w:rsidRPr="005A6FBF" w:rsidRDefault="007C7203" w:rsidP="0010095E">
            <w:pPr>
              <w:pStyle w:val="EPName"/>
            </w:pPr>
            <w:r w:rsidRPr="005A6FBF">
              <w:t>Európsky parlament</w:t>
            </w:r>
          </w:p>
          <w:p w14:paraId="3415AE8D" w14:textId="77777777" w:rsidR="00751A4A" w:rsidRPr="005A6FBF" w:rsidRDefault="005F1B17" w:rsidP="005F1B17">
            <w:pPr>
              <w:pStyle w:val="EPTerm"/>
              <w:rPr>
                <w:rStyle w:val="HideTWBExt"/>
                <w:noProof w:val="0"/>
                <w:vanish w:val="0"/>
                <w:color w:val="auto"/>
              </w:rPr>
            </w:pPr>
            <w:r w:rsidRPr="005A6FBF">
              <w:t>2024</w:t>
            </w:r>
            <w:r w:rsidR="00817416" w:rsidRPr="005A6FBF">
              <w:t>-202</w:t>
            </w:r>
            <w:r w:rsidRPr="005A6FBF">
              <w:t>9</w:t>
            </w:r>
          </w:p>
        </w:tc>
        <w:tc>
          <w:tcPr>
            <w:tcW w:w="2268" w:type="dxa"/>
            <w:shd w:val="clear" w:color="auto" w:fill="auto"/>
          </w:tcPr>
          <w:p w14:paraId="3ED6188F" w14:textId="77777777" w:rsidR="00751A4A" w:rsidRPr="005A6FBF" w:rsidRDefault="00187494" w:rsidP="0010095E">
            <w:pPr>
              <w:pStyle w:val="EPLogo"/>
            </w:pPr>
            <w:r w:rsidRPr="005A6FBF">
              <w:rPr>
                <w:noProof/>
                <w:lang w:val="en-GB"/>
              </w:rPr>
              <w:drawing>
                <wp:inline distT="0" distB="0" distL="0" distR="0" wp14:anchorId="4F013FC2" wp14:editId="7DF7D6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38A030" w14:textId="77777777" w:rsidR="00D058B8" w:rsidRPr="005A6FBF" w:rsidRDefault="00D058B8" w:rsidP="004C5D52">
      <w:pPr>
        <w:pStyle w:val="LineTop"/>
      </w:pPr>
    </w:p>
    <w:p w14:paraId="60663E9B" w14:textId="77777777" w:rsidR="00680577" w:rsidRPr="005A6FBF" w:rsidRDefault="007C7203" w:rsidP="00680577">
      <w:pPr>
        <w:pStyle w:val="EPBodyTA1"/>
      </w:pPr>
      <w:r w:rsidRPr="005A6FBF">
        <w:t>PRIJATÉ TEXTY</w:t>
      </w:r>
    </w:p>
    <w:p w14:paraId="4D7CB319" w14:textId="77777777" w:rsidR="00D058B8" w:rsidRPr="005A6FBF" w:rsidRDefault="00D058B8" w:rsidP="00D058B8">
      <w:pPr>
        <w:pStyle w:val="LineBottom"/>
      </w:pPr>
    </w:p>
    <w:p w14:paraId="43EFAA69" w14:textId="1F6D3ED6" w:rsidR="007C7203" w:rsidRPr="005A6FBF" w:rsidRDefault="007C7203" w:rsidP="007C7203">
      <w:pPr>
        <w:pStyle w:val="ATHeading1"/>
      </w:pPr>
      <w:bookmarkStart w:id="0" w:name="TANumber"/>
      <w:r w:rsidRPr="005A6FBF">
        <w:t>P10_TA(2025)0</w:t>
      </w:r>
      <w:r w:rsidR="005A6FBF" w:rsidRPr="005A6FBF">
        <w:t>148</w:t>
      </w:r>
      <w:bookmarkEnd w:id="0"/>
    </w:p>
    <w:p w14:paraId="5C69604D" w14:textId="5C3EA20E" w:rsidR="007C7203" w:rsidRPr="005A6FBF" w:rsidRDefault="00006320" w:rsidP="007C7203">
      <w:pPr>
        <w:pStyle w:val="ATHeading2"/>
      </w:pPr>
      <w:bookmarkStart w:id="1" w:name="title"/>
      <w:r w:rsidRPr="005A6FBF">
        <w:t>N</w:t>
      </w:r>
      <w:r w:rsidR="008A4FAE" w:rsidRPr="005A6FBF">
        <w:t>evznesen</w:t>
      </w:r>
      <w:r w:rsidRPr="005A6FBF">
        <w:t>ie</w:t>
      </w:r>
      <w:r w:rsidR="008A4FAE" w:rsidRPr="005A6FBF">
        <w:t xml:space="preserve"> námiet</w:t>
      </w:r>
      <w:r w:rsidRPr="005A6FBF">
        <w:t>ky</w:t>
      </w:r>
      <w:r w:rsidR="008A4FAE" w:rsidRPr="005A6FBF">
        <w:t xml:space="preserve"> voči delegovanému aktu: zmena delegovaného nariadenia (EÚ) 2025/530, pokiaľ ide o dátum jeho uplatňovania</w:t>
      </w:r>
      <w:bookmarkEnd w:id="1"/>
    </w:p>
    <w:p w14:paraId="51A041DD" w14:textId="77777777" w:rsidR="007C7203" w:rsidRPr="005A6FBF" w:rsidRDefault="007C7203" w:rsidP="007C7203">
      <w:pPr>
        <w:rPr>
          <w:i/>
          <w:vanish/>
        </w:rPr>
      </w:pPr>
      <w:r w:rsidRPr="005A6FBF">
        <w:rPr>
          <w:i/>
        </w:rPr>
        <w:fldChar w:fldCharType="begin"/>
      </w:r>
      <w:r w:rsidRPr="005A6FBF">
        <w:rPr>
          <w:i/>
        </w:rPr>
        <w:instrText xml:space="preserve"> TC"(</w:instrText>
      </w:r>
      <w:bookmarkStart w:id="2" w:name="DocNumber"/>
      <w:r w:rsidRPr="005A6FBF">
        <w:rPr>
          <w:i/>
        </w:rPr>
        <w:instrText>B10-0302/2025</w:instrText>
      </w:r>
      <w:bookmarkEnd w:id="2"/>
      <w:r w:rsidRPr="005A6FBF">
        <w:rPr>
          <w:i/>
        </w:rPr>
        <w:instrText xml:space="preserve">)"\l3 \n&gt; \* MERGEFORMAT </w:instrText>
      </w:r>
      <w:r w:rsidRPr="005A6FBF">
        <w:rPr>
          <w:i/>
        </w:rPr>
        <w:fldChar w:fldCharType="end"/>
      </w:r>
    </w:p>
    <w:p w14:paraId="0C0B979A" w14:textId="77777777" w:rsidR="007C7203" w:rsidRPr="005A6FBF" w:rsidRDefault="007C7203" w:rsidP="007C7203">
      <w:pPr>
        <w:rPr>
          <w:vanish/>
        </w:rPr>
      </w:pPr>
      <w:bookmarkStart w:id="3" w:name="PE"/>
      <w:r w:rsidRPr="005A6FBF">
        <w:rPr>
          <w:vanish/>
        </w:rPr>
        <w:t>PE774.519</w:t>
      </w:r>
      <w:bookmarkEnd w:id="3"/>
    </w:p>
    <w:p w14:paraId="33C39A08" w14:textId="2E5490A7" w:rsidR="007C7203" w:rsidRPr="005A6FBF" w:rsidRDefault="007C7203" w:rsidP="007C7203">
      <w:pPr>
        <w:pStyle w:val="ATHeading3"/>
      </w:pPr>
      <w:bookmarkStart w:id="4" w:name="Sujet"/>
      <w:r w:rsidRPr="005A6FBF">
        <w:t>Rozhodnutie Európskeho parlamentu nevzniesť námietku voči delegovanému nariadeniu Komisie z 12. júna 2025, ktorým sa mení delegované nariadenie Komisie (EÚ) 2025/530, pokiaľ ide o dátum jeho uplatňovania</w:t>
      </w:r>
      <w:bookmarkEnd w:id="4"/>
      <w:r w:rsidRPr="005A6FBF">
        <w:t xml:space="preserve"> </w:t>
      </w:r>
      <w:bookmarkStart w:id="5" w:name="References"/>
      <w:r w:rsidRPr="005A6FBF">
        <w:t>(C(2025)03819 – 2025/2766(DEA))</w:t>
      </w:r>
      <w:bookmarkEnd w:id="5"/>
    </w:p>
    <w:p w14:paraId="2B3088DF" w14:textId="4BA063DD" w:rsidR="007578FD" w:rsidRPr="005A6FBF" w:rsidRDefault="007578FD" w:rsidP="007578FD">
      <w:pPr>
        <w:pStyle w:val="EPComma"/>
      </w:pPr>
      <w:bookmarkStart w:id="6" w:name="TextBodyBegin"/>
      <w:bookmarkEnd w:id="6"/>
      <w:r w:rsidRPr="005A6FBF">
        <w:rPr>
          <w:i/>
        </w:rPr>
        <w:t>Európsky parlament</w:t>
      </w:r>
      <w:r w:rsidRPr="005A6FBF">
        <w:t>,</w:t>
      </w:r>
    </w:p>
    <w:p w14:paraId="7FFF989E" w14:textId="26A52BAB" w:rsidR="007578FD" w:rsidRPr="005A6FBF" w:rsidRDefault="00DE03F0" w:rsidP="007578FD">
      <w:pPr>
        <w:pStyle w:val="NormalHanging12a"/>
      </w:pPr>
      <w:r w:rsidRPr="005A6FBF">
        <w:t>–</w:t>
      </w:r>
      <w:r w:rsidRPr="005A6FBF">
        <w:tab/>
      </w:r>
      <w:r w:rsidR="007578FD" w:rsidRPr="005A6FBF">
        <w:t xml:space="preserve">so zreteľom na delegované nariadenie Komisie </w:t>
      </w:r>
      <w:r w:rsidR="008A4FAE" w:rsidRPr="005A6FBF">
        <w:t>(</w:t>
      </w:r>
      <w:r w:rsidR="007578FD" w:rsidRPr="005A6FBF">
        <w:t>C(2025)03819</w:t>
      </w:r>
      <w:r w:rsidR="008A4FAE" w:rsidRPr="005A6FBF">
        <w:t>)</w:t>
      </w:r>
      <w:r w:rsidR="007578FD" w:rsidRPr="005A6FBF">
        <w:t>,</w:t>
      </w:r>
    </w:p>
    <w:p w14:paraId="0B8EDBCA" w14:textId="1B10CC1E" w:rsidR="007578FD" w:rsidRPr="005A6FBF" w:rsidRDefault="007578FD" w:rsidP="007578FD">
      <w:pPr>
        <w:pStyle w:val="NormalHanging12a"/>
      </w:pPr>
      <w:r w:rsidRPr="005A6FBF">
        <w:t>–</w:t>
      </w:r>
      <w:r w:rsidRPr="005A6FBF">
        <w:tab/>
        <w:t xml:space="preserve">so zreteľom na list Komisie zo 6. júna 2025, ktorým žiada </w:t>
      </w:r>
      <w:r w:rsidR="008A4FAE" w:rsidRPr="005A6FBF">
        <w:t>Európsky p</w:t>
      </w:r>
      <w:r w:rsidRPr="005A6FBF">
        <w:t>arlament, aby oznámil, že nevznesie námietku voči delegovanému nariadeniu,</w:t>
      </w:r>
    </w:p>
    <w:p w14:paraId="02928790" w14:textId="77777777" w:rsidR="007578FD" w:rsidRPr="005A6FBF" w:rsidRDefault="007578FD" w:rsidP="007578FD">
      <w:pPr>
        <w:pStyle w:val="NormalHanging12a"/>
      </w:pPr>
      <w:r w:rsidRPr="005A6FBF">
        <w:t>–</w:t>
      </w:r>
      <w:r w:rsidRPr="005A6FBF">
        <w:tab/>
        <w:t>so zreteľom na list Výboru pre medzinárodný obchod predsedovi Konferencie predsedov výborov z 25. júna 2025,</w:t>
      </w:r>
    </w:p>
    <w:p w14:paraId="4A67551C" w14:textId="77777777" w:rsidR="007578FD" w:rsidRPr="005A6FBF" w:rsidRDefault="007578FD" w:rsidP="007578FD">
      <w:pPr>
        <w:pStyle w:val="NormalHanging12a"/>
      </w:pPr>
      <w:r w:rsidRPr="005A6FBF">
        <w:t>–</w:t>
      </w:r>
      <w:r w:rsidRPr="005A6FBF">
        <w:tab/>
        <w:t>so zreteľom na článok 290 Zmluvy o fungovaní Európskej únie,</w:t>
      </w:r>
    </w:p>
    <w:p w14:paraId="7938FD0B" w14:textId="77777777" w:rsidR="007578FD" w:rsidRPr="005A6FBF" w:rsidRDefault="007578FD" w:rsidP="007578FD">
      <w:pPr>
        <w:pStyle w:val="NormalHanging12a"/>
      </w:pPr>
      <w:r w:rsidRPr="005A6FBF">
        <w:t>–</w:t>
      </w:r>
      <w:r w:rsidRPr="005A6FBF">
        <w:tab/>
        <w:t>so zreteľom na nariadenie Rady (ES) č. 2173/2005 z 20. decembra 2005 o vytvorení licenčného systému FLEGT na dovoz dreva do Európskeho spoločenstva</w:t>
      </w:r>
      <w:r w:rsidRPr="005A6FBF">
        <w:rPr>
          <w:vertAlign w:val="superscript"/>
        </w:rPr>
        <w:footnoteReference w:id="1"/>
      </w:r>
      <w:r w:rsidRPr="005A6FBF">
        <w:t>, a najmä na jeho článok 10 ods. 1 a 3 a článok 11a ods. 5,</w:t>
      </w:r>
    </w:p>
    <w:p w14:paraId="1A509917" w14:textId="77777777" w:rsidR="007578FD" w:rsidRPr="005A6FBF" w:rsidRDefault="007578FD" w:rsidP="007578FD">
      <w:pPr>
        <w:pStyle w:val="NormalHanging12a"/>
      </w:pPr>
      <w:r w:rsidRPr="005A6FBF">
        <w:t>–</w:t>
      </w:r>
      <w:r w:rsidRPr="005A6FBF">
        <w:tab/>
        <w:t>so zreteľom na delegované nariadenie Komisie (EÚ) 2025/530</w:t>
      </w:r>
      <w:r w:rsidRPr="005A6FBF">
        <w:rPr>
          <w:vertAlign w:val="superscript"/>
        </w:rPr>
        <w:footnoteReference w:id="2"/>
      </w:r>
      <w:r w:rsidRPr="005A6FBF">
        <w:t>,</w:t>
      </w:r>
    </w:p>
    <w:p w14:paraId="210DD835" w14:textId="77777777" w:rsidR="007578FD" w:rsidRPr="005A6FBF" w:rsidRDefault="007578FD" w:rsidP="007578FD">
      <w:pPr>
        <w:pStyle w:val="NormalHanging12a"/>
      </w:pPr>
      <w:r w:rsidRPr="005A6FBF">
        <w:t>–</w:t>
      </w:r>
      <w:r w:rsidRPr="005A6FBF">
        <w:tab/>
        <w:t>so zreteľom na článok 114 ods. 6 rokovacieho poriadku,</w:t>
      </w:r>
    </w:p>
    <w:p w14:paraId="2B2C1C5B" w14:textId="77777777" w:rsidR="007578FD" w:rsidRPr="005A6FBF" w:rsidRDefault="007578FD" w:rsidP="007578FD">
      <w:pPr>
        <w:pStyle w:val="NormalHanging12a"/>
      </w:pPr>
      <w:r w:rsidRPr="005A6FBF">
        <w:t>–</w:t>
      </w:r>
      <w:r w:rsidRPr="005A6FBF">
        <w:tab/>
        <w:t>so zreteľom na odporúčanie k rozhodnutiu Výboru pre medzinárodný obchod,</w:t>
      </w:r>
    </w:p>
    <w:p w14:paraId="32CAA0BE" w14:textId="11715F97" w:rsidR="00B500A5" w:rsidRPr="005A6FBF" w:rsidRDefault="00B500A5" w:rsidP="007578FD">
      <w:pPr>
        <w:pStyle w:val="NormalHanging12a"/>
      </w:pPr>
      <w:r w:rsidRPr="005A6FBF">
        <w:t>–</w:t>
      </w:r>
      <w:r w:rsidRPr="005A6FBF">
        <w:tab/>
        <w:t xml:space="preserve">so zreteľom na skutočnosť, že neboli vznesené námietky v lehote stanovenej v článku </w:t>
      </w:r>
      <w:r w:rsidRPr="005A6FBF">
        <w:lastRenderedPageBreak/>
        <w:t>114 ods. 6 tretej a štvrtej zarážke rokovacieho poriadku, ktorá uplynula 8. júla 2025,</w:t>
      </w:r>
    </w:p>
    <w:p w14:paraId="5648A440" w14:textId="77777777" w:rsidR="007578FD" w:rsidRPr="005A6FBF" w:rsidRDefault="007578FD" w:rsidP="007578FD">
      <w:pPr>
        <w:pStyle w:val="NormalHanging12a"/>
      </w:pPr>
      <w:r w:rsidRPr="005A6FBF">
        <w:t>A.</w:t>
      </w:r>
      <w:r w:rsidRPr="005A6FBF">
        <w:tab/>
        <w:t>keďže delegovaným nariadením Komisie (EÚ) 2025/530 sa Ghanská republika a jej divízia rozvoja drevárskeho priemyslu zaraďujú do zoznamu v prílohe I k nariadeniu (ES) č. 2173/2005 a zoznam produktov, na ktoré sa vzťahuje licenčný systém pre vynútiteľnosť práva, správu a obchod v lesnom hospodárstve (FLEGT), sa začleňuje do v prílohy III k uvedenému nariadeniu; keďže obchod s drevom medzi Úniou a Ghanou sa riadi dobrovoľnou dohodou o partnerstve medzi Európskym spoločenstvom a Ghanskou republikou o vynútiteľnosti práva a správe lesného hospodárstva a obchode s produktmi z dreva, ktoré sa dovážajú do Spoločenstva (ďalej len „dohoda“)</w:t>
      </w:r>
      <w:r w:rsidRPr="005A6FBF">
        <w:rPr>
          <w:vertAlign w:val="superscript"/>
        </w:rPr>
        <w:footnoteReference w:id="3"/>
      </w:r>
      <w:r w:rsidRPr="005A6FBF">
        <w:t>; keďže delegované nariadenie (EÚ) 2025/530 sa má uplatňovať od 8. júla 2025;</w:t>
      </w:r>
    </w:p>
    <w:p w14:paraId="3BD2193F" w14:textId="77777777" w:rsidR="007578FD" w:rsidRPr="005A6FBF" w:rsidRDefault="007578FD" w:rsidP="007578FD">
      <w:pPr>
        <w:pStyle w:val="NormalHanging12a"/>
      </w:pPr>
      <w:r w:rsidRPr="005A6FBF">
        <w:t>B.</w:t>
      </w:r>
      <w:r w:rsidRPr="005A6FBF">
        <w:tab/>
        <w:t>keďže prípravy na vydávanie licencií FLEGT trvajú dlhšie, ako sa očakávalo, a Ghana začne vydávať licencie FLEGT najskôr 30. júna 2025; keďže preprava z Ghany do Únie trvá dva až osem týždňov, čo predstavuje riziko, že dodávky, ktoré odišli z Ghany pred 30. júnom 2025, ale do Únie sa dostanú po 8. júli 2025, nebudú mať licenciu FLEGT, a teda nebudú môcť vstúpiť do Únie;</w:t>
      </w:r>
    </w:p>
    <w:p w14:paraId="061F523E" w14:textId="77777777" w:rsidR="007578FD" w:rsidRPr="005A6FBF" w:rsidRDefault="007578FD" w:rsidP="007578FD">
      <w:pPr>
        <w:pStyle w:val="NormalHanging12a"/>
      </w:pPr>
      <w:r w:rsidRPr="005A6FBF">
        <w:t>C.</w:t>
      </w:r>
      <w:r w:rsidRPr="005A6FBF">
        <w:tab/>
        <w:t>keďže existuje významné riziko, že na dodávky dreva prichádzajúce do Únie od 8. júla 2025 sa nebude vzťahovať licencia FLEGT, keďže mohli byť vypravené pred tým, ako Ghana začala licencie FLEGT vydávať; keďže by to mohlo spôsobiť narušenie obchodu, oslabiť dôveryhodnosť dohody ako nástroja na uľahčenie obchodu a negatívne ovplyvniť hospodárske subjekty v Ghane aj v Únii.</w:t>
      </w:r>
    </w:p>
    <w:p w14:paraId="7AA2CB84" w14:textId="77777777" w:rsidR="007578FD" w:rsidRPr="005A6FBF" w:rsidRDefault="007578FD" w:rsidP="007578FD">
      <w:pPr>
        <w:pStyle w:val="NormalHanging12a"/>
      </w:pPr>
      <w:r w:rsidRPr="005A6FBF">
        <w:t>D.</w:t>
      </w:r>
      <w:r w:rsidRPr="005A6FBF">
        <w:tab/>
        <w:t>keďže dátum, od ktorého sa má uplatňovať delegované nariadenie (EÚ) 2025/530, by sa preto mal upraviť, aby sa umožnil dostatočný čas na to, aby dodávky, ktoré boli vypravené z Ghany pred 30. júnom 2025, prišli do Únie bez povinnosti mať licenciu FLEGT.</w:t>
      </w:r>
    </w:p>
    <w:p w14:paraId="52669398" w14:textId="77777777" w:rsidR="007578FD" w:rsidRPr="005A6FBF" w:rsidRDefault="007578FD" w:rsidP="007578FD">
      <w:pPr>
        <w:pStyle w:val="NormalHanging12a"/>
      </w:pPr>
      <w:r w:rsidRPr="005A6FBF">
        <w:t>E.</w:t>
      </w:r>
      <w:r w:rsidRPr="005A6FBF">
        <w:tab/>
        <w:t>keďže delegované nariadenie (EÚ) 2025/530 by sa preto malo zodpovedajúcim spôsobom zmeniť;</w:t>
      </w:r>
    </w:p>
    <w:p w14:paraId="443905CF" w14:textId="77777777" w:rsidR="007578FD" w:rsidRPr="005A6FBF" w:rsidRDefault="007578FD" w:rsidP="007578FD">
      <w:pPr>
        <w:pStyle w:val="NormalHanging12a"/>
      </w:pPr>
      <w:r w:rsidRPr="005A6FBF">
        <w:t>1.</w:t>
      </w:r>
      <w:r w:rsidRPr="005A6FBF">
        <w:tab/>
        <w:t>oznamuje, že nevznesie námietku voči delegovanému nariadeniu;</w:t>
      </w:r>
    </w:p>
    <w:p w14:paraId="2D84B113" w14:textId="0E3C8BBC" w:rsidR="00E365E1" w:rsidRPr="005A6FBF" w:rsidRDefault="007578FD" w:rsidP="00747704">
      <w:pPr>
        <w:pStyle w:val="NormalHanging12a"/>
      </w:pPr>
      <w:r w:rsidRPr="005A6FBF">
        <w:t>2.</w:t>
      </w:r>
      <w:r w:rsidRPr="005A6FBF">
        <w:tab/>
        <w:t xml:space="preserve">poveruje svoju predsedníčku, aby postúpila toto rozhodnutie </w:t>
      </w:r>
      <w:r w:rsidR="00804EE7" w:rsidRPr="005A6FBF">
        <w:t>Rade a Komisii.</w:t>
      </w:r>
    </w:p>
    <w:sectPr w:rsidR="00E365E1" w:rsidRPr="005A6FBF" w:rsidSect="00804EE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3D41A" w14:textId="77777777" w:rsidR="007C7203" w:rsidRPr="00804EE7" w:rsidRDefault="007C7203">
      <w:r w:rsidRPr="00804EE7">
        <w:separator/>
      </w:r>
    </w:p>
  </w:endnote>
  <w:endnote w:type="continuationSeparator" w:id="0">
    <w:p w14:paraId="578873F2" w14:textId="77777777" w:rsidR="007C7203" w:rsidRPr="00804EE7" w:rsidRDefault="007C7203">
      <w:r w:rsidRPr="00804E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2433F" w14:textId="77777777" w:rsidR="00064002" w:rsidRPr="00804EE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6103D" w14:textId="77777777" w:rsidR="00064002" w:rsidRPr="00804EE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0E87E" w14:textId="77777777" w:rsidR="00064002" w:rsidRPr="00804E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22E91" w14:textId="77777777" w:rsidR="007C7203" w:rsidRPr="00804EE7" w:rsidRDefault="007C7203">
      <w:r w:rsidRPr="00804EE7">
        <w:separator/>
      </w:r>
    </w:p>
  </w:footnote>
  <w:footnote w:type="continuationSeparator" w:id="0">
    <w:p w14:paraId="1508608F" w14:textId="77777777" w:rsidR="007C7203" w:rsidRPr="00804EE7" w:rsidRDefault="007C7203">
      <w:r w:rsidRPr="00804EE7">
        <w:continuationSeparator/>
      </w:r>
    </w:p>
  </w:footnote>
  <w:footnote w:id="1">
    <w:p w14:paraId="6FA8AEDF" w14:textId="3327058D" w:rsidR="007578FD" w:rsidRPr="00804EE7" w:rsidRDefault="007578FD" w:rsidP="00804EE7">
      <w:pPr>
        <w:pStyle w:val="FootnoteText"/>
        <w:ind w:left="567" w:hanging="567"/>
        <w:rPr>
          <w:sz w:val="24"/>
          <w:lang w:val="sk-SK"/>
        </w:rPr>
      </w:pPr>
      <w:r w:rsidRPr="00804EE7">
        <w:rPr>
          <w:rStyle w:val="FootnoteReference"/>
          <w:sz w:val="24"/>
          <w:lang w:val="sk-SK"/>
        </w:rPr>
        <w:footnoteRef/>
      </w:r>
      <w:r w:rsidR="00804EE7" w:rsidRPr="00804EE7">
        <w:rPr>
          <w:sz w:val="24"/>
          <w:lang w:val="sk-SK"/>
        </w:rPr>
        <w:t xml:space="preserve"> </w:t>
      </w:r>
      <w:r w:rsidR="00804EE7" w:rsidRPr="00804EE7">
        <w:rPr>
          <w:sz w:val="24"/>
          <w:lang w:val="sk-SK"/>
        </w:rPr>
        <w:tab/>
      </w:r>
      <w:r w:rsidRPr="00804EE7">
        <w:rPr>
          <w:sz w:val="24"/>
          <w:lang w:val="sk-SK"/>
        </w:rPr>
        <w:t>Ú. v. EÚ L 347, 30.12.2005, s. 1., ELI: http://data.europa.eu/eli/reg/2005/2173/oj.</w:t>
      </w:r>
    </w:p>
  </w:footnote>
  <w:footnote w:id="2">
    <w:p w14:paraId="354997B3" w14:textId="53EC4D48" w:rsidR="007578FD" w:rsidRPr="00804EE7" w:rsidRDefault="007578FD" w:rsidP="00804EE7">
      <w:pPr>
        <w:pStyle w:val="FootnoteText"/>
        <w:ind w:left="567" w:hanging="567"/>
        <w:rPr>
          <w:sz w:val="24"/>
          <w:lang w:val="sk-SK"/>
        </w:rPr>
      </w:pPr>
      <w:r w:rsidRPr="00804EE7">
        <w:rPr>
          <w:rStyle w:val="FootnoteReference"/>
          <w:sz w:val="24"/>
          <w:lang w:val="sk-SK"/>
        </w:rPr>
        <w:footnoteRef/>
      </w:r>
      <w:r w:rsidR="00804EE7" w:rsidRPr="00804EE7">
        <w:rPr>
          <w:sz w:val="24"/>
          <w:lang w:val="sk-SK"/>
        </w:rPr>
        <w:t xml:space="preserve"> </w:t>
      </w:r>
      <w:r w:rsidR="00804EE7" w:rsidRPr="00804EE7">
        <w:rPr>
          <w:sz w:val="24"/>
          <w:lang w:val="sk-SK"/>
        </w:rPr>
        <w:tab/>
      </w:r>
      <w:r w:rsidRPr="00804EE7">
        <w:rPr>
          <w:sz w:val="24"/>
          <w:lang w:val="sk-SK"/>
        </w:rPr>
        <w:t xml:space="preserve">Delegované nariadenie Komisie (EÚ) 2025/530 z 30. októbra 2024, ktorým sa menia prílohy I a III k nariadeniu Rady (ES) č. 2173/2005 na základe dohody o dobrovoľnom partnerstve s Ghanskou republikou v súvislosti s licenčným systémom pre vynútiteľnosť práva, správu a obchod v lesnom hospodárstve (FLEGT) na dovoz dreva do Európskej únie (Ú. v. EÚ L, 2025/530, 20.3.2025, ELI: http://data.europa.eu/eli/reg_del/2025/530/oj). </w:t>
      </w:r>
    </w:p>
  </w:footnote>
  <w:footnote w:id="3">
    <w:p w14:paraId="634D7D13" w14:textId="301E8E43" w:rsidR="007578FD" w:rsidRPr="00804EE7" w:rsidRDefault="007578FD" w:rsidP="00804EE7">
      <w:pPr>
        <w:pStyle w:val="FootnoteText"/>
        <w:ind w:left="567" w:hanging="567"/>
        <w:rPr>
          <w:sz w:val="24"/>
          <w:lang w:val="sk-SK"/>
        </w:rPr>
      </w:pPr>
      <w:r w:rsidRPr="00804EE7">
        <w:rPr>
          <w:rStyle w:val="FootnoteReference"/>
          <w:sz w:val="24"/>
          <w:lang w:val="sk-SK"/>
        </w:rPr>
        <w:footnoteRef/>
      </w:r>
      <w:r w:rsidR="00804EE7" w:rsidRPr="00804EE7">
        <w:rPr>
          <w:sz w:val="24"/>
          <w:lang w:val="sk-SK"/>
        </w:rPr>
        <w:t xml:space="preserve"> </w:t>
      </w:r>
      <w:r w:rsidR="00804EE7" w:rsidRPr="00804EE7">
        <w:rPr>
          <w:sz w:val="24"/>
          <w:lang w:val="sk-SK"/>
        </w:rPr>
        <w:tab/>
      </w:r>
      <w:r w:rsidRPr="00804EE7">
        <w:rPr>
          <w:sz w:val="24"/>
          <w:lang w:val="sk-SK"/>
        </w:rPr>
        <w:t>Dobrovoľná dohoda o partnerstve medzi Európskym spoločenstvom a Ghanskou republikou o vynútiteľnosti práva a správe lesného hospodárstva a obchode s produktmi z dreva, ktoré sa dovážajú do Spoločenstva (Ú. v. EÚ L 70, 19.3.2010, s.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34E6D" w14:textId="77777777" w:rsidR="00064002" w:rsidRPr="00804EE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FA0A4" w14:textId="77777777" w:rsidR="00064002" w:rsidRPr="00804EE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26347" w14:textId="77777777" w:rsidR="00064002" w:rsidRPr="00804E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06508646">
    <w:abstractNumId w:val="9"/>
  </w:num>
  <w:num w:numId="2" w16cid:durableId="1557475715">
    <w:abstractNumId w:val="9"/>
  </w:num>
  <w:num w:numId="3" w16cid:durableId="1650787414">
    <w:abstractNumId w:val="7"/>
  </w:num>
  <w:num w:numId="4" w16cid:durableId="1847397422">
    <w:abstractNumId w:val="7"/>
  </w:num>
  <w:num w:numId="5" w16cid:durableId="619457768">
    <w:abstractNumId w:val="6"/>
  </w:num>
  <w:num w:numId="6" w16cid:durableId="1057706476">
    <w:abstractNumId w:val="6"/>
  </w:num>
  <w:num w:numId="7" w16cid:durableId="981999915">
    <w:abstractNumId w:val="5"/>
  </w:num>
  <w:num w:numId="8" w16cid:durableId="1929608472">
    <w:abstractNumId w:val="5"/>
  </w:num>
  <w:num w:numId="9" w16cid:durableId="90124972">
    <w:abstractNumId w:val="4"/>
  </w:num>
  <w:num w:numId="10" w16cid:durableId="1194610109">
    <w:abstractNumId w:val="4"/>
  </w:num>
  <w:num w:numId="11" w16cid:durableId="513496784">
    <w:abstractNumId w:val="8"/>
  </w:num>
  <w:num w:numId="12" w16cid:durableId="990670763">
    <w:abstractNumId w:val="8"/>
  </w:num>
  <w:num w:numId="13" w16cid:durableId="475338865">
    <w:abstractNumId w:val="3"/>
  </w:num>
  <w:num w:numId="14" w16cid:durableId="1404524928">
    <w:abstractNumId w:val="3"/>
  </w:num>
  <w:num w:numId="15" w16cid:durableId="1026364730">
    <w:abstractNumId w:val="2"/>
  </w:num>
  <w:num w:numId="16" w16cid:durableId="951936444">
    <w:abstractNumId w:val="2"/>
  </w:num>
  <w:num w:numId="17" w16cid:durableId="1035276048">
    <w:abstractNumId w:val="1"/>
  </w:num>
  <w:num w:numId="18" w16cid:durableId="1940524735">
    <w:abstractNumId w:val="1"/>
  </w:num>
  <w:num w:numId="19" w16cid:durableId="360324045">
    <w:abstractNumId w:val="0"/>
  </w:num>
  <w:num w:numId="20" w16cid:durableId="338699145">
    <w:abstractNumId w:val="0"/>
  </w:num>
  <w:num w:numId="21" w16cid:durableId="1503668610">
    <w:abstractNumId w:val="9"/>
  </w:num>
  <w:num w:numId="22" w16cid:durableId="828515957">
    <w:abstractNumId w:val="7"/>
  </w:num>
  <w:num w:numId="23" w16cid:durableId="293755087">
    <w:abstractNumId w:val="6"/>
  </w:num>
  <w:num w:numId="24" w16cid:durableId="749620274">
    <w:abstractNumId w:val="5"/>
  </w:num>
  <w:num w:numId="25" w16cid:durableId="973104051">
    <w:abstractNumId w:val="4"/>
  </w:num>
  <w:num w:numId="26" w16cid:durableId="1914699890">
    <w:abstractNumId w:val="8"/>
  </w:num>
  <w:num w:numId="27" w16cid:durableId="512308180">
    <w:abstractNumId w:val="3"/>
  </w:num>
  <w:num w:numId="28" w16cid:durableId="495852166">
    <w:abstractNumId w:val="2"/>
  </w:num>
  <w:num w:numId="29" w16cid:durableId="1228959186">
    <w:abstractNumId w:val="1"/>
  </w:num>
  <w:num w:numId="30" w16cid:durableId="482702260">
    <w:abstractNumId w:val="0"/>
  </w:num>
  <w:num w:numId="31" w16cid:durableId="162938410">
    <w:abstractNumId w:val="9"/>
  </w:num>
  <w:num w:numId="32" w16cid:durableId="1992758487">
    <w:abstractNumId w:val="7"/>
  </w:num>
  <w:num w:numId="33" w16cid:durableId="559098760">
    <w:abstractNumId w:val="6"/>
  </w:num>
  <w:num w:numId="34" w16cid:durableId="748621022">
    <w:abstractNumId w:val="5"/>
  </w:num>
  <w:num w:numId="35" w16cid:durableId="1629895717">
    <w:abstractNumId w:val="4"/>
  </w:num>
  <w:num w:numId="36" w16cid:durableId="473524005">
    <w:abstractNumId w:val="8"/>
  </w:num>
  <w:num w:numId="37" w16cid:durableId="1682656921">
    <w:abstractNumId w:val="3"/>
  </w:num>
  <w:num w:numId="38" w16cid:durableId="800655929">
    <w:abstractNumId w:val="2"/>
  </w:num>
  <w:num w:numId="39" w16cid:durableId="677275090">
    <w:abstractNumId w:val="1"/>
  </w:num>
  <w:num w:numId="40" w16cid:durableId="600380557">
    <w:abstractNumId w:val="0"/>
  </w:num>
  <w:num w:numId="41" w16cid:durableId="1891113556">
    <w:abstractNumId w:val="10"/>
  </w:num>
  <w:num w:numId="42" w16cid:durableId="587233576">
    <w:abstractNumId w:val="10"/>
  </w:num>
  <w:num w:numId="43" w16cid:durableId="1538394417">
    <w:abstractNumId w:val="10"/>
  </w:num>
  <w:num w:numId="44" w16cid:durableId="12691988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302/2025"/>
    <w:docVar w:name="dvlangue" w:val="SK"/>
    <w:docVar w:name="dvnumam" w:val="0"/>
    <w:docVar w:name="dvpe" w:val="774.519"/>
    <w:docVar w:name="dvtitre" w:val="Rozhodnutie Európskeho parlamentu z xx. júla 2025 nevzniesť námietku voči delegovanému nariadeniu Komisie z 12. júna 2025, ktorým sa mení delegované nariadenie Komisie (EÚ) 2025/530, pokiaľ ide o dátum jeho uplatňovania(C(2025)03819 – 2025/2766(DEA))"/>
  </w:docVars>
  <w:rsids>
    <w:rsidRoot w:val="007C7203"/>
    <w:rsid w:val="00002272"/>
    <w:rsid w:val="00006320"/>
    <w:rsid w:val="00064002"/>
    <w:rsid w:val="000677B9"/>
    <w:rsid w:val="000831BA"/>
    <w:rsid w:val="000A42CC"/>
    <w:rsid w:val="000E7DD9"/>
    <w:rsid w:val="0010095E"/>
    <w:rsid w:val="00125B37"/>
    <w:rsid w:val="00187494"/>
    <w:rsid w:val="001F32AE"/>
    <w:rsid w:val="00262AE0"/>
    <w:rsid w:val="002767FF"/>
    <w:rsid w:val="002B18FE"/>
    <w:rsid w:val="002B5493"/>
    <w:rsid w:val="00343214"/>
    <w:rsid w:val="00361C00"/>
    <w:rsid w:val="00395FA1"/>
    <w:rsid w:val="003E15D4"/>
    <w:rsid w:val="00411CCE"/>
    <w:rsid w:val="0041666E"/>
    <w:rsid w:val="00421060"/>
    <w:rsid w:val="004307E7"/>
    <w:rsid w:val="00471C19"/>
    <w:rsid w:val="004867E3"/>
    <w:rsid w:val="00494A28"/>
    <w:rsid w:val="004C0004"/>
    <w:rsid w:val="004C5D52"/>
    <w:rsid w:val="0050519A"/>
    <w:rsid w:val="005072A1"/>
    <w:rsid w:val="00514517"/>
    <w:rsid w:val="00545827"/>
    <w:rsid w:val="00560270"/>
    <w:rsid w:val="00563EE8"/>
    <w:rsid w:val="005A6FBF"/>
    <w:rsid w:val="005C2568"/>
    <w:rsid w:val="005F1B17"/>
    <w:rsid w:val="006037C0"/>
    <w:rsid w:val="006631B6"/>
    <w:rsid w:val="00680577"/>
    <w:rsid w:val="006F74FA"/>
    <w:rsid w:val="00731ADD"/>
    <w:rsid w:val="00734777"/>
    <w:rsid w:val="00747704"/>
    <w:rsid w:val="00747932"/>
    <w:rsid w:val="00751A4A"/>
    <w:rsid w:val="00756632"/>
    <w:rsid w:val="007578FD"/>
    <w:rsid w:val="00762C74"/>
    <w:rsid w:val="00786EC0"/>
    <w:rsid w:val="007C7203"/>
    <w:rsid w:val="007D1690"/>
    <w:rsid w:val="007D3F87"/>
    <w:rsid w:val="007E22AD"/>
    <w:rsid w:val="00804EE7"/>
    <w:rsid w:val="00817416"/>
    <w:rsid w:val="00842779"/>
    <w:rsid w:val="00865F67"/>
    <w:rsid w:val="00881A7B"/>
    <w:rsid w:val="008840E5"/>
    <w:rsid w:val="00887B3E"/>
    <w:rsid w:val="008A4FAE"/>
    <w:rsid w:val="008C2AC6"/>
    <w:rsid w:val="00930C23"/>
    <w:rsid w:val="0093193B"/>
    <w:rsid w:val="009509D8"/>
    <w:rsid w:val="00950B64"/>
    <w:rsid w:val="00981893"/>
    <w:rsid w:val="009E4FE1"/>
    <w:rsid w:val="009F3382"/>
    <w:rsid w:val="00A1687D"/>
    <w:rsid w:val="00A43E52"/>
    <w:rsid w:val="00A4678D"/>
    <w:rsid w:val="00A778C7"/>
    <w:rsid w:val="00AB441E"/>
    <w:rsid w:val="00AB6293"/>
    <w:rsid w:val="00AE0928"/>
    <w:rsid w:val="00AF3B82"/>
    <w:rsid w:val="00B12E95"/>
    <w:rsid w:val="00B22876"/>
    <w:rsid w:val="00B500A5"/>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03F0"/>
    <w:rsid w:val="00E365E1"/>
    <w:rsid w:val="00E820A4"/>
    <w:rsid w:val="00EB006A"/>
    <w:rsid w:val="00EB4772"/>
    <w:rsid w:val="00EC4F36"/>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7FFE97"/>
  <w15:chartTrackingRefBased/>
  <w15:docId w15:val="{C9A44C47-EA39-483A-8A14-69A35BBDA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578FD"/>
    <w:pPr>
      <w:spacing w:before="480" w:after="240"/>
    </w:pPr>
  </w:style>
  <w:style w:type="paragraph" w:customStyle="1" w:styleId="NormalHanging12a">
    <w:name w:val="NormalHanging12a"/>
    <w:basedOn w:val="Normal"/>
    <w:rsid w:val="007578FD"/>
    <w:pPr>
      <w:spacing w:after="240"/>
      <w:ind w:left="567" w:hanging="567"/>
    </w:pPr>
  </w:style>
  <w:style w:type="paragraph" w:styleId="Revision">
    <w:name w:val="Revision"/>
    <w:hidden/>
    <w:uiPriority w:val="99"/>
    <w:semiHidden/>
    <w:rsid w:val="008A4FAE"/>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86EC46-4450-4289-A07C-DFC3512C5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509</Words>
  <Characters>2922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VILEM Jan</cp:lastModifiedBy>
  <cp:revision>2</cp:revision>
  <cp:lastPrinted>2004-11-19T15:42:00Z</cp:lastPrinted>
  <dcterms:created xsi:type="dcterms:W3CDTF">2025-08-11T07:16:00Z</dcterms:created>
  <dcterms:modified xsi:type="dcterms:W3CDTF">2025-08-11T07:16:00Z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B10-0302/2025</vt:lpwstr>
  </property>
  <property fmtid="{D5CDD505-2E9C-101B-9397-08002B2CF9AE}" pid="4" name="&lt;Type&gt;">
    <vt:lpwstr>RR</vt:lpwstr>
  </property>
</Properties>
</file>