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701B" w14:paraId="4582CA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98D162" w14:textId="77777777" w:rsidR="00751A4A" w:rsidRPr="00F7701B" w:rsidRDefault="00987C1D" w:rsidP="0010095E">
            <w:pPr>
              <w:pStyle w:val="EPName"/>
            </w:pPr>
            <w:r w:rsidRPr="00F7701B">
              <w:t>Evropský parlament</w:t>
            </w:r>
          </w:p>
          <w:p w14:paraId="6DA58B6B" w14:textId="77777777" w:rsidR="00751A4A" w:rsidRPr="00F770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701B">
              <w:t>2024</w:t>
            </w:r>
            <w:r w:rsidR="00817416" w:rsidRPr="00F7701B">
              <w:t>-202</w:t>
            </w:r>
            <w:r w:rsidRPr="00F7701B">
              <w:t>9</w:t>
            </w:r>
          </w:p>
        </w:tc>
        <w:tc>
          <w:tcPr>
            <w:tcW w:w="2268" w:type="dxa"/>
            <w:shd w:val="clear" w:color="auto" w:fill="auto"/>
          </w:tcPr>
          <w:p w14:paraId="02E27A84" w14:textId="77777777" w:rsidR="00751A4A" w:rsidRPr="00F7701B" w:rsidRDefault="00187494" w:rsidP="0010095E">
            <w:pPr>
              <w:pStyle w:val="EPLogo"/>
            </w:pPr>
            <w:r w:rsidRPr="00F7701B">
              <w:rPr>
                <w:noProof/>
                <w:lang w:val="en-GB"/>
              </w:rPr>
              <w:drawing>
                <wp:inline distT="0" distB="0" distL="0" distR="0" wp14:anchorId="675F92EC" wp14:editId="589463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914C53" w14:textId="77777777" w:rsidR="00D058B8" w:rsidRPr="00F7701B" w:rsidRDefault="00D058B8" w:rsidP="004C5D52">
      <w:pPr>
        <w:pStyle w:val="LineTop"/>
      </w:pPr>
    </w:p>
    <w:p w14:paraId="7229F20D" w14:textId="77777777" w:rsidR="00680577" w:rsidRPr="00F7701B" w:rsidRDefault="00987C1D" w:rsidP="00680577">
      <w:pPr>
        <w:pStyle w:val="EPBodyTA1"/>
      </w:pPr>
      <w:r w:rsidRPr="00F7701B">
        <w:t>PŘIJATÉ TEXTY</w:t>
      </w:r>
    </w:p>
    <w:p w14:paraId="4E37DE20" w14:textId="77777777" w:rsidR="00D058B8" w:rsidRPr="00F7701B" w:rsidRDefault="00D058B8" w:rsidP="00D058B8">
      <w:pPr>
        <w:pStyle w:val="LineBottom"/>
      </w:pPr>
    </w:p>
    <w:p w14:paraId="50513FC6" w14:textId="77777777" w:rsidR="00987C1D" w:rsidRPr="00F7701B" w:rsidRDefault="00987C1D" w:rsidP="00987C1D">
      <w:pPr>
        <w:pStyle w:val="ATHeading1"/>
      </w:pPr>
      <w:bookmarkStart w:id="0" w:name="TANumber"/>
      <w:r w:rsidRPr="00F7701B">
        <w:t>P10_TA(2025)0</w:t>
      </w:r>
      <w:bookmarkEnd w:id="0"/>
      <w:r w:rsidR="00D56CDD">
        <w:t>149</w:t>
      </w:r>
    </w:p>
    <w:p w14:paraId="58087A13" w14:textId="77777777" w:rsidR="00987C1D" w:rsidRPr="00F7701B" w:rsidRDefault="00345A63" w:rsidP="00987C1D">
      <w:pPr>
        <w:pStyle w:val="ATHeading2"/>
      </w:pPr>
      <w:r w:rsidRPr="00B97BA8">
        <w:t>Nařízení proti odlesňování: seznam zemí, které jsou zařazeny do kategorií „nízké riziko“ nebo „vysoké riziko“</w:t>
      </w:r>
      <w:r w:rsidRPr="00345A63">
        <w:t xml:space="preserve"> </w:t>
      </w:r>
    </w:p>
    <w:p w14:paraId="5840215D" w14:textId="77777777" w:rsidR="00987C1D" w:rsidRPr="00F7701B" w:rsidRDefault="00987C1D" w:rsidP="00987C1D">
      <w:pPr>
        <w:rPr>
          <w:i/>
          <w:vanish/>
        </w:rPr>
      </w:pPr>
      <w:r w:rsidRPr="00F7701B">
        <w:rPr>
          <w:i/>
        </w:rPr>
        <w:fldChar w:fldCharType="begin"/>
      </w:r>
      <w:r w:rsidRPr="00F7701B">
        <w:rPr>
          <w:i/>
        </w:rPr>
        <w:instrText xml:space="preserve"> TC"(</w:instrText>
      </w:r>
      <w:bookmarkStart w:id="1" w:name="DocNumber"/>
      <w:r w:rsidRPr="00F7701B">
        <w:rPr>
          <w:i/>
        </w:rPr>
        <w:instrText>B10-0321/2025</w:instrText>
      </w:r>
      <w:bookmarkEnd w:id="1"/>
      <w:r w:rsidRPr="00F7701B">
        <w:rPr>
          <w:i/>
        </w:rPr>
        <w:instrText xml:space="preserve">)"\l3 \n&gt; \* MERGEFORMAT </w:instrText>
      </w:r>
      <w:r w:rsidRPr="00F7701B">
        <w:rPr>
          <w:i/>
        </w:rPr>
        <w:fldChar w:fldCharType="end"/>
      </w:r>
    </w:p>
    <w:p w14:paraId="2F4CCD4B" w14:textId="77777777" w:rsidR="00987C1D" w:rsidRPr="00F7701B" w:rsidRDefault="00987C1D" w:rsidP="00987C1D">
      <w:pPr>
        <w:rPr>
          <w:vanish/>
        </w:rPr>
      </w:pPr>
      <w:bookmarkStart w:id="2" w:name="PE"/>
      <w:r w:rsidRPr="00F7701B">
        <w:rPr>
          <w:vanish/>
        </w:rPr>
        <w:t>PE774.488</w:t>
      </w:r>
      <w:bookmarkEnd w:id="2"/>
    </w:p>
    <w:p w14:paraId="306C8E4A" w14:textId="77777777" w:rsidR="00987C1D" w:rsidRPr="00F7701B" w:rsidRDefault="00987C1D" w:rsidP="00987C1D">
      <w:pPr>
        <w:pStyle w:val="ATHeading3"/>
      </w:pPr>
      <w:bookmarkStart w:id="3" w:name="Sujet"/>
      <w:r w:rsidRPr="00F7701B">
        <w:t xml:space="preserve">Usnesení </w:t>
      </w:r>
      <w:r w:rsidR="00D56CDD">
        <w:t>Evropského parlamentu ze dne 9</w:t>
      </w:r>
      <w:r w:rsidR="000F7E63">
        <w:t>. července</w:t>
      </w:r>
      <w:r w:rsidR="00223F2A">
        <w:t xml:space="preserve"> 2025 </w:t>
      </w:r>
      <w:r w:rsidRPr="00F7701B">
        <w:t>o prováděcím nařízení Komise (EU) 2025/1093 ze dne 22. května 2025, kterým se stanoví prováděcí pravidla k nařízení Evropského parlamentu a Rady (EU) 2023/1115, pokud jde o seznam zemí, které jsou zařazeny do kategorií „nízké riziko“ nebo „vysoké riziko“ produkce relevantních komodit, jejichž relevantní produkty nejsou v souladu s čl. 3 písm. a)</w:t>
      </w:r>
      <w:bookmarkEnd w:id="3"/>
      <w:r w:rsidRPr="00F7701B">
        <w:t xml:space="preserve"> </w:t>
      </w:r>
      <w:bookmarkStart w:id="4" w:name="References"/>
      <w:r w:rsidRPr="00F7701B">
        <w:t>(2025/2739(RSP))</w:t>
      </w:r>
      <w:bookmarkEnd w:id="4"/>
    </w:p>
    <w:p w14:paraId="4F9B70C4" w14:textId="77777777" w:rsidR="008A0A5A" w:rsidRPr="00F7701B" w:rsidRDefault="008A0A5A" w:rsidP="008A0A5A">
      <w:pPr>
        <w:pStyle w:val="EPComma"/>
      </w:pPr>
      <w:bookmarkStart w:id="5" w:name="TextBodyBegin"/>
      <w:bookmarkEnd w:id="5"/>
      <w:r w:rsidRPr="00F7701B">
        <w:rPr>
          <w:i/>
        </w:rPr>
        <w:t>Evropský parlament</w:t>
      </w:r>
      <w:r w:rsidRPr="00F7701B">
        <w:t>,</w:t>
      </w:r>
    </w:p>
    <w:p w14:paraId="1941FEC6" w14:textId="77777777" w:rsidR="008A0A5A" w:rsidRPr="00F7701B" w:rsidRDefault="008A0A5A" w:rsidP="008A0A5A">
      <w:pPr>
        <w:pStyle w:val="NormalHanging12a"/>
      </w:pPr>
      <w:r w:rsidRPr="00F7701B">
        <w:t>–</w:t>
      </w:r>
      <w:r w:rsidRPr="00F7701B">
        <w:tab/>
        <w:t>s ohledem na prováděcí nařízení Komise (EU) 2025/1093 ze dne 22. května 2025, kterým se stanoví prováděcí pravidla k nařízení Evropského parlamentu a Rady (EU) 2023/1115, pokud jde o seznam zemí, které jsou zařazeny do kategorií „nízké riziko“ nebo „vysoké riziko“ produkce relevantních komodit, jejichž relevantní produkty nejsou v souladu s čl. 3 písm. a)</w:t>
      </w:r>
      <w:r w:rsidRPr="00F7701B">
        <w:rPr>
          <w:rStyle w:val="FootnoteReference"/>
          <w:color w:val="000000"/>
        </w:rPr>
        <w:footnoteReference w:id="1"/>
      </w:r>
      <w:r w:rsidRPr="00F7701B">
        <w:t>,</w:t>
      </w:r>
    </w:p>
    <w:p w14:paraId="13D7B72B" w14:textId="6EC57816" w:rsidR="008A0A5A" w:rsidRPr="00F7701B" w:rsidRDefault="008A0A5A" w:rsidP="008A0A5A">
      <w:pPr>
        <w:pStyle w:val="NormalHanging12a"/>
        <w:rPr>
          <w:shd w:val="clear" w:color="auto" w:fill="FFFFFF"/>
        </w:rPr>
      </w:pPr>
      <w:r w:rsidRPr="00F7701B">
        <w:t>–</w:t>
      </w:r>
      <w:r w:rsidRPr="00F7701B">
        <w:tab/>
        <w:t>s ohledem na nařízení Evropského parlamentu a Rady (EU)</w:t>
      </w:r>
      <w:r w:rsidR="004E0756">
        <w:t xml:space="preserve"> </w:t>
      </w:r>
      <w:r w:rsidRPr="00F7701B">
        <w:t>2023/1115 ze dne 31. května 2023 o dodávání na trh Unie a vývozu z Unie některých komodit a produktů spojených s odlesňováním a znehodnocováním lesů a o zrušení nařízení (EU) č. 995/2010</w:t>
      </w:r>
      <w:r w:rsidRPr="00F7701B">
        <w:rPr>
          <w:rStyle w:val="FootnoteReference"/>
          <w:color w:val="000000"/>
        </w:rPr>
        <w:footnoteReference w:id="2"/>
      </w:r>
      <w:r w:rsidRPr="00F7701B">
        <w:t xml:space="preserve">, a zejména na </w:t>
      </w:r>
      <w:r w:rsidRPr="00F7701B">
        <w:rPr>
          <w:shd w:val="clear" w:color="auto" w:fill="FFFFFF"/>
        </w:rPr>
        <w:t>článek čl. 29 odst. 2 uvedeného nařízení</w:t>
      </w:r>
      <w:r w:rsidRPr="00F7701B">
        <w:t>,</w:t>
      </w:r>
    </w:p>
    <w:p w14:paraId="559A99CD" w14:textId="77777777" w:rsidR="008A0A5A" w:rsidRPr="00F7701B" w:rsidRDefault="008A0A5A" w:rsidP="008A0A5A">
      <w:pPr>
        <w:pStyle w:val="NormalHanging12a"/>
      </w:pPr>
      <w:r w:rsidRPr="00F7701B">
        <w:t>–</w:t>
      </w:r>
      <w:r w:rsidRPr="00F7701B">
        <w:tab/>
        <w:t>s ohledem na článek 11 nařízení Evropského parlamentu a Rady (EU) č. 182/2011 ze dne 16. února 2011, kterým se stanoví pravidla a obecné zásady způsobu, jakým členské státy kontrolují Komisi při výkonu prováděcích pravomocí</w:t>
      </w:r>
      <w:r w:rsidRPr="00F7701B">
        <w:rPr>
          <w:rStyle w:val="FootnoteReference"/>
          <w:color w:val="000000"/>
        </w:rPr>
        <w:footnoteReference w:id="3"/>
      </w:r>
      <w:r w:rsidRPr="00F7701B">
        <w:t>,</w:t>
      </w:r>
    </w:p>
    <w:p w14:paraId="270B3B9E" w14:textId="77777777" w:rsidR="008A0A5A" w:rsidRPr="00F7701B" w:rsidRDefault="008A0A5A" w:rsidP="008A0A5A">
      <w:pPr>
        <w:pStyle w:val="NormalHanging12a"/>
      </w:pPr>
      <w:r w:rsidRPr="00F7701B">
        <w:t>–</w:t>
      </w:r>
      <w:r w:rsidRPr="00F7701B">
        <w:tab/>
        <w:t>s ohledem na čl. 115 odst. 2 a 3 jednacího řádu,</w:t>
      </w:r>
    </w:p>
    <w:p w14:paraId="74FAF6AF" w14:textId="77777777" w:rsidR="008A0A5A" w:rsidRPr="00F7701B" w:rsidRDefault="008A0A5A" w:rsidP="008A0A5A">
      <w:pPr>
        <w:pStyle w:val="NormalHanging12a"/>
      </w:pPr>
      <w:r w:rsidRPr="00F7701B">
        <w:t>–</w:t>
      </w:r>
      <w:r w:rsidRPr="00F7701B">
        <w:tab/>
        <w:t>s ohledem na návrh usnesení Výboru pro životní prostředí, klima a bezpečnost potravin,</w:t>
      </w:r>
    </w:p>
    <w:p w14:paraId="5AD6930E" w14:textId="77777777" w:rsidR="008A0A5A" w:rsidRPr="000F7E63" w:rsidRDefault="008A0A5A" w:rsidP="008A0A5A">
      <w:pPr>
        <w:pStyle w:val="NormalHanging12a"/>
        <w:rPr>
          <w:i/>
        </w:rPr>
      </w:pPr>
      <w:r w:rsidRPr="00F7701B">
        <w:t>–</w:t>
      </w:r>
      <w:r w:rsidRPr="00F7701B">
        <w:tab/>
        <w:t xml:space="preserve">s ohledem na plenární hlasování Evropského parlamentu dne 14. listopadu 2024 </w:t>
      </w:r>
      <w:r w:rsidRPr="000F7E63">
        <w:rPr>
          <w:i/>
        </w:rPr>
        <w:t>o </w:t>
      </w:r>
      <w:r w:rsidRPr="000F7E63">
        <w:rPr>
          <w:rStyle w:val="Emphasis"/>
          <w:i w:val="0"/>
          <w:color w:val="000000"/>
        </w:rPr>
        <w:t xml:space="preserve">nařízení, kterým se mění nařízení (EU) 2023/1115, pokud jde o ustanovení týkající se </w:t>
      </w:r>
      <w:r w:rsidRPr="000F7E63">
        <w:rPr>
          <w:rStyle w:val="Emphasis"/>
          <w:i w:val="0"/>
          <w:color w:val="000000"/>
        </w:rPr>
        <w:lastRenderedPageBreak/>
        <w:t>dne použitelnosti</w:t>
      </w:r>
      <w:r w:rsidR="00345A63">
        <w:rPr>
          <w:rStyle w:val="Emphasis"/>
          <w:i w:val="0"/>
          <w:color w:val="000000"/>
        </w:rPr>
        <w:t>,</w:t>
      </w:r>
    </w:p>
    <w:p w14:paraId="74D4671C" w14:textId="77777777" w:rsidR="008A0A5A" w:rsidRPr="00F7701B" w:rsidRDefault="008A0A5A" w:rsidP="008A0A5A">
      <w:pPr>
        <w:pStyle w:val="NormalHanging12a"/>
        <w:rPr>
          <w:b/>
          <w:i/>
        </w:rPr>
      </w:pPr>
      <w:r w:rsidRPr="00F7701B">
        <w:rPr>
          <w:b/>
          <w:i/>
        </w:rPr>
        <w:t>Obavy týkající se kvality údajů a metodické spolehlivosti</w:t>
      </w:r>
    </w:p>
    <w:p w14:paraId="13849403" w14:textId="78C38E2F" w:rsidR="008A0A5A" w:rsidRPr="00F7701B" w:rsidRDefault="008A0A5A" w:rsidP="008A0A5A">
      <w:pPr>
        <w:pStyle w:val="NormalHanging12a"/>
      </w:pPr>
      <w:r w:rsidRPr="00F7701B">
        <w:t>A.</w:t>
      </w:r>
      <w:r w:rsidRPr="00F7701B">
        <w:tab/>
        <w:t>vzhledem k tomu, že navrhovaná kategorizace zemí podle rizika v souladu s nařízením (EU) 2023/1115 neodráží s dostatečnou přesností současnou situaci v dotyčných zemích, neboť vychází ze zastaralých údajů a nezahrnuje všechny relevantní a dostupné ukazatele rizik;</w:t>
      </w:r>
    </w:p>
    <w:p w14:paraId="602EEDDC" w14:textId="77777777" w:rsidR="008A0A5A" w:rsidRPr="000F7E63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B.</w:t>
      </w:r>
      <w:r w:rsidRPr="000F7E63">
        <w:rPr>
          <w:b/>
        </w:rPr>
        <w:tab/>
      </w:r>
      <w:r w:rsidRPr="000F7E63">
        <w:t>vzhledem k tomu, že prováděcí nařízení Komise (EU) 2025/1093 neodráží s dostatečnou přesností reálné podmínky v dotčených zemích, neboť nezohledňuje klíčové faktory reálného světa, zejména současnou dynamiku využívání půdy a degradaci lesů; vzhledem k tomu, že uznání degradace jako rizikového faktoru by vedlo k zařazení některých členských států do vyšších rizikových kategorií, což by zpochybnilo předpoklad, že dodavatelské řetězce v Unii jsou automaticky nízkorizikové</w:t>
      </w:r>
      <w:r w:rsidRPr="000F7E63">
        <w:rPr>
          <w:rStyle w:val="FootnoteReference"/>
        </w:rPr>
        <w:footnoteReference w:id="4"/>
      </w:r>
      <w:r w:rsidRPr="000F7E63">
        <w:t>;</w:t>
      </w:r>
    </w:p>
    <w:p w14:paraId="036808A9" w14:textId="77777777" w:rsidR="008A0A5A" w:rsidRPr="000F7E63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C.</w:t>
      </w:r>
      <w:r w:rsidRPr="000F7E63">
        <w:rPr>
          <w:b/>
        </w:rPr>
        <w:tab/>
      </w:r>
      <w:r w:rsidRPr="000F7E63">
        <w:t>vzhledem k tomu, že v metodice nejsou dostatečně zohledněny důležité změny, k nimž došlo od 31. prosince 2020 v oblasti správy, trendů odlesňování a mechanismů prosazování právních předpisů, což je mezní datum uvedené v článku 2 nařízení (EU) 2023/1115;</w:t>
      </w:r>
    </w:p>
    <w:p w14:paraId="4920F8E9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D.</w:t>
      </w:r>
      <w:r w:rsidRPr="000F7E63">
        <w:rPr>
          <w:b/>
        </w:rPr>
        <w:tab/>
      </w:r>
      <w:r w:rsidRPr="000F7E63">
        <w:t>vzhledem k tomu, že údaje, z nichž se vychází při kategorizaci rizik, pocházejí především z Globálního posouzení lesních zdrojů, které provádí Organizace OSN pro výživu a zemědělství, přičemž nejnovější údaje předložené jednotlivými zeměmi týkající</w:t>
      </w:r>
      <w:r w:rsidRPr="00F7701B">
        <w:t xml:space="preserve"> se celého cyklu pocházejí z období před rokem 2020, což znamená, že tyto údaje neposkytují dostatečně věrný či spravedlivý obraz nedávného úsilí jednotlivých států v oblasti prevence odlesňování, nejnovějších opatření týkajících se využívání půdy, zlepšení satelitního monitorování v reálném čase a nejnovějších trendů odlesňování v některých zemích</w:t>
      </w:r>
      <w:r w:rsidRPr="00F7701B">
        <w:rPr>
          <w:rStyle w:val="FootnoteReference"/>
        </w:rPr>
        <w:footnoteReference w:id="5"/>
      </w:r>
      <w:r w:rsidRPr="00F7701B">
        <w:t>;</w:t>
      </w:r>
    </w:p>
    <w:p w14:paraId="10F9E15B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E.</w:t>
      </w:r>
      <w:r w:rsidRPr="000F7E63">
        <w:rPr>
          <w:b/>
        </w:rPr>
        <w:tab/>
      </w:r>
      <w:r w:rsidRPr="00F7701B">
        <w:t>vzhledem k tomu, že metodika kategorizace zemí podle rizika není dostatečně transparentní, pokud jde o způsob vážení různých rizikových faktorů, a nezohledňuje různost regionálních podmínek v rámci jednotlivých zemí; vzhledem k tomu, že následkem toho vznikají vážné pochybnosti ohledně spravedlnosti a věrohodnosti metodiky klasifikace;</w:t>
      </w:r>
    </w:p>
    <w:p w14:paraId="5D472A50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F.</w:t>
      </w:r>
      <w:r w:rsidRPr="000F7E63">
        <w:rPr>
          <w:b/>
        </w:rPr>
        <w:tab/>
      </w:r>
      <w:r w:rsidRPr="00F7701B">
        <w:t>vzhledem k tomu, že metodika kategorizace zemí podle rizika je chybná, protože se zaměřuje především na souhrnnou historickou míru odlesňování a tento přístup nebere v úvahu vícerozměrnost rizika odlesňování a nezohledňuje celý rozsah ukazatelů stanovených v článku 29 nařízení (EU) 2023/1115;</w:t>
      </w:r>
    </w:p>
    <w:p w14:paraId="0E2F1921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G.</w:t>
      </w:r>
      <w:r w:rsidRPr="000F7E63">
        <w:rPr>
          <w:b/>
        </w:rPr>
        <w:tab/>
      </w:r>
      <w:r w:rsidRPr="00F7701B">
        <w:t>vzhledem k tomu, že přístup, na kterém je založená současná metodika stanovená v nařízení (EU) 2023/1115, neposkytuje dostatečnou flexibilitu pro zohledňování včasných aktualizací, což vytváří značnou nejistotu na trhu a potenciální volatilitu;</w:t>
      </w:r>
    </w:p>
    <w:p w14:paraId="3FE3C734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H.</w:t>
      </w:r>
      <w:r w:rsidRPr="000F7E63">
        <w:rPr>
          <w:rStyle w:val="Strong"/>
          <w:b w:val="0"/>
          <w:color w:val="000000"/>
        </w:rPr>
        <w:tab/>
      </w:r>
      <w:r w:rsidRPr="00F7701B">
        <w:t xml:space="preserve">vzhledem k tomu, že bez jasně definovaného mechanismu pravidelného a transparentního přehodnocování dochází k tomu, že země jsou zařazeny do rizikových </w:t>
      </w:r>
      <w:r w:rsidRPr="00F7701B">
        <w:lastRenderedPageBreak/>
        <w:t>kategorií, které neodpovídají měnícím se podmínkám, což narušuje účinnost nařízení (EU) 2023/1115 i fungování světových komoditních trhů;</w:t>
      </w:r>
    </w:p>
    <w:p w14:paraId="205DE2EB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I.</w:t>
      </w:r>
      <w:r w:rsidRPr="000F7E63">
        <w:rPr>
          <w:b/>
        </w:rPr>
        <w:tab/>
      </w:r>
      <w:r w:rsidRPr="00F7701B">
        <w:t>vzhledem k tomu, že není-li jasně stanoveno, jakým způsobem mohou země na základě prokazatelného pokroku dosáhnout přeřazení do jiné kategorie rizika, zpochybňuje význam nařízení (EU) 2023/1115 jako pozitivního pobídkového mechanismu a omezuje jeho potenciál podporovat udržitelnou transformaci v podmínkách praxe;</w:t>
      </w:r>
    </w:p>
    <w:p w14:paraId="4CD720B8" w14:textId="77777777" w:rsidR="008A0A5A" w:rsidRPr="00F7701B" w:rsidRDefault="008A0A5A" w:rsidP="008A0A5A">
      <w:pPr>
        <w:pStyle w:val="NormalHanging12a"/>
        <w:rPr>
          <w:rStyle w:val="Strong"/>
          <w:b w:val="0"/>
          <w:i/>
          <w:color w:val="000000"/>
        </w:rPr>
      </w:pPr>
      <w:r w:rsidRPr="00F7701B">
        <w:rPr>
          <w:b/>
          <w:i/>
        </w:rPr>
        <w:t>Analýza výzev v první rizikové kategorii zemí (kategorie „nízké riziko“)</w:t>
      </w:r>
    </w:p>
    <w:p w14:paraId="740F1A64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J.</w:t>
      </w:r>
      <w:r w:rsidRPr="000F7E63">
        <w:rPr>
          <w:b/>
        </w:rPr>
        <w:tab/>
      </w:r>
      <w:r w:rsidRPr="00F7701B">
        <w:t>vzhledem k tomu, že kritérium čistého úbytku lesů mezi lety 2015 a 2020, které se používá k určení kategorie nízkého rizika uvedené v čl. 29 odst. 1 písm. b) nařízení (EU) 2023/1115, zohledňuje celkový úbytek lesní plochy, a nikoli odlesňování podle užší definice uvedené v tomto nařízení, takže bere v úvahu i plochy s dočasnou změnou lesního porostu nebo lesního hospodaření, nesouvisející se změnou využívání půdy, což narušuje metodickou konzistentnost a právní jistotu;</w:t>
      </w:r>
    </w:p>
    <w:p w14:paraId="02746F95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K.</w:t>
      </w:r>
      <w:r w:rsidRPr="000F7E63">
        <w:rPr>
          <w:b/>
        </w:rPr>
        <w:tab/>
      </w:r>
      <w:r w:rsidRPr="00F7701B">
        <w:t>vzhledem k tomu, že metodika kategorizace zemí podle rizika zavádí relativní prahovou hodnotu 0,2 % ročního úbytku lesní plochy a absolutní prahovou hodnotu 70 000 hektarů ročního úbytku lesů, aniž by tyto konkrétní hodnoty jasně zdůvodnila; vzhledem k tomu, že některé země s vysokou mírou odlesňování, jako jsou například Spojené státy, se nacházejí těsně pod absolutní hranicí, což vyvolává pochybnosti ohledně objektivity a spolehlivosti zvolených referenčních hodnot;</w:t>
      </w:r>
    </w:p>
    <w:p w14:paraId="47E96758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L.</w:t>
      </w:r>
      <w:r w:rsidRPr="000F7E63">
        <w:rPr>
          <w:b/>
        </w:rPr>
        <w:tab/>
      </w:r>
      <w:r w:rsidRPr="00F7701B">
        <w:t>vzhledem k tomu, že posuzování rizika odlesnění na základě rozšiřování plochy orné půdy využívané pro příslušné komodity podle definice uvedené v čl. 2 bodě 1 nařízení (EU) 2023/1115 a na základě rozsahu živočišné a dřevařské výroby není dostatečně přesné; vzhledem k tomu, že zahrnutí celkové produkce dřeva jako orientačního ukazatele rizika odlesnění je metodologicky sporné, protože směšuje zákonnou lesnickou činnost s odlesňováním způsobeným změnou využití půdy;</w:t>
      </w:r>
    </w:p>
    <w:p w14:paraId="602E67FF" w14:textId="77777777" w:rsidR="008A0A5A" w:rsidRPr="00F7701B" w:rsidRDefault="008A0A5A" w:rsidP="008A0A5A">
      <w:pPr>
        <w:pStyle w:val="NormalHanging12a"/>
        <w:rPr>
          <w:b/>
          <w:i/>
          <w:szCs w:val="24"/>
        </w:rPr>
      </w:pPr>
      <w:r w:rsidRPr="00F7701B">
        <w:rPr>
          <w:b/>
          <w:i/>
        </w:rPr>
        <w:t>Nedostatečná granularita a kontextualita</w:t>
      </w:r>
    </w:p>
    <w:p w14:paraId="6F5887FC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M.</w:t>
      </w:r>
      <w:r w:rsidRPr="000F7E63">
        <w:rPr>
          <w:b/>
        </w:rPr>
        <w:tab/>
      </w:r>
      <w:r w:rsidRPr="00F7701B">
        <w:t>vzhledem k tomu, že současný systém, který zahrnuje pouze tři kategorie rizika, neumožňuje dostatečně rozlišovat mezi zeměmi s velmi rozdílnou mírou rizika odlesnění;</w:t>
      </w:r>
    </w:p>
    <w:p w14:paraId="3265D365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N.</w:t>
      </w:r>
      <w:r w:rsidRPr="000F7E63">
        <w:rPr>
          <w:b/>
        </w:rPr>
        <w:tab/>
      </w:r>
      <w:r w:rsidRPr="00F7701B">
        <w:t>vzhledem k tomu, že tento nedostatečně diferencovaný přístup by mohl oslabit motivaci ambicióznějších vlád k dalším opatřením, protože fakticky penalizuje pokrok a neoceňuje smysluplné úsilí v boji proti odlesňování;</w:t>
      </w:r>
    </w:p>
    <w:p w14:paraId="076BA57B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O.</w:t>
      </w:r>
      <w:r w:rsidRPr="000F7E63">
        <w:rPr>
          <w:b/>
        </w:rPr>
        <w:tab/>
      </w:r>
      <w:r w:rsidRPr="00F7701B">
        <w:t>vzhledem k tomu, že Komise by tyto metodické nedostatky současného třístupňového klasifikačního systému měla řešit, a to tak, že zváží zavedení čtvrté kategorie rizika – „zanedbatelné riziko“ –, která by odrážela skutečnost, že v některých zemích nebo regionech je riziko odlesňování nebo degradace lesů díky pevným právním rámcům, nízké dynamice změn ve využívání půdy a udržitelným postupům hospodaření s půdou skutečně zanedbatelné;</w:t>
      </w:r>
    </w:p>
    <w:p w14:paraId="47B826B7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P.</w:t>
      </w:r>
      <w:r w:rsidRPr="000F7E63">
        <w:rPr>
          <w:b/>
        </w:rPr>
        <w:tab/>
      </w:r>
      <w:r w:rsidRPr="00F7701B">
        <w:t xml:space="preserve">vzhledem k tomu, že současný systém může vést k příliš zjednodušenému posuzování rizika odlesňování, protože výsledný status je zemím udělován na základě zastaralých údajů nebo vnitrostátních průměrů, což může vytvářet falešný pocit bezpečí a případně i omezovat povinnost náležité péče u výrobků pocházejících z oblastí, kde stále dochází </w:t>
      </w:r>
      <w:r w:rsidRPr="00F7701B">
        <w:lastRenderedPageBreak/>
        <w:t>k nezákonnému odlesňování;</w:t>
      </w:r>
    </w:p>
    <w:p w14:paraId="7EB21BCF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Q.</w:t>
      </w:r>
      <w:r w:rsidRPr="000F7E63">
        <w:rPr>
          <w:b/>
        </w:rPr>
        <w:tab/>
      </w:r>
      <w:r w:rsidRPr="00F7701B">
        <w:t>vzhledem k tomu, že současné údaje dokládají lokálně ohraničené zvyšování míry odlesňování v některých regionech světa, což je vývoj, který jasně svědčí o potřebnosti podrobného monitorování zaměřeného na jednotlivé regiony namísto statických celostátních klasifikací rizik, které mohou vést k nesprávnému popisu celkového trendu a k přehlížení regionálního pokroku nebo naopak zhoršení stavu;</w:t>
      </w:r>
    </w:p>
    <w:p w14:paraId="11E1D288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R.</w:t>
      </w:r>
      <w:r w:rsidRPr="000F7E63">
        <w:rPr>
          <w:b/>
        </w:rPr>
        <w:tab/>
      </w:r>
      <w:r w:rsidRPr="00F7701B">
        <w:t>vzhledem k tomu, že věrohodné výzkumy a dlouhodobé studie, jako je „Odlesňování Amazonie: minulost, současnost a budoucnost“</w:t>
      </w:r>
      <w:r w:rsidRPr="00F7701B">
        <w:rPr>
          <w:rStyle w:val="FootnoteReference"/>
        </w:rPr>
        <w:footnoteReference w:id="6"/>
      </w:r>
      <w:r w:rsidRPr="00F7701B">
        <w:t>, kterou v roce 2023 zveřejnila Amazonská síť georeferencovaných sociálně-ekologických informací, jasně dokazují složitost a proměnlivost dynamiky odlesňování, která se odvíjí od politických cyklů, úrovně vymáhání práva a místních socioekonomických podmínek, a dokládají tudíž potřebu adaptivnějšího a kontextuálnějšího přístupu namísto pevně daných referenčních hodnot pro jednotlivé země;</w:t>
      </w:r>
    </w:p>
    <w:p w14:paraId="1F56687A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S.</w:t>
      </w:r>
      <w:r w:rsidRPr="000F7E63">
        <w:rPr>
          <w:b/>
        </w:rPr>
        <w:tab/>
      </w:r>
      <w:r w:rsidRPr="00F7701B">
        <w:t>vzhledem k tomu, že současný model klasifikace rizik nezohledňuje volatilitu globálních komoditních trhů, kde kolísání cen, dynamika obchodu a změny poptávky mohou rychle změnit tlak na odlesňování;</w:t>
      </w:r>
    </w:p>
    <w:p w14:paraId="50F2C538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T.</w:t>
      </w:r>
      <w:r w:rsidRPr="000F7E63">
        <w:rPr>
          <w:b/>
        </w:rPr>
        <w:tab/>
      </w:r>
      <w:r w:rsidRPr="00F7701B">
        <w:t>vzhledem k tomu, že klasifikace rizik by měla rovněž umožnit vytvoření regulovaného kompenzačního mechanismu, který by mohl být používán výhradně mimo primární oblasti nebo oblasti s vysokou biologickou rozmanitostí;</w:t>
      </w:r>
    </w:p>
    <w:p w14:paraId="0C84D854" w14:textId="77777777" w:rsidR="008A0A5A" w:rsidRPr="00F7701B" w:rsidRDefault="008A0A5A" w:rsidP="008A0A5A">
      <w:pPr>
        <w:pStyle w:val="NormalHanging12a"/>
        <w:rPr>
          <w:b/>
        </w:rPr>
      </w:pPr>
      <w:r w:rsidRPr="00F7701B">
        <w:rPr>
          <w:b/>
          <w:i/>
        </w:rPr>
        <w:t>Obavy týkající se spravedlnosti, legitimity a globální účasti</w:t>
      </w:r>
    </w:p>
    <w:p w14:paraId="5F6BBFF7" w14:textId="77777777" w:rsidR="008A0A5A" w:rsidRPr="00F7701B" w:rsidRDefault="008A0A5A" w:rsidP="008A0A5A">
      <w:pPr>
        <w:pStyle w:val="NormalHanging12a"/>
      </w:pPr>
      <w:r w:rsidRPr="000F7E63">
        <w:rPr>
          <w:rStyle w:val="Strong"/>
          <w:b w:val="0"/>
          <w:color w:val="000000"/>
        </w:rPr>
        <w:t>U.</w:t>
      </w:r>
      <w:r w:rsidRPr="000F7E63">
        <w:rPr>
          <w:b/>
        </w:rPr>
        <w:tab/>
      </w:r>
      <w:r w:rsidRPr="00F7701B">
        <w:t>vzhledem k tomu, že současný systém referenčního srovnávání zemí může odrazovat od spolupráce a sdílení údajů ze strany zemí produkujících relevantní komodity, zejména pokud kategorizaci zemí podle rizika vnímají jako nespravedlivou nebo politicky motivovanou; vzhledem k tomu, že nezbytnou podmínkou posílení vzájemné důvěry a účasti je spravedlivý přístup založený na prokázaných faktech a na spolupráci, který bude namísto negativního označování podporovat transparentnost a vymahatelnou odpovědnost;</w:t>
      </w:r>
    </w:p>
    <w:p w14:paraId="43B06270" w14:textId="77777777" w:rsidR="008A0A5A" w:rsidRPr="00F7701B" w:rsidRDefault="008A0A5A" w:rsidP="008A0A5A">
      <w:pPr>
        <w:pStyle w:val="NormalHanging12a"/>
      </w:pPr>
      <w:r w:rsidRPr="000F7E63">
        <w:t>V</w:t>
      </w:r>
      <w:r w:rsidRPr="000F7E63">
        <w:rPr>
          <w:rStyle w:val="Strong"/>
          <w:color w:val="000000"/>
        </w:rPr>
        <w:t>.</w:t>
      </w:r>
      <w:r w:rsidRPr="00F7701B">
        <w:tab/>
        <w:t>vzhledem k tomu, že ekologické organizace a organizace občanské společnosti ze zemí produkujících relevantní komodity vznesly ke konzultacím, jež probíhaly v souvislosti s vývojem systému referenčního srovnávání zemí, výhrady, které se týkaly toho, že tyto konzultace nebyly dostatečně inkluzivní, a poukázaly na důležitost participativních procesů zahrnujících původní společenství, místní zúčastněné strany a regionální orgány;</w:t>
      </w:r>
    </w:p>
    <w:p w14:paraId="60BD3841" w14:textId="508A5EFE" w:rsidR="008A0A5A" w:rsidRPr="00F7701B" w:rsidRDefault="008A0A5A" w:rsidP="008A0A5A">
      <w:pPr>
        <w:pStyle w:val="NormalHanging12a"/>
      </w:pPr>
      <w:r w:rsidRPr="00F7701B">
        <w:t>1.</w:t>
      </w:r>
      <w:r w:rsidRPr="00F7701B">
        <w:tab/>
        <w:t>domnívá se, že prováděcí nařízení (EU) 2025/1093 překračuje prováděcí pravomoci stanovené nařízením (EU) 2023/1115;</w:t>
      </w:r>
    </w:p>
    <w:p w14:paraId="56240016" w14:textId="794BDCA7" w:rsidR="008A0A5A" w:rsidRPr="00F7701B" w:rsidRDefault="008A0A5A" w:rsidP="008A0A5A">
      <w:pPr>
        <w:pStyle w:val="NormalHanging12a"/>
      </w:pPr>
      <w:r w:rsidRPr="00F7701B">
        <w:t>2.</w:t>
      </w:r>
      <w:r w:rsidRPr="00F7701B">
        <w:tab/>
        <w:t>vyzývá Komisi, aby prováděcí nařízení (EU) 2025/1093 zrušila;</w:t>
      </w:r>
    </w:p>
    <w:p w14:paraId="3E242A1A" w14:textId="77777777" w:rsidR="008A0A5A" w:rsidRPr="00F7701B" w:rsidRDefault="008A0A5A" w:rsidP="008A0A5A">
      <w:pPr>
        <w:pStyle w:val="NormalHanging12a"/>
      </w:pPr>
      <w:r w:rsidRPr="00F7701B">
        <w:t>3.</w:t>
      </w:r>
      <w:r w:rsidRPr="00F7701B">
        <w:tab/>
        <w:t xml:space="preserve">vyzývá Komisi, aby revidovala systém referenčního srovnávání zemí a zajistila, že tento systém bude vycházet z aktuálních údajů, umožní rozlišování mezi regiony a bude </w:t>
      </w:r>
      <w:r w:rsidRPr="00F7701B">
        <w:lastRenderedPageBreak/>
        <w:t>zahrnovat transparentní vážení ukazatelů rizik;</w:t>
      </w:r>
    </w:p>
    <w:p w14:paraId="0C7006AF" w14:textId="77777777" w:rsidR="008A0A5A" w:rsidRPr="00F7701B" w:rsidRDefault="008A0A5A" w:rsidP="008A0A5A">
      <w:pPr>
        <w:pStyle w:val="NormalHanging12a"/>
      </w:pPr>
      <w:r w:rsidRPr="00F7701B">
        <w:t>4.</w:t>
      </w:r>
      <w:r w:rsidRPr="00F7701B">
        <w:tab/>
        <w:t>naléhavě vyzývá Komisi, aby zavedla jasné, časově omezené a transparentní postupy pro pravidelné přehodnocování kategorizace zemí podle rizika na základě měřitelného pokroku a aktualizovaných vědeckých údajů;</w:t>
      </w:r>
    </w:p>
    <w:p w14:paraId="40BD15E1" w14:textId="77777777" w:rsidR="008A0A5A" w:rsidRPr="00F7701B" w:rsidRDefault="008A0A5A" w:rsidP="008A0A5A">
      <w:pPr>
        <w:pStyle w:val="NormalHanging12a"/>
      </w:pPr>
      <w:r w:rsidRPr="00F7701B">
        <w:t>5.</w:t>
      </w:r>
      <w:r w:rsidRPr="00F7701B">
        <w:tab/>
        <w:t>zdůrazňuje význam spolupráce se zeměmi produkujícími relevantní komodity a zúčastněnými stranami prostřednictvím inkluzivních a participativních procesů a podpory reforem lesní správy a systémů sledovatelnosti;</w:t>
      </w:r>
    </w:p>
    <w:p w14:paraId="30FD3C52" w14:textId="77777777" w:rsidR="008A0A5A" w:rsidRPr="00F7701B" w:rsidRDefault="008A0A5A" w:rsidP="008A0A5A">
      <w:pPr>
        <w:pStyle w:val="NormalHanging12a"/>
      </w:pPr>
      <w:r w:rsidRPr="00F7701B">
        <w:t>6.</w:t>
      </w:r>
      <w:r w:rsidRPr="00F7701B">
        <w:tab/>
        <w:t>požaduje doplňková opatření, jako jsou partnerství v oblasti lesnictví, technická pomoc a pobídky pro spravedlivý obchod, která by doprovázela proces referenčního srovnávání a podporovala udržitelnou transformaci v regionech produkujících komodity;</w:t>
      </w:r>
    </w:p>
    <w:p w14:paraId="7DFFD89F" w14:textId="77777777" w:rsidR="00F7701B" w:rsidRPr="00F7701B" w:rsidRDefault="008A0A5A" w:rsidP="00F7701B">
      <w:pPr>
        <w:pStyle w:val="NormalHanging12a"/>
      </w:pPr>
      <w:r w:rsidRPr="00F7701B">
        <w:t>7.</w:t>
      </w:r>
      <w:r w:rsidRPr="00F7701B">
        <w:tab/>
        <w:t>pověřuje svou předsedkyni, aby předala toto usnesení Radě a Komisi, jakož i vládám a parlamentům členských států.</w:t>
      </w:r>
    </w:p>
    <w:p w14:paraId="5B264CDD" w14:textId="77777777" w:rsidR="00E365E1" w:rsidRPr="00F7701B" w:rsidRDefault="00E365E1" w:rsidP="00987C1D"/>
    <w:sectPr w:rsidR="00E365E1" w:rsidRPr="00F7701B" w:rsidSect="00F770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26543" w14:textId="77777777" w:rsidR="00987C1D" w:rsidRPr="00F7701B" w:rsidRDefault="00987C1D">
      <w:r w:rsidRPr="00F7701B">
        <w:separator/>
      </w:r>
    </w:p>
  </w:endnote>
  <w:endnote w:type="continuationSeparator" w:id="0">
    <w:p w14:paraId="3F5FE0B2" w14:textId="77777777" w:rsidR="00987C1D" w:rsidRPr="00F7701B" w:rsidRDefault="00987C1D">
      <w:r w:rsidRPr="00F770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EE96C" w14:textId="77777777" w:rsidR="00064002" w:rsidRPr="00F770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A2B20" w14:textId="77777777" w:rsidR="00064002" w:rsidRPr="00F770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8F68F" w14:textId="77777777" w:rsidR="00064002" w:rsidRPr="00F770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F1CFB" w14:textId="77777777" w:rsidR="00987C1D" w:rsidRPr="00F7701B" w:rsidRDefault="00987C1D">
      <w:r w:rsidRPr="00F7701B">
        <w:separator/>
      </w:r>
    </w:p>
  </w:footnote>
  <w:footnote w:type="continuationSeparator" w:id="0">
    <w:p w14:paraId="08FB6821" w14:textId="77777777" w:rsidR="00987C1D" w:rsidRPr="00F7701B" w:rsidRDefault="00987C1D">
      <w:r w:rsidRPr="00F7701B">
        <w:continuationSeparator/>
      </w:r>
    </w:p>
  </w:footnote>
  <w:footnote w:id="1">
    <w:p w14:paraId="725B094A" w14:textId="77777777" w:rsidR="008A0A5A" w:rsidRPr="00F7701B" w:rsidRDefault="008A0A5A" w:rsidP="00F7701B">
      <w:pPr>
        <w:pStyle w:val="FootnoteText"/>
        <w:ind w:left="567" w:hanging="567"/>
        <w:rPr>
          <w:sz w:val="24"/>
          <w:lang w:val="cs-CZ"/>
        </w:rPr>
      </w:pPr>
      <w:r w:rsidRPr="00F7701B">
        <w:rPr>
          <w:rStyle w:val="FootnoteReference"/>
          <w:sz w:val="24"/>
          <w:lang w:val="cs-CZ"/>
        </w:rPr>
        <w:footnoteRef/>
      </w:r>
      <w:r w:rsidR="00F7701B" w:rsidRPr="00F7701B">
        <w:rPr>
          <w:sz w:val="24"/>
          <w:lang w:val="cs-CZ"/>
        </w:rPr>
        <w:t xml:space="preserve"> </w:t>
      </w:r>
      <w:r w:rsidR="00F7701B" w:rsidRPr="00F7701B">
        <w:rPr>
          <w:sz w:val="24"/>
          <w:lang w:val="cs-CZ"/>
        </w:rPr>
        <w:tab/>
      </w:r>
      <w:r w:rsidRPr="00F7701B">
        <w:rPr>
          <w:sz w:val="24"/>
          <w:lang w:val="cs-CZ"/>
        </w:rPr>
        <w:t>Úř. věst. L</w:t>
      </w:r>
      <w:r w:rsidR="000F7E63">
        <w:rPr>
          <w:sz w:val="24"/>
          <w:lang w:val="cs-CZ"/>
        </w:rPr>
        <w:t>,</w:t>
      </w:r>
      <w:r w:rsidRPr="00F7701B">
        <w:rPr>
          <w:sz w:val="24"/>
          <w:lang w:val="cs-CZ"/>
        </w:rPr>
        <w:t xml:space="preserve"> 2025/1093, 23.5.2025, ELI: </w:t>
      </w:r>
      <w:hyperlink r:id="rId1" w:tooltip="Umožňuje přístup k tomuto dokumentu prostřednictvím jeho ELI URI." w:history="1">
        <w:r w:rsidRPr="00F7701B">
          <w:rPr>
            <w:rStyle w:val="Hyperlink"/>
            <w:sz w:val="24"/>
            <w:lang w:val="cs-CZ"/>
          </w:rPr>
          <w:t>http://data.europa.eu/eli/reg_impl/2025/1093/oj</w:t>
        </w:r>
      </w:hyperlink>
      <w:r w:rsidRPr="00F7701B">
        <w:rPr>
          <w:sz w:val="24"/>
          <w:lang w:val="cs-CZ"/>
        </w:rPr>
        <w:t>.</w:t>
      </w:r>
    </w:p>
  </w:footnote>
  <w:footnote w:id="2">
    <w:p w14:paraId="298062E8" w14:textId="77777777" w:rsidR="008A0A5A" w:rsidRPr="00F7701B" w:rsidRDefault="008A0A5A" w:rsidP="00F7701B">
      <w:pPr>
        <w:pStyle w:val="FootnoteText"/>
        <w:ind w:left="567" w:hanging="567"/>
        <w:rPr>
          <w:sz w:val="24"/>
          <w:lang w:val="cs-CZ"/>
        </w:rPr>
      </w:pPr>
      <w:r w:rsidRPr="00F7701B">
        <w:rPr>
          <w:rStyle w:val="FootnoteReference"/>
          <w:sz w:val="24"/>
          <w:lang w:val="cs-CZ"/>
        </w:rPr>
        <w:footnoteRef/>
      </w:r>
      <w:r w:rsidR="00F7701B" w:rsidRPr="00F7701B">
        <w:rPr>
          <w:sz w:val="24"/>
          <w:lang w:val="cs-CZ"/>
        </w:rPr>
        <w:t xml:space="preserve"> </w:t>
      </w:r>
      <w:r w:rsidR="00F7701B" w:rsidRPr="00F7701B">
        <w:rPr>
          <w:sz w:val="24"/>
          <w:lang w:val="cs-CZ"/>
        </w:rPr>
        <w:tab/>
      </w:r>
      <w:r w:rsidRPr="00F7701B">
        <w:rPr>
          <w:sz w:val="24"/>
          <w:lang w:val="cs-CZ"/>
        </w:rPr>
        <w:t>Úř. věst. L 150, 9.6.2023, s. 206, ELI: </w:t>
      </w:r>
      <w:hyperlink r:id="rId2" w:tooltip="Umožňuje přístup k tomuto dokumentu prostřednictvím jeho ELI URI." w:history="1">
        <w:r w:rsidRPr="00F7701B">
          <w:rPr>
            <w:rStyle w:val="Hyperlink"/>
            <w:sz w:val="24"/>
            <w:lang w:val="cs-CZ"/>
          </w:rPr>
          <w:t>http://data.europa.eu/eli/reg/2023/1115/oj</w:t>
        </w:r>
      </w:hyperlink>
      <w:r w:rsidRPr="00F7701B">
        <w:rPr>
          <w:sz w:val="24"/>
          <w:lang w:val="cs-CZ"/>
        </w:rPr>
        <w:t xml:space="preserve">. </w:t>
      </w:r>
    </w:p>
  </w:footnote>
  <w:footnote w:id="3">
    <w:p w14:paraId="3D5F1E0C" w14:textId="77777777" w:rsidR="008A0A5A" w:rsidRPr="00F7701B" w:rsidRDefault="008A0A5A" w:rsidP="00F7701B">
      <w:pPr>
        <w:pStyle w:val="FootnoteText"/>
        <w:ind w:left="567" w:hanging="567"/>
        <w:rPr>
          <w:sz w:val="24"/>
          <w:lang w:val="cs-CZ"/>
        </w:rPr>
      </w:pPr>
      <w:r w:rsidRPr="00F7701B">
        <w:rPr>
          <w:rStyle w:val="FootnoteReference"/>
          <w:sz w:val="24"/>
          <w:lang w:val="cs-CZ"/>
        </w:rPr>
        <w:footnoteRef/>
      </w:r>
      <w:r w:rsidR="00F7701B" w:rsidRPr="00F7701B">
        <w:rPr>
          <w:sz w:val="24"/>
          <w:lang w:val="cs-CZ"/>
        </w:rPr>
        <w:t xml:space="preserve"> </w:t>
      </w:r>
      <w:r w:rsidR="00F7701B" w:rsidRPr="00F7701B">
        <w:rPr>
          <w:sz w:val="24"/>
          <w:lang w:val="cs-CZ"/>
        </w:rPr>
        <w:tab/>
      </w:r>
      <w:r w:rsidRPr="00F7701B">
        <w:rPr>
          <w:sz w:val="24"/>
          <w:lang w:val="cs-CZ"/>
        </w:rPr>
        <w:t xml:space="preserve">Úř. věst. L 55, 28.2.2011, s. 13, ELI: </w:t>
      </w:r>
      <w:hyperlink r:id="rId3" w:history="1">
        <w:r w:rsidRPr="00F7701B">
          <w:rPr>
            <w:rStyle w:val="Hyperlink"/>
            <w:sz w:val="24"/>
            <w:lang w:val="cs-CZ"/>
          </w:rPr>
          <w:t>http://data.europa.eu/eli/reg/2011/182/oj</w:t>
        </w:r>
      </w:hyperlink>
      <w:r w:rsidRPr="00F7701B">
        <w:rPr>
          <w:sz w:val="24"/>
          <w:lang w:val="cs-CZ"/>
        </w:rPr>
        <w:t>.</w:t>
      </w:r>
    </w:p>
  </w:footnote>
  <w:footnote w:id="4">
    <w:p w14:paraId="05107BF1" w14:textId="77777777" w:rsidR="008A0A5A" w:rsidRPr="00F7701B" w:rsidRDefault="008A0A5A" w:rsidP="00F7701B">
      <w:pPr>
        <w:pStyle w:val="FootnoteText"/>
        <w:ind w:left="567" w:hanging="567"/>
        <w:rPr>
          <w:sz w:val="24"/>
          <w:lang w:val="cs-CZ"/>
        </w:rPr>
      </w:pPr>
      <w:r w:rsidRPr="00F7701B">
        <w:rPr>
          <w:rStyle w:val="FootnoteReference"/>
          <w:sz w:val="24"/>
          <w:lang w:val="cs-CZ"/>
        </w:rPr>
        <w:footnoteRef/>
      </w:r>
      <w:r w:rsidR="00F7701B" w:rsidRPr="00F7701B">
        <w:rPr>
          <w:sz w:val="24"/>
          <w:lang w:val="cs-CZ"/>
        </w:rPr>
        <w:t xml:space="preserve"> </w:t>
      </w:r>
      <w:r w:rsidR="00F7701B" w:rsidRPr="00F7701B">
        <w:rPr>
          <w:sz w:val="24"/>
          <w:lang w:val="cs-CZ"/>
        </w:rPr>
        <w:tab/>
      </w:r>
      <w:hyperlink r:id="rId4" w:history="1">
        <w:r w:rsidRPr="00F7701B">
          <w:rPr>
            <w:rStyle w:val="Hyperlink"/>
            <w:sz w:val="24"/>
            <w:lang w:val="cs-CZ"/>
          </w:rPr>
          <w:t>https://www.eea.europa.eu/publications/how-are-european-forest/how-are-european-forest-ecosystems-doing</w:t>
        </w:r>
      </w:hyperlink>
      <w:r w:rsidRPr="00F7701B">
        <w:rPr>
          <w:sz w:val="24"/>
          <w:lang w:val="cs-CZ"/>
        </w:rPr>
        <w:t>.</w:t>
      </w:r>
    </w:p>
  </w:footnote>
  <w:footnote w:id="5">
    <w:p w14:paraId="646F8E43" w14:textId="77777777" w:rsidR="008A0A5A" w:rsidRPr="00F7701B" w:rsidRDefault="008A0A5A" w:rsidP="00F7701B">
      <w:pPr>
        <w:pStyle w:val="FootnoteText"/>
        <w:ind w:left="567" w:hanging="567"/>
        <w:rPr>
          <w:sz w:val="24"/>
          <w:lang w:val="cs-CZ"/>
        </w:rPr>
      </w:pPr>
      <w:r w:rsidRPr="00F7701B">
        <w:rPr>
          <w:rStyle w:val="FootnoteReference"/>
          <w:sz w:val="24"/>
          <w:lang w:val="cs-CZ"/>
        </w:rPr>
        <w:footnoteRef/>
      </w:r>
      <w:r w:rsidR="00F7701B" w:rsidRPr="00F7701B">
        <w:rPr>
          <w:sz w:val="24"/>
          <w:lang w:val="cs-CZ"/>
        </w:rPr>
        <w:t xml:space="preserve"> </w:t>
      </w:r>
      <w:r w:rsidR="00F7701B" w:rsidRPr="00F7701B">
        <w:rPr>
          <w:sz w:val="24"/>
          <w:lang w:val="cs-CZ"/>
        </w:rPr>
        <w:tab/>
      </w:r>
      <w:hyperlink r:id="rId5" w:history="1">
        <w:r w:rsidRPr="00F7701B">
          <w:rPr>
            <w:rStyle w:val="Hyperlink"/>
            <w:sz w:val="24"/>
            <w:lang w:val="cs-CZ"/>
          </w:rPr>
          <w:t>https://www.fao.org/forest-resources-assessment/en</w:t>
        </w:r>
      </w:hyperlink>
      <w:r w:rsidRPr="00F7701B">
        <w:rPr>
          <w:sz w:val="24"/>
          <w:lang w:val="cs-CZ"/>
        </w:rPr>
        <w:t>.</w:t>
      </w:r>
    </w:p>
  </w:footnote>
  <w:footnote w:id="6">
    <w:p w14:paraId="26B185A5" w14:textId="77777777" w:rsidR="008A0A5A" w:rsidRPr="00F7701B" w:rsidRDefault="008A0A5A" w:rsidP="00F7701B">
      <w:pPr>
        <w:pStyle w:val="FootnoteText"/>
        <w:ind w:left="567" w:hanging="567"/>
        <w:rPr>
          <w:sz w:val="24"/>
          <w:lang w:val="cs-CZ"/>
        </w:rPr>
      </w:pPr>
      <w:r w:rsidRPr="00F7701B">
        <w:rPr>
          <w:rStyle w:val="FootnoteReference"/>
          <w:sz w:val="24"/>
          <w:lang w:val="cs-CZ"/>
        </w:rPr>
        <w:footnoteRef/>
      </w:r>
      <w:r w:rsidR="00F7701B" w:rsidRPr="00F7701B">
        <w:rPr>
          <w:sz w:val="24"/>
          <w:lang w:val="cs-CZ"/>
        </w:rPr>
        <w:t xml:space="preserve"> </w:t>
      </w:r>
      <w:r w:rsidR="00F7701B" w:rsidRPr="00F7701B">
        <w:rPr>
          <w:sz w:val="24"/>
          <w:lang w:val="cs-CZ"/>
        </w:rPr>
        <w:tab/>
      </w:r>
      <w:hyperlink r:id="rId6" w:history="1">
        <w:r w:rsidRPr="00F7701B">
          <w:rPr>
            <w:rStyle w:val="Hyperlink"/>
            <w:sz w:val="24"/>
            <w:lang w:val="cs-CZ"/>
          </w:rPr>
          <w:t>https://infoamazonia.org/wp-content/uploads/2023/03/DEFORESTACION-AMAZONIA-2025_21032023.pdf</w:t>
        </w:r>
      </w:hyperlink>
      <w:r w:rsidRPr="00F7701B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46A3" w14:textId="77777777" w:rsidR="00064002" w:rsidRPr="00F770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4A7CF" w14:textId="77777777" w:rsidR="00064002" w:rsidRPr="00F770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FA360" w14:textId="77777777" w:rsidR="00064002" w:rsidRPr="00F770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0288670">
    <w:abstractNumId w:val="9"/>
  </w:num>
  <w:num w:numId="2" w16cid:durableId="1347102365">
    <w:abstractNumId w:val="9"/>
  </w:num>
  <w:num w:numId="3" w16cid:durableId="917441250">
    <w:abstractNumId w:val="7"/>
  </w:num>
  <w:num w:numId="4" w16cid:durableId="2091925084">
    <w:abstractNumId w:val="7"/>
  </w:num>
  <w:num w:numId="5" w16cid:durableId="1080567088">
    <w:abstractNumId w:val="6"/>
  </w:num>
  <w:num w:numId="6" w16cid:durableId="62799702">
    <w:abstractNumId w:val="6"/>
  </w:num>
  <w:num w:numId="7" w16cid:durableId="1518352794">
    <w:abstractNumId w:val="5"/>
  </w:num>
  <w:num w:numId="8" w16cid:durableId="2086103765">
    <w:abstractNumId w:val="5"/>
  </w:num>
  <w:num w:numId="9" w16cid:durableId="1345329482">
    <w:abstractNumId w:val="4"/>
  </w:num>
  <w:num w:numId="10" w16cid:durableId="1359432568">
    <w:abstractNumId w:val="4"/>
  </w:num>
  <w:num w:numId="11" w16cid:durableId="1216356232">
    <w:abstractNumId w:val="8"/>
  </w:num>
  <w:num w:numId="12" w16cid:durableId="973802036">
    <w:abstractNumId w:val="8"/>
  </w:num>
  <w:num w:numId="13" w16cid:durableId="619412318">
    <w:abstractNumId w:val="3"/>
  </w:num>
  <w:num w:numId="14" w16cid:durableId="723262968">
    <w:abstractNumId w:val="3"/>
  </w:num>
  <w:num w:numId="15" w16cid:durableId="1947345502">
    <w:abstractNumId w:val="2"/>
  </w:num>
  <w:num w:numId="16" w16cid:durableId="1236696791">
    <w:abstractNumId w:val="2"/>
  </w:num>
  <w:num w:numId="17" w16cid:durableId="1245916685">
    <w:abstractNumId w:val="1"/>
  </w:num>
  <w:num w:numId="18" w16cid:durableId="1938949222">
    <w:abstractNumId w:val="1"/>
  </w:num>
  <w:num w:numId="19" w16cid:durableId="820269296">
    <w:abstractNumId w:val="0"/>
  </w:num>
  <w:num w:numId="20" w16cid:durableId="1772168247">
    <w:abstractNumId w:val="0"/>
  </w:num>
  <w:num w:numId="21" w16cid:durableId="1393504000">
    <w:abstractNumId w:val="9"/>
  </w:num>
  <w:num w:numId="22" w16cid:durableId="1454208581">
    <w:abstractNumId w:val="7"/>
  </w:num>
  <w:num w:numId="23" w16cid:durableId="1242256126">
    <w:abstractNumId w:val="6"/>
  </w:num>
  <w:num w:numId="24" w16cid:durableId="202525049">
    <w:abstractNumId w:val="5"/>
  </w:num>
  <w:num w:numId="25" w16cid:durableId="152962483">
    <w:abstractNumId w:val="4"/>
  </w:num>
  <w:num w:numId="26" w16cid:durableId="1806973070">
    <w:abstractNumId w:val="8"/>
  </w:num>
  <w:num w:numId="27" w16cid:durableId="347025017">
    <w:abstractNumId w:val="3"/>
  </w:num>
  <w:num w:numId="28" w16cid:durableId="937444987">
    <w:abstractNumId w:val="2"/>
  </w:num>
  <w:num w:numId="29" w16cid:durableId="1373385520">
    <w:abstractNumId w:val="1"/>
  </w:num>
  <w:num w:numId="30" w16cid:durableId="2032798177">
    <w:abstractNumId w:val="0"/>
  </w:num>
  <w:num w:numId="31" w16cid:durableId="1175610223">
    <w:abstractNumId w:val="9"/>
  </w:num>
  <w:num w:numId="32" w16cid:durableId="1457260643">
    <w:abstractNumId w:val="7"/>
  </w:num>
  <w:num w:numId="33" w16cid:durableId="1220168009">
    <w:abstractNumId w:val="6"/>
  </w:num>
  <w:num w:numId="34" w16cid:durableId="1577863997">
    <w:abstractNumId w:val="5"/>
  </w:num>
  <w:num w:numId="35" w16cid:durableId="239681506">
    <w:abstractNumId w:val="4"/>
  </w:num>
  <w:num w:numId="36" w16cid:durableId="618219754">
    <w:abstractNumId w:val="8"/>
  </w:num>
  <w:num w:numId="37" w16cid:durableId="1283196405">
    <w:abstractNumId w:val="3"/>
  </w:num>
  <w:num w:numId="38" w16cid:durableId="326442194">
    <w:abstractNumId w:val="2"/>
  </w:num>
  <w:num w:numId="39" w16cid:durableId="223299651">
    <w:abstractNumId w:val="1"/>
  </w:num>
  <w:num w:numId="40" w16cid:durableId="1634870427">
    <w:abstractNumId w:val="0"/>
  </w:num>
  <w:num w:numId="41" w16cid:durableId="1348217998">
    <w:abstractNumId w:val="10"/>
  </w:num>
  <w:num w:numId="42" w16cid:durableId="208928798">
    <w:abstractNumId w:val="10"/>
  </w:num>
  <w:num w:numId="43" w16cid:durableId="1709334454">
    <w:abstractNumId w:val="10"/>
  </w:num>
  <w:num w:numId="44" w16cid:durableId="711076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21/2025"/>
    <w:docVar w:name="dvlangue" w:val="CS"/>
    <w:docVar w:name="dvnumam" w:val="0"/>
    <w:docVar w:name="dvpe" w:val="774.488"/>
    <w:docVar w:name="dvtitre" w:val="Usnesení Evropského parlamentu ze dne.... 2025 o návrhu nařízení Komise o prováděcím nařízení Komise (EU) 2025/1093 ze dne 22. května 2025, kterým se stanoví prováděcí pravidla k nařízení Evropského parlamentu a Rady (EU) 2023/1115, pokud jde o seznam zemí, které jsou zařazeny do kategorií „nízké riziko“ nebo „vysoké riziko“ produkce relevantních komodit, jejichž relevantní produkty nejsou v souladu s čl. 3 písm. a)(2025/2739(RSP))"/>
  </w:docVars>
  <w:rsids>
    <w:rsidRoot w:val="00987C1D"/>
    <w:rsid w:val="00002272"/>
    <w:rsid w:val="00064002"/>
    <w:rsid w:val="000677B9"/>
    <w:rsid w:val="000831BA"/>
    <w:rsid w:val="000A42CC"/>
    <w:rsid w:val="000E7DD9"/>
    <w:rsid w:val="000F7E63"/>
    <w:rsid w:val="0010095E"/>
    <w:rsid w:val="00125B37"/>
    <w:rsid w:val="00187494"/>
    <w:rsid w:val="001F32AE"/>
    <w:rsid w:val="00223F2A"/>
    <w:rsid w:val="002767FF"/>
    <w:rsid w:val="002B18FE"/>
    <w:rsid w:val="002B5493"/>
    <w:rsid w:val="00343214"/>
    <w:rsid w:val="00345A63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756"/>
    <w:rsid w:val="0050399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A5A"/>
    <w:rsid w:val="008C2AC6"/>
    <w:rsid w:val="00930C23"/>
    <w:rsid w:val="0093193B"/>
    <w:rsid w:val="009509D8"/>
    <w:rsid w:val="00950B64"/>
    <w:rsid w:val="00981893"/>
    <w:rsid w:val="00987C1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BA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6CDD"/>
    <w:rsid w:val="00D834A0"/>
    <w:rsid w:val="00D872DF"/>
    <w:rsid w:val="00D91E21"/>
    <w:rsid w:val="00DA7FCD"/>
    <w:rsid w:val="00E365E1"/>
    <w:rsid w:val="00E57D6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01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E7D86"/>
  <w15:chartTrackingRefBased/>
  <w15:docId w15:val="{65144ACC-DBAE-4EA4-83AE-F446FEF76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0A5A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8A0A5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A0A5A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A0A5A"/>
    <w:rPr>
      <w:i/>
      <w:iCs/>
    </w:rPr>
  </w:style>
  <w:style w:type="character" w:styleId="Strong">
    <w:name w:val="Strong"/>
    <w:basedOn w:val="DefaultParagraphFont"/>
    <w:uiPriority w:val="22"/>
    <w:qFormat/>
    <w:rsid w:val="008A0A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1/182/oj" TargetMode="External"/><Relationship Id="rId2" Type="http://schemas.openxmlformats.org/officeDocument/2006/relationships/hyperlink" Target="http://data.europa.eu/eli/reg/2023/1115/oj" TargetMode="External"/><Relationship Id="rId1" Type="http://schemas.openxmlformats.org/officeDocument/2006/relationships/hyperlink" Target="http://data.europa.eu/eli/reg_impl/2025/1093/oj" TargetMode="External"/><Relationship Id="rId6" Type="http://schemas.openxmlformats.org/officeDocument/2006/relationships/hyperlink" Target="https://infoamazonia.org/wp-content/uploads/2023/03/DEFORESTACION-AMAZONIA-2025_21032023.pdf" TargetMode="External"/><Relationship Id="rId5" Type="http://schemas.openxmlformats.org/officeDocument/2006/relationships/hyperlink" Target="https://www.fao.org/forest-resources-assessment/en" TargetMode="External"/><Relationship Id="rId4" Type="http://schemas.openxmlformats.org/officeDocument/2006/relationships/hyperlink" Target="https://www.eea.europa.eu/publications/how-are-european-forest/how-are-european-forest-ecosystems-do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168F1-4DF3-4047-A174-55FD565AA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1566</Words>
  <Characters>9764</Characters>
  <Application>Microsoft Office Word</Application>
  <DocSecurity>0</DocSecurity>
  <Lines>424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2025-08-14T13:02:00Z</dcterms:created>
  <dcterms:modified xsi:type="dcterms:W3CDTF">2025-08-14T13:02:00Z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B10-0321/2025</vt:lpwstr>
  </property>
  <property fmtid="{D5CDD505-2E9C-101B-9397-08002B2CF9AE}" pid="4" name="&lt;Type&gt;">
    <vt:lpwstr>RR</vt:lpwstr>
  </property>
</Properties>
</file>