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33F0" w14:paraId="06EEA6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956ED7" w14:textId="77777777" w:rsidR="00751A4A" w:rsidRPr="00FD33F0" w:rsidRDefault="009C04E3" w:rsidP="0010095E">
            <w:pPr>
              <w:pStyle w:val="EPName"/>
            </w:pPr>
            <w:r w:rsidRPr="00FD33F0">
              <w:t>Parlament Europejski</w:t>
            </w:r>
          </w:p>
          <w:p w14:paraId="0AC9EC73" w14:textId="77777777" w:rsidR="00751A4A" w:rsidRPr="00FD33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33F0">
              <w:t>2024</w:t>
            </w:r>
            <w:r w:rsidR="00817416" w:rsidRPr="00FD33F0">
              <w:t>-202</w:t>
            </w:r>
            <w:r w:rsidRPr="00FD33F0">
              <w:t>9</w:t>
            </w:r>
          </w:p>
        </w:tc>
        <w:tc>
          <w:tcPr>
            <w:tcW w:w="2268" w:type="dxa"/>
            <w:shd w:val="clear" w:color="auto" w:fill="auto"/>
          </w:tcPr>
          <w:p w14:paraId="7F80B00C" w14:textId="77777777" w:rsidR="00751A4A" w:rsidRPr="00FD33F0" w:rsidRDefault="00187494" w:rsidP="0010095E">
            <w:pPr>
              <w:pStyle w:val="EPLogo"/>
            </w:pPr>
            <w:r w:rsidRPr="00FD33F0">
              <w:rPr>
                <w:noProof/>
                <w:lang w:eastAsia="ja-JP"/>
              </w:rPr>
              <w:drawing>
                <wp:inline distT="0" distB="0" distL="0" distR="0" wp14:anchorId="2976E0ED" wp14:editId="509FBD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637911" w14:textId="77777777" w:rsidR="00D058B8" w:rsidRPr="00FD33F0" w:rsidRDefault="00D058B8" w:rsidP="004C5D52">
      <w:pPr>
        <w:pStyle w:val="LineTop"/>
      </w:pPr>
    </w:p>
    <w:p w14:paraId="5F282896" w14:textId="77777777" w:rsidR="00680577" w:rsidRPr="00FD33F0" w:rsidRDefault="009C04E3" w:rsidP="00680577">
      <w:pPr>
        <w:pStyle w:val="EPBodyTA1"/>
      </w:pPr>
      <w:r w:rsidRPr="00FD33F0">
        <w:t>TEKSTY PRZYJĘTE</w:t>
      </w:r>
    </w:p>
    <w:p w14:paraId="22A9F12A" w14:textId="77777777" w:rsidR="00D058B8" w:rsidRPr="00FD33F0" w:rsidRDefault="00D058B8" w:rsidP="00D058B8">
      <w:pPr>
        <w:pStyle w:val="LineBottom"/>
      </w:pPr>
    </w:p>
    <w:p w14:paraId="6C959699" w14:textId="131F8346" w:rsidR="009C04E3" w:rsidRPr="00FD33F0" w:rsidRDefault="009C04E3" w:rsidP="009C04E3">
      <w:pPr>
        <w:pStyle w:val="ATHeading1"/>
      </w:pPr>
      <w:bookmarkStart w:id="0" w:name="TANumber"/>
      <w:r w:rsidRPr="00FD33F0">
        <w:t>P10_TA(2025)0</w:t>
      </w:r>
      <w:bookmarkEnd w:id="0"/>
      <w:r w:rsidR="00652961">
        <w:t>149</w:t>
      </w:r>
    </w:p>
    <w:p w14:paraId="628F09B4" w14:textId="6BD11E81" w:rsidR="009C04E3" w:rsidRPr="00FD33F0" w:rsidRDefault="002121D7" w:rsidP="009C04E3">
      <w:pPr>
        <w:pStyle w:val="ATHeading2"/>
      </w:pPr>
      <w:bookmarkStart w:id="1" w:name="title"/>
      <w:r>
        <w:t>R</w:t>
      </w:r>
      <w:r w:rsidR="009C04E3" w:rsidRPr="00FD33F0">
        <w:t>ozporządzenie o wylesianiu – wykaz krajów o</w:t>
      </w:r>
      <w:r>
        <w:t xml:space="preserve"> </w:t>
      </w:r>
      <w:r w:rsidR="009C04E3" w:rsidRPr="00FD33F0">
        <w:t>niskim lub wysokim ryzyku</w:t>
      </w:r>
      <w:bookmarkEnd w:id="1"/>
    </w:p>
    <w:p w14:paraId="2474238C" w14:textId="77777777" w:rsidR="009C04E3" w:rsidRPr="00FD33F0" w:rsidRDefault="009C04E3" w:rsidP="009C04E3">
      <w:pPr>
        <w:rPr>
          <w:i/>
          <w:vanish/>
        </w:rPr>
      </w:pPr>
      <w:r w:rsidRPr="00FD33F0">
        <w:rPr>
          <w:i/>
        </w:rPr>
        <w:fldChar w:fldCharType="begin"/>
      </w:r>
      <w:r w:rsidRPr="00FD33F0">
        <w:rPr>
          <w:i/>
        </w:rPr>
        <w:instrText xml:space="preserve"> TC"(</w:instrText>
      </w:r>
      <w:bookmarkStart w:id="2" w:name="DocNumber"/>
      <w:r w:rsidRPr="00FD33F0">
        <w:rPr>
          <w:i/>
        </w:rPr>
        <w:instrText>B10-0321/2025</w:instrText>
      </w:r>
      <w:bookmarkEnd w:id="2"/>
      <w:r w:rsidRPr="00FD33F0">
        <w:rPr>
          <w:i/>
        </w:rPr>
        <w:instrText xml:space="preserve">)"\l3 \n&gt; \* MERGEFORMAT </w:instrText>
      </w:r>
      <w:r w:rsidRPr="00FD33F0">
        <w:rPr>
          <w:i/>
        </w:rPr>
        <w:fldChar w:fldCharType="end"/>
      </w:r>
    </w:p>
    <w:p w14:paraId="16846D95" w14:textId="77777777" w:rsidR="009C04E3" w:rsidRPr="00FD33F0" w:rsidRDefault="009C04E3" w:rsidP="009C04E3">
      <w:pPr>
        <w:rPr>
          <w:vanish/>
        </w:rPr>
      </w:pPr>
      <w:bookmarkStart w:id="3" w:name="PE"/>
      <w:r w:rsidRPr="00FD33F0">
        <w:rPr>
          <w:vanish/>
        </w:rPr>
        <w:t>PE774.488</w:t>
      </w:r>
      <w:bookmarkEnd w:id="3"/>
    </w:p>
    <w:p w14:paraId="716C97AF" w14:textId="52F60262" w:rsidR="009C04E3" w:rsidRPr="00FD33F0" w:rsidRDefault="009C04E3" w:rsidP="009C04E3">
      <w:pPr>
        <w:pStyle w:val="ATHeading3"/>
      </w:pPr>
      <w:bookmarkStart w:id="4" w:name="Sujet"/>
      <w:r w:rsidRPr="00FD33F0">
        <w:t xml:space="preserve">Rezolucja Parlamentu Europejskiego z dnia </w:t>
      </w:r>
      <w:r w:rsidR="002121D7">
        <w:t>9 lipca</w:t>
      </w:r>
      <w:r w:rsidRPr="00FD33F0">
        <w:t xml:space="preserve"> 2025 r. w sprawie rozporządzenia wykonawczego Komisji (UE) 2025/1093 z dnia 22 maja 2025 r. ustanawiającego zasady stosowania rozporządzenia Parlamentu Europejskiego i Rady (UE) 2023/1115 w odniesieniu do wykazu krajów o niskim lub wysokim ryzyku produkcji odnośnych towarów powodujących niezgodność odnośnych produktów z art. 3 lit. a),</w:t>
      </w:r>
      <w:bookmarkEnd w:id="4"/>
      <w:r w:rsidRPr="00FD33F0">
        <w:t xml:space="preserve"> </w:t>
      </w:r>
      <w:bookmarkStart w:id="5" w:name="References"/>
      <w:r w:rsidRPr="00FD33F0">
        <w:t>(2025/2739(RSP))</w:t>
      </w:r>
      <w:bookmarkEnd w:id="5"/>
    </w:p>
    <w:p w14:paraId="3AC1F5D3" w14:textId="77777777" w:rsidR="004B60B3" w:rsidRPr="00FD33F0" w:rsidRDefault="004B60B3" w:rsidP="004B60B3">
      <w:pPr>
        <w:pStyle w:val="EPComma"/>
      </w:pPr>
      <w:bookmarkStart w:id="6" w:name="TextBodyBegin"/>
      <w:bookmarkEnd w:id="6"/>
      <w:r w:rsidRPr="00FD33F0">
        <w:rPr>
          <w:i/>
        </w:rPr>
        <w:t>Parlament Europejski</w:t>
      </w:r>
      <w:r w:rsidRPr="00FD33F0">
        <w:t>,</w:t>
      </w:r>
    </w:p>
    <w:p w14:paraId="3E0073F2" w14:textId="77777777" w:rsidR="004B60B3" w:rsidRPr="00FD33F0" w:rsidRDefault="004B60B3" w:rsidP="004B60B3">
      <w:pPr>
        <w:pStyle w:val="NormalHanging12a"/>
      </w:pPr>
      <w:r w:rsidRPr="00FD33F0">
        <w:t>–</w:t>
      </w:r>
      <w:r w:rsidRPr="00FD33F0">
        <w:tab/>
        <w:t>uwzględniając rozporządzenie wykonawcze Komisji (UE) 2025/1093 z dnia 22 maja 2025 r. ustanawiające zasady stosowania rozporządzenia Parlamentu Europejskiego i Rady (UE) 2023/1115 w odniesieniu do wykazu krajów o niskim lub wysokim ryzyku produkcji odnośnych towarów powodujących niezgodność odnośnych produktów z art. 3 lit. a)</w:t>
      </w:r>
      <w:r w:rsidRPr="00FD33F0">
        <w:rPr>
          <w:rStyle w:val="FootnoteReference"/>
        </w:rPr>
        <w:footnoteReference w:id="1"/>
      </w:r>
      <w:r w:rsidRPr="00FD33F0">
        <w:t>,</w:t>
      </w:r>
    </w:p>
    <w:p w14:paraId="326CF204" w14:textId="77777777" w:rsidR="004B60B3" w:rsidRPr="00FD33F0" w:rsidRDefault="004B60B3" w:rsidP="004B60B3">
      <w:pPr>
        <w:pStyle w:val="NormalHanging12a"/>
        <w:rPr>
          <w:color w:val="000000"/>
          <w:shd w:val="clear" w:color="auto" w:fill="FFFFFF"/>
        </w:rPr>
      </w:pPr>
      <w:r w:rsidRPr="00FD33F0">
        <w:t>–</w:t>
      </w:r>
      <w:r w:rsidRPr="00FD33F0">
        <w:tab/>
        <w:t>uwzględniając rozporządzenie Parlamentu Europejskiego i Rady (UE) 2023/1115 z dnia 31 maja 2023 r. w sprawie udostępniania na rynku unijnym i wywozu z Unii niektórych towarów i produktów związanych z wylesianiem i degradacją lasów oraz uchylenia rozporządzenia (UE) nr 995/2010</w:t>
      </w:r>
      <w:r w:rsidRPr="00FD33F0">
        <w:rPr>
          <w:rStyle w:val="FootnoteReference"/>
        </w:rPr>
        <w:footnoteReference w:id="2"/>
      </w:r>
      <w:r w:rsidRPr="00FD33F0">
        <w:t>, w szczególności jego art. 29 ust. 2,</w:t>
      </w:r>
    </w:p>
    <w:p w14:paraId="188D5AE6" w14:textId="77777777" w:rsidR="004B60B3" w:rsidRPr="00FD33F0" w:rsidRDefault="004B60B3" w:rsidP="004B60B3">
      <w:pPr>
        <w:pStyle w:val="NormalHanging12a"/>
      </w:pPr>
      <w:r w:rsidRPr="00FD33F0">
        <w:t>–</w:t>
      </w:r>
      <w:r w:rsidRPr="00FD33F0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FD33F0">
        <w:rPr>
          <w:rStyle w:val="FootnoteReference"/>
        </w:rPr>
        <w:footnoteReference w:id="3"/>
      </w:r>
      <w:r w:rsidRPr="00FD33F0">
        <w:t>,</w:t>
      </w:r>
    </w:p>
    <w:p w14:paraId="01E4DC0F" w14:textId="77777777" w:rsidR="004B60B3" w:rsidRPr="00FD33F0" w:rsidRDefault="004B60B3" w:rsidP="004B60B3">
      <w:pPr>
        <w:pStyle w:val="NormalHanging12a"/>
      </w:pPr>
      <w:r w:rsidRPr="00FD33F0">
        <w:t>–</w:t>
      </w:r>
      <w:r w:rsidRPr="00FD33F0">
        <w:tab/>
        <w:t>uwzględniając art. 115 ust. 2 i 3 Regulaminu,</w:t>
      </w:r>
    </w:p>
    <w:p w14:paraId="43DAEF42" w14:textId="77777777" w:rsidR="004B60B3" w:rsidRPr="00FD33F0" w:rsidRDefault="004B60B3" w:rsidP="004B60B3">
      <w:pPr>
        <w:pStyle w:val="NormalHanging12a"/>
      </w:pPr>
      <w:r w:rsidRPr="00FD33F0">
        <w:t>–</w:t>
      </w:r>
      <w:r w:rsidRPr="00FD33F0">
        <w:tab/>
        <w:t>uwzględniając projekt rezolucji Komisji Ochrony Środowiska Naturalnego, Klimatu i Bezpieczeństwa Żywności,</w:t>
      </w:r>
    </w:p>
    <w:p w14:paraId="41199F94" w14:textId="77777777" w:rsidR="004B60B3" w:rsidRPr="00FD33F0" w:rsidRDefault="004B60B3" w:rsidP="004B60B3">
      <w:pPr>
        <w:pStyle w:val="NormalHanging12a"/>
      </w:pPr>
      <w:r w:rsidRPr="00FD33F0">
        <w:t>–</w:t>
      </w:r>
      <w:r w:rsidRPr="00FD33F0">
        <w:tab/>
        <w:t xml:space="preserve">uwzględniając głosowanie plenarne w Parlamencie Europejskim z 14 listopada 2024 r. </w:t>
      </w:r>
      <w:r w:rsidRPr="00FD33F0">
        <w:lastRenderedPageBreak/>
        <w:t>na temat rozporządzenia w sprawie zmiany rozporządzenia (UE) 2023/1115 w odniesieniu do przepisów dotyczących daty rozpoczęcia stosowania,</w:t>
      </w:r>
    </w:p>
    <w:p w14:paraId="0F0BD120" w14:textId="77777777" w:rsidR="004B60B3" w:rsidRPr="00FD33F0" w:rsidRDefault="004B60B3" w:rsidP="004B60B3">
      <w:pPr>
        <w:pStyle w:val="NormalHanging12a"/>
        <w:rPr>
          <w:b/>
          <w:i/>
        </w:rPr>
      </w:pPr>
      <w:r w:rsidRPr="00FD33F0">
        <w:rPr>
          <w:b/>
          <w:i/>
        </w:rPr>
        <w:t>Obawy dotyczące jakości danych i solidności metodologicznej</w:t>
      </w:r>
    </w:p>
    <w:p w14:paraId="536282BA" w14:textId="77777777" w:rsidR="004B60B3" w:rsidRPr="00FD33F0" w:rsidRDefault="004B60B3" w:rsidP="004B60B3">
      <w:pPr>
        <w:pStyle w:val="NormalHanging12a"/>
      </w:pPr>
      <w:r w:rsidRPr="00FD33F0">
        <w:t>A.</w:t>
      </w:r>
      <w:r w:rsidRPr="00FD33F0">
        <w:tab/>
        <w:t>mając na uwadze, że proponowana klasyfikacja państw w kategoriach ryzyka na podstawie rozporządzenia (UE) 2023/1115 nie odzwierciedla dokładnie obecnej sytuacji w danych państwach, ponieważ opiera się na nieaktualnych danych i nie uwzględnia wszystkich istotnych i dostępnych wskaźników ryzyka;</w:t>
      </w:r>
    </w:p>
    <w:p w14:paraId="053E0C11" w14:textId="77777777" w:rsidR="004B60B3" w:rsidRPr="00FD33F0" w:rsidRDefault="004B60B3" w:rsidP="004B60B3">
      <w:pPr>
        <w:pStyle w:val="NormalHanging12a"/>
      </w:pPr>
      <w:r w:rsidRPr="00FD33F0">
        <w:t>B.</w:t>
      </w:r>
      <w:r w:rsidRPr="00FD33F0">
        <w:tab/>
        <w:t>mając na uwadze, że rozporządzenie wykonawcze Komisji (UE) 2025/1093 nie odzwierciedla dokładnie realiów w danych państwach, ponieważ nie uwzględnia kluczowych czynników rzeczywistych, w szczególności obecnej dynamiki użytkowania gruntów i degradacji lasów; mając na uwadze, że uznanie degradacji za czynnik ryzyka doprowadziłoby do zaklasyfikowania niektórych państw członkowskich w wyższych kategoriach ryzyka, podważając tym samym założenie, że łańcuchy dostaw w Unii są automatycznie klasyfikowane w kategorii niskiego ryzyka</w:t>
      </w:r>
      <w:r w:rsidRPr="00FD33F0">
        <w:rPr>
          <w:rStyle w:val="FootnoteReference"/>
        </w:rPr>
        <w:footnoteReference w:id="4"/>
      </w:r>
      <w:r w:rsidRPr="00FD33F0">
        <w:t>;</w:t>
      </w:r>
    </w:p>
    <w:p w14:paraId="38618A45" w14:textId="77777777" w:rsidR="004B60B3" w:rsidRPr="00FD33F0" w:rsidRDefault="004B60B3" w:rsidP="004B60B3">
      <w:pPr>
        <w:pStyle w:val="NormalHanging12a"/>
      </w:pPr>
      <w:r w:rsidRPr="00FD33F0">
        <w:t>C.</w:t>
      </w:r>
      <w:r w:rsidRPr="00FD33F0">
        <w:tab/>
        <w:t>mając na uwadze, że kluczowe zmiany w zakresie zarządzania, tendencji wylesiania i mechanizmów egzekwowania, które zaszły od 31 grudnia 2020 r., czyli daty granicznej wskazanej w art. 2 rozporządzenia (UE) 2023/1115, nie zostały odpowiednio odzwierciedlone w metodologii;</w:t>
      </w:r>
    </w:p>
    <w:p w14:paraId="11024559" w14:textId="77777777" w:rsidR="004B60B3" w:rsidRPr="00FD33F0" w:rsidRDefault="004B60B3" w:rsidP="004B60B3">
      <w:pPr>
        <w:pStyle w:val="NormalHanging12a"/>
      </w:pPr>
      <w:r w:rsidRPr="00FD33F0">
        <w:t>D.</w:t>
      </w:r>
      <w:r w:rsidRPr="00FD33F0">
        <w:tab/>
        <w:t>mając na uwadze, że dane, na których opiera się klasyfikacja ryzyka, pochodzą przede wszystkim z globalnej oceny zasobów leśnych przeprowadzonej przez Organizację Narodów Zjednoczonych ds. Wyżywienia i Rolnictwa, przy czym najnowsze dane krajowe obejmujące pełne cykle pochodzą sprzed 2020 r., w związku z czym nie odzwierciedlają one odpowiednio lub sprawiedliwie niedawnych działań krajowych podjętych w celu zapobiegania wylesianiu, zaktualizowanej polityki użytkowania gruntów, poprawy monitorowania satelitarnego w czasie rzeczywistym ani najnowszych tendencji wylesiania w różnych krajach</w:t>
      </w:r>
      <w:r w:rsidRPr="00FD33F0">
        <w:rPr>
          <w:rStyle w:val="FootnoteReference"/>
        </w:rPr>
        <w:footnoteReference w:id="5"/>
      </w:r>
      <w:r w:rsidRPr="00FD33F0">
        <w:t>;</w:t>
      </w:r>
    </w:p>
    <w:p w14:paraId="1F2B175D" w14:textId="77777777" w:rsidR="004B60B3" w:rsidRPr="00FD33F0" w:rsidRDefault="004B60B3" w:rsidP="004B60B3">
      <w:pPr>
        <w:pStyle w:val="NormalHanging12a"/>
      </w:pPr>
      <w:r w:rsidRPr="00FD33F0">
        <w:t>E.</w:t>
      </w:r>
      <w:r w:rsidRPr="00FD33F0">
        <w:tab/>
        <w:t>mając na uwadze, że metodologia klasyfikacji państw w kategoriach ryzyka nie jest przejrzysta w odniesieniu do sposobu ważenia różnych czynników ryzyka i nie uwzględnia różnorodności regionalnej w poszczególnych krajach; mając na uwadze, że budzi to poważne obawy co do uczciwości i wiarygodności metodologii klasyfikacji;</w:t>
      </w:r>
    </w:p>
    <w:p w14:paraId="532C0ED2" w14:textId="77777777" w:rsidR="004B60B3" w:rsidRPr="00FD33F0" w:rsidRDefault="004B60B3" w:rsidP="004B60B3">
      <w:pPr>
        <w:pStyle w:val="NormalHanging12a"/>
      </w:pPr>
      <w:r w:rsidRPr="00FD33F0">
        <w:t>F.</w:t>
      </w:r>
      <w:r w:rsidRPr="00FD33F0">
        <w:tab/>
        <w:t>mając na uwadze, że metodologia klasyfikacji państw w kategoriach ryzyka jest błędna, ponieważ koncentruje się przede wszystkim na zagregowanych historycznych wskaźnikach wylesiania, a podejście to nie uwzględnia wielowymiarowego charakteru ryzyka wylesiania, gdyż nie obejmuje pełnego zakresu wskaźników określonych w art. 29 rozporządzenia (UE) 2023/1115;</w:t>
      </w:r>
    </w:p>
    <w:p w14:paraId="5C41656E" w14:textId="77777777" w:rsidR="004B60B3" w:rsidRPr="00FD33F0" w:rsidRDefault="004B60B3" w:rsidP="004B60B3">
      <w:pPr>
        <w:pStyle w:val="NormalHanging12a"/>
      </w:pPr>
      <w:r w:rsidRPr="00FD33F0">
        <w:t>G.</w:t>
      </w:r>
      <w:r w:rsidRPr="00FD33F0">
        <w:tab/>
        <w:t>mając na uwadze, że podejście leżące u podstaw obecnej metodologii ustanowionej w rozporządzeniu (UE) 2023/1115 nie zapewnia wystarczającej elastyczności, aby uwzględnić terminowe aktualizacje, co powoduje znaczną niepewność i potencjalną zmienność na rynkach;</w:t>
      </w:r>
    </w:p>
    <w:p w14:paraId="53DD1051" w14:textId="77777777" w:rsidR="004B60B3" w:rsidRPr="00FD33F0" w:rsidRDefault="004B60B3" w:rsidP="004B60B3">
      <w:pPr>
        <w:pStyle w:val="NormalHanging12a"/>
      </w:pPr>
      <w:r w:rsidRPr="00FD33F0">
        <w:lastRenderedPageBreak/>
        <w:t>H.</w:t>
      </w:r>
      <w:r w:rsidRPr="00FD33F0">
        <w:tab/>
        <w:t>mając na uwadze, że bez jasno określonego mechanizmu regularnej i przejrzystej ponownej oceny klasyfikacja państw w kategoriach ryzyka jest niedostosowana do zmieniających się warunków, co podważa zarówno skuteczność rozporządzenia (UE) 2023/1115, jak i funkcjonowanie światowych rynków towarowych;</w:t>
      </w:r>
    </w:p>
    <w:p w14:paraId="62C7C7B8" w14:textId="19030D26" w:rsidR="004B60B3" w:rsidRPr="00FD33F0" w:rsidRDefault="004B60B3" w:rsidP="004B60B3">
      <w:pPr>
        <w:pStyle w:val="NormalHanging12a"/>
      </w:pPr>
      <w:r w:rsidRPr="00FD33F0">
        <w:t>I.</w:t>
      </w:r>
      <w:r w:rsidRPr="00FD33F0">
        <w:tab/>
        <w:t>mając na uwadze, że brak jasnych ścieżek umożliwiających państwom zmianę klasyfikacji w kategoriach ryzyka za pomocą widocznych postępów podważa rolę rozporządzenia (UE) 2023/1115 jako pozytywnego mechanizmu zachęcającego i ogranicza jego potencjał w zakresie stymulowania zrównoważonej transformacji w terenie</w:t>
      </w:r>
      <w:r w:rsidR="002121D7">
        <w:t>,</w:t>
      </w:r>
    </w:p>
    <w:p w14:paraId="2545C4F2" w14:textId="77777777" w:rsidR="004B60B3" w:rsidRPr="00FD33F0" w:rsidRDefault="004B60B3" w:rsidP="004B60B3">
      <w:pPr>
        <w:pStyle w:val="NormalHanging12a"/>
        <w:rPr>
          <w:b/>
          <w:i/>
        </w:rPr>
      </w:pPr>
      <w:r w:rsidRPr="00FD33F0">
        <w:rPr>
          <w:b/>
          <w:i/>
        </w:rPr>
        <w:t>Analiza wyzwań w odniesieniu do pierwszej kategorii ryzyka („państwa o niskim ryzyku”)</w:t>
      </w:r>
    </w:p>
    <w:p w14:paraId="00A14F5C" w14:textId="77777777" w:rsidR="004B60B3" w:rsidRPr="00FD33F0" w:rsidRDefault="004B60B3" w:rsidP="004B60B3">
      <w:pPr>
        <w:pStyle w:val="NormalHanging12a"/>
      </w:pPr>
      <w:r w:rsidRPr="00FD33F0">
        <w:t>J.</w:t>
      </w:r>
      <w:r w:rsidRPr="00FD33F0">
        <w:tab/>
        <w:t>mając na uwadze, że kryterium utraty lasów netto w latach 2015–2020, stosowane do określenia kategorii niskiego ryzyka, o której mowa w art. 29 ust. 1 lit. b) rozporządzenia (UE) 2023/1115, uwzględnia całkowitą utratę obszarów leśnych, a nie wylesianie wąsko zdefiniowane w tym rozporządzeniu, a tym samym obejmuje obszary tymczasowej zmiany pokrywy leśnej lub gospodarkę leśną niezwiązaną ze zmianą użytkowania gruntów, co podważa spójność metodologiczną i pewność prawa;</w:t>
      </w:r>
    </w:p>
    <w:p w14:paraId="476E2EEC" w14:textId="77777777" w:rsidR="004B60B3" w:rsidRPr="00FD33F0" w:rsidRDefault="004B60B3" w:rsidP="004B60B3">
      <w:pPr>
        <w:pStyle w:val="NormalHanging12a"/>
      </w:pPr>
      <w:r w:rsidRPr="00FD33F0">
        <w:t>K.</w:t>
      </w:r>
      <w:r w:rsidRPr="00FD33F0">
        <w:tab/>
        <w:t>mając na uwadze, że metodologia klasyfikacji państw w kategoriach ryzyka wprowadza względny próg wynoszący 0,2 % rocznej utraty obszarów leśnych oraz bezwzględny próg rocznej utraty lasów wynoszący 70 000 hektarów, przy czym nie przedstawia jasnego uzasadnienia tych konkretnych wartości; mając na uwadze, że niektóre kraje o wysokim poziomie wylesiania, takie jak Stany Zjednoczone, plasują się nieco poniżej progu bezwzględnego, co budzi wątpliwości co do obiektywności i solidności wybranych wskaźników;</w:t>
      </w:r>
    </w:p>
    <w:p w14:paraId="690AFDE8" w14:textId="77777777" w:rsidR="004B60B3" w:rsidRPr="00FD33F0" w:rsidRDefault="004B60B3" w:rsidP="004B60B3">
      <w:pPr>
        <w:pStyle w:val="NormalHanging12a"/>
      </w:pPr>
      <w:r w:rsidRPr="00FD33F0">
        <w:t>L.</w:t>
      </w:r>
      <w:r w:rsidRPr="00FD33F0">
        <w:tab/>
        <w:t>mając na uwadze, że ocena ryzyka wylesiania w oparciu o ekspansję gruntów uprawnych wykorzystywanych na potrzeby odnośnych towarów zdefiniowanych w art. 2 ust. 1 rozporządzenia (UE) 2023/1115 oraz skalę produkcji zwierzęcej i produkcji drewna jest nieprecyzyjna; mając na uwadze, że uwzględnienie ogólnej produkcji drewna jako wskaźnika zastępczego ryzyka wylesiania budzi wątpliwości metodologiczne, ponieważ łączy legalną działalność leśną z wylesianiem wynikającym ze zmiany użytkowania gruntów;</w:t>
      </w:r>
    </w:p>
    <w:p w14:paraId="65BBA158" w14:textId="77777777" w:rsidR="004B60B3" w:rsidRPr="00FD33F0" w:rsidRDefault="004B60B3" w:rsidP="004B60B3">
      <w:pPr>
        <w:pStyle w:val="NormalHanging12a"/>
        <w:rPr>
          <w:b/>
          <w:i/>
        </w:rPr>
      </w:pPr>
      <w:r w:rsidRPr="00FD33F0">
        <w:rPr>
          <w:b/>
          <w:i/>
        </w:rPr>
        <w:t>Brak szczegółowości i uwzględnienia kontekstu</w:t>
      </w:r>
    </w:p>
    <w:p w14:paraId="6A2994AB" w14:textId="77777777" w:rsidR="004B60B3" w:rsidRPr="00FD33F0" w:rsidRDefault="004B60B3" w:rsidP="004B60B3">
      <w:pPr>
        <w:pStyle w:val="NormalHanging12a"/>
      </w:pPr>
      <w:r w:rsidRPr="00FD33F0">
        <w:t>M.</w:t>
      </w:r>
      <w:r w:rsidRPr="00FD33F0">
        <w:tab/>
        <w:t>mając na uwadze, że obecny system obejmujący tylko trzy kategorie ryzyka jest niewystarczający, aby odpowiednio rozróżnić kraje o bardzo zróżnicowanych poziomach ryzyka wylesiania;</w:t>
      </w:r>
    </w:p>
    <w:p w14:paraId="58394CF2" w14:textId="77777777" w:rsidR="004B60B3" w:rsidRPr="00FD33F0" w:rsidRDefault="004B60B3" w:rsidP="004B60B3">
      <w:pPr>
        <w:pStyle w:val="NormalHanging12a"/>
      </w:pPr>
      <w:r w:rsidRPr="00FD33F0">
        <w:t>N.</w:t>
      </w:r>
      <w:r w:rsidRPr="00FD33F0">
        <w:tab/>
        <w:t>mając na uwadze, że brak zróżnicowanego podejścia może osłabić motywację bardziej ambitnych rządów do podejmowania dalszych działań, ponieważ w rzeczywistości penalizuje postęp i nie uwzględnia znaczących wysiłków na rzecz zwalczania wylesiania;</w:t>
      </w:r>
    </w:p>
    <w:p w14:paraId="2949BE2D" w14:textId="77777777" w:rsidR="004B60B3" w:rsidRPr="00FD33F0" w:rsidRDefault="004B60B3" w:rsidP="004B60B3">
      <w:pPr>
        <w:pStyle w:val="NormalHanging12a"/>
      </w:pPr>
      <w:r w:rsidRPr="00FD33F0">
        <w:t>O.</w:t>
      </w:r>
      <w:r w:rsidRPr="00FD33F0">
        <w:tab/>
        <w:t xml:space="preserve">mając na uwadze, że Komisja powinna zająć się niedociągnięciami metodologicznymi obecnego systemu klasyfikacji obejmującego trzy kategorie przez rozważenie wprowadzenia czwartej kategorii – „o znikomym ryzyku” – aby odzwierciedlić rzeczywistość niektórych krajów lub regionów, w których ryzyko wylesiania lub </w:t>
      </w:r>
      <w:r w:rsidRPr="00FD33F0">
        <w:lastRenderedPageBreak/>
        <w:t>degradacji lasów jest faktycznie znikome ze względu na solidne ramy prawne, niską dynamikę zmiany użytkowania gruntów i praktyki zrównoważonego gospodarowania gruntami;</w:t>
      </w:r>
    </w:p>
    <w:p w14:paraId="0D118B29" w14:textId="77777777" w:rsidR="004B60B3" w:rsidRPr="00FD33F0" w:rsidRDefault="004B60B3" w:rsidP="004B60B3">
      <w:pPr>
        <w:pStyle w:val="NormalHanging12a"/>
      </w:pPr>
      <w:r w:rsidRPr="00FD33F0">
        <w:t>P.</w:t>
      </w:r>
      <w:r w:rsidRPr="00FD33F0">
        <w:tab/>
        <w:t>mając na uwadze, że obecny system może prowadzić do nadmiernego uproszczenia ryzyka wylesiania przez przyznawanie statusu krajom na podstawie przestarzałych danych lub średnich krajowych, co może stworzyć fałszywe poczucie bezpieczeństwa i potencjalnie ograniczyć obowiązek należytej staranności w odniesieniu do produktów pochodzących z obszarów, na których utrzymuje się nielegalne wylesianie;</w:t>
      </w:r>
    </w:p>
    <w:p w14:paraId="751449F5" w14:textId="77777777" w:rsidR="004B60B3" w:rsidRPr="00FD33F0" w:rsidRDefault="004B60B3" w:rsidP="004B60B3">
      <w:pPr>
        <w:pStyle w:val="NormalHanging12a"/>
      </w:pPr>
      <w:r w:rsidRPr="00FD33F0">
        <w:t>Q.</w:t>
      </w:r>
      <w:r w:rsidRPr="00FD33F0">
        <w:tab/>
        <w:t>mając na uwadze, że chociaż obecne dane wskazują na zlokalizowany wzrost wylesiania w niektórych regionach świata, zmiany te uwypuklają potrzebę szczegółowego i specyficznego dla danego regionu monitorowania zamiast statycznej krajowej klasyfikacji ryzyka, która stwarza ryzyko błędnego określenia ogólnej tendencji i ignorowania postępów lub niepowodzeń regionalnych;</w:t>
      </w:r>
    </w:p>
    <w:p w14:paraId="26662056" w14:textId="77777777" w:rsidR="004B60B3" w:rsidRPr="00FD33F0" w:rsidRDefault="004B60B3" w:rsidP="004B60B3">
      <w:pPr>
        <w:pStyle w:val="NormalHanging12a"/>
      </w:pPr>
      <w:r w:rsidRPr="00FD33F0">
        <w:t>R.</w:t>
      </w:r>
      <w:r w:rsidRPr="00FD33F0">
        <w:tab/>
        <w:t>mając na uwadze, że wiarygodne i długoterminowe badania, takie jak „</w:t>
      </w:r>
      <w:proofErr w:type="spellStart"/>
      <w:r w:rsidRPr="00FD33F0">
        <w:t>Deforestación</w:t>
      </w:r>
      <w:proofErr w:type="spellEnd"/>
      <w:r w:rsidRPr="00FD33F0">
        <w:t xml:space="preserve"> en la </w:t>
      </w:r>
      <w:proofErr w:type="spellStart"/>
      <w:r w:rsidRPr="00FD33F0">
        <w:t>Amazonía</w:t>
      </w:r>
      <w:proofErr w:type="spellEnd"/>
      <w:r w:rsidRPr="00FD33F0">
        <w:t>: Pasado y Futuro” [Wylesianie w Amazonii – przeszłość i przyszłość]</w:t>
      </w:r>
      <w:r w:rsidRPr="00FD33F0">
        <w:rPr>
          <w:rStyle w:val="FootnoteReference"/>
        </w:rPr>
        <w:footnoteReference w:id="6"/>
      </w:r>
      <w:r w:rsidRPr="00FD33F0">
        <w:t xml:space="preserve">, opublikowane w 2023 r. przez Amazońską Sieć </w:t>
      </w:r>
      <w:proofErr w:type="spellStart"/>
      <w:r w:rsidRPr="00FD33F0">
        <w:t>Georeferencyjnych</w:t>
      </w:r>
      <w:proofErr w:type="spellEnd"/>
      <w:r w:rsidRPr="00FD33F0">
        <w:t xml:space="preserve"> Informacji Społeczno-Środowiskowych, pokazują złożoność i zmienność dynamiki wylesiania spowodowanego cyklami politycznymi, poziomami egzekwowania prawa i lokalnymi warunkami społeczno-gospodarczymi, a zatem wskazują na potrzebę bardziej elastycznego podejścia uwzględniającego kontekst zamiast sztywnych wskaźników krajowych;</w:t>
      </w:r>
    </w:p>
    <w:p w14:paraId="36F33F1C" w14:textId="77777777" w:rsidR="004B60B3" w:rsidRPr="00FD33F0" w:rsidRDefault="004B60B3" w:rsidP="004B60B3">
      <w:pPr>
        <w:pStyle w:val="NormalHanging12a"/>
      </w:pPr>
      <w:r w:rsidRPr="00FD33F0">
        <w:t>S.</w:t>
      </w:r>
      <w:r w:rsidRPr="00FD33F0">
        <w:tab/>
        <w:t>mając na uwadze, że obecny model klasyfikacji ryzyka nie uwzględnia zmienności światowych rynków towarowych, na których wahania cen, dynamika handlu i zmiany popytu mogą szybko zmienić presję związaną z wylesianiem;</w:t>
      </w:r>
    </w:p>
    <w:p w14:paraId="2CC8F408" w14:textId="77777777" w:rsidR="004B60B3" w:rsidRPr="00FD33F0" w:rsidRDefault="004B60B3" w:rsidP="004B60B3">
      <w:pPr>
        <w:pStyle w:val="NormalHanging12a"/>
      </w:pPr>
      <w:r w:rsidRPr="00FD33F0">
        <w:t>T.</w:t>
      </w:r>
      <w:r w:rsidRPr="00FD33F0">
        <w:tab/>
        <w:t>mając na uwadze, że klasyfikacja ryzyka powinna również umożliwiać stworzenie regulowanego mechanizmu kompensacyjnego, mającego zastosowanie wyłącznie poza obszarami pierwotnymi lub obszarami o wysokiej różnorodności biologicznej;</w:t>
      </w:r>
    </w:p>
    <w:p w14:paraId="3446AF19" w14:textId="77777777" w:rsidR="004B60B3" w:rsidRPr="00FD33F0" w:rsidRDefault="004B60B3" w:rsidP="004B60B3">
      <w:pPr>
        <w:pStyle w:val="NormalHanging12a"/>
        <w:rPr>
          <w:b/>
          <w:i/>
        </w:rPr>
      </w:pPr>
      <w:r w:rsidRPr="00FD33F0">
        <w:rPr>
          <w:b/>
          <w:i/>
        </w:rPr>
        <w:t>Obawy dotyczące sprawiedliwości, legalności i globalnego zaangażowania</w:t>
      </w:r>
    </w:p>
    <w:p w14:paraId="16B823E8" w14:textId="77777777" w:rsidR="004B60B3" w:rsidRPr="00FD33F0" w:rsidRDefault="004B60B3" w:rsidP="004B60B3">
      <w:pPr>
        <w:pStyle w:val="NormalHanging12a"/>
      </w:pPr>
      <w:r w:rsidRPr="00FD33F0">
        <w:t>U.</w:t>
      </w:r>
      <w:r w:rsidRPr="00FD33F0">
        <w:tab/>
        <w:t>mając na uwadze, że obecny krajowy system wskaźników może zniechęcać do współpracy i wymiany danych przez państwa produkujące odnośne towary, zwłaszcza jeżeli uznają one klasyfikację państw w kategoriach ryzyka za niesprawiedliwą lub motywowaną politycznie; mając na uwadze, że wspieranie wzajemnego zaufania i zaangażowania wymaga sprawiedliwego, opartego na dowodach i na współpracy podejścia, które zachęca do przejrzystości i rozliczalności, a nie do stosowania represyjnych oznaczeń;</w:t>
      </w:r>
    </w:p>
    <w:p w14:paraId="31463C3F" w14:textId="77777777" w:rsidR="004B60B3" w:rsidRPr="00FD33F0" w:rsidRDefault="004B60B3" w:rsidP="004B60B3">
      <w:pPr>
        <w:pStyle w:val="NormalHanging12a"/>
      </w:pPr>
      <w:r w:rsidRPr="00FD33F0">
        <w:t>V.</w:t>
      </w:r>
      <w:r w:rsidRPr="00FD33F0">
        <w:tab/>
        <w:t xml:space="preserve">mając na uwadze, że organizacje środowiskowe i organizacje społeczeństwa obywatelskiego z krajów produkujących odnośne towary wyraziły obawy co do braku </w:t>
      </w:r>
      <w:proofErr w:type="spellStart"/>
      <w:r w:rsidRPr="00FD33F0">
        <w:t>inkluzywnych</w:t>
      </w:r>
      <w:proofErr w:type="spellEnd"/>
      <w:r w:rsidRPr="00FD33F0">
        <w:t xml:space="preserve"> konsultacji przy opracowywaniu krajowego systemu wskaźników, podkreślając znaczenie procesów partycypacyjnych z udziałem społeczności rdzennych, lokalnych zainteresowanych stron i władz regionalnych;</w:t>
      </w:r>
    </w:p>
    <w:p w14:paraId="6E8202DE" w14:textId="77777777" w:rsidR="004B60B3" w:rsidRPr="00FD33F0" w:rsidRDefault="004B60B3" w:rsidP="004B60B3">
      <w:pPr>
        <w:pStyle w:val="NormalHanging12a"/>
      </w:pPr>
      <w:r w:rsidRPr="00FD33F0">
        <w:lastRenderedPageBreak/>
        <w:t>1.</w:t>
      </w:r>
      <w:r w:rsidRPr="00FD33F0">
        <w:tab/>
        <w:t>uważa, że rozporządzenie wykonawcze Komisji (UE) 2025/1093 wykracza poza uprawnienia wykonawcze przewidziane w rozporządzeniu (UE) 2023/1115;</w:t>
      </w:r>
    </w:p>
    <w:p w14:paraId="0CB4F184" w14:textId="77777777" w:rsidR="004B60B3" w:rsidRPr="00FD33F0" w:rsidRDefault="004B60B3" w:rsidP="004B60B3">
      <w:pPr>
        <w:pStyle w:val="NormalHanging12a"/>
      </w:pPr>
      <w:r w:rsidRPr="00FD33F0">
        <w:t>2.</w:t>
      </w:r>
      <w:r w:rsidRPr="00FD33F0">
        <w:tab/>
        <w:t>wzywa Komisję do uchylenia rozporządzenia wykonawczego (UE) 2025/1093;</w:t>
      </w:r>
    </w:p>
    <w:p w14:paraId="14A219F7" w14:textId="77777777" w:rsidR="004B60B3" w:rsidRPr="00FD33F0" w:rsidRDefault="004B60B3" w:rsidP="004B60B3">
      <w:pPr>
        <w:pStyle w:val="NormalHanging12a"/>
      </w:pPr>
      <w:r w:rsidRPr="00FD33F0">
        <w:t>3.</w:t>
      </w:r>
      <w:r w:rsidRPr="00FD33F0">
        <w:tab/>
        <w:t>apeluje do Komisji o przegląd krajowego systemu wskaźników w celu zagwarantowania, że będzie on opierać się na aktualnych danych, umożliwiać zróżnicowanie regionalne i uwzględniać przejrzyste ważenie wskaźników ryzyka;</w:t>
      </w:r>
    </w:p>
    <w:p w14:paraId="29CAD75F" w14:textId="77777777" w:rsidR="004B60B3" w:rsidRPr="00FD33F0" w:rsidRDefault="004B60B3" w:rsidP="004B60B3">
      <w:pPr>
        <w:pStyle w:val="NormalHanging12a"/>
      </w:pPr>
      <w:r w:rsidRPr="00FD33F0">
        <w:t>4.</w:t>
      </w:r>
      <w:r w:rsidRPr="00FD33F0">
        <w:tab/>
        <w:t>wzywa Komisję do ustanowienia jasnych, określonych w czasie i przejrzystych procedur regularnej ponownej oceny klasyfikacji ryzyka w poszczególnych krajach na podstawie wymiernych postępów i aktualnych danych naukowych;</w:t>
      </w:r>
    </w:p>
    <w:p w14:paraId="65B52BA7" w14:textId="77777777" w:rsidR="004B60B3" w:rsidRPr="00FD33F0" w:rsidRDefault="004B60B3" w:rsidP="004B60B3">
      <w:pPr>
        <w:pStyle w:val="NormalHanging12a"/>
      </w:pPr>
      <w:r w:rsidRPr="00FD33F0">
        <w:t>5.</w:t>
      </w:r>
      <w:r w:rsidRPr="00FD33F0">
        <w:tab/>
        <w:t xml:space="preserve">podkreśla znaczenie współpracy z krajami produkującymi odnośne towary i zainteresowanymi stronami w drodze </w:t>
      </w:r>
      <w:proofErr w:type="spellStart"/>
      <w:r w:rsidRPr="00FD33F0">
        <w:t>inkluzywnych</w:t>
      </w:r>
      <w:proofErr w:type="spellEnd"/>
      <w:r w:rsidRPr="00FD33F0">
        <w:t xml:space="preserve"> i partycypacyjnych procesów oraz zapewnienia wsparcia dla reform gospodarki leśnej i systemów identyfikowalności;</w:t>
      </w:r>
    </w:p>
    <w:p w14:paraId="7258A531" w14:textId="77777777" w:rsidR="004B60B3" w:rsidRPr="00FD33F0" w:rsidRDefault="004B60B3" w:rsidP="004B60B3">
      <w:pPr>
        <w:pStyle w:val="NormalHanging12a"/>
      </w:pPr>
      <w:r w:rsidRPr="00FD33F0">
        <w:t>6.</w:t>
      </w:r>
      <w:r w:rsidRPr="00FD33F0">
        <w:tab/>
        <w:t>apeluje o środki uzupełniające, takie jak partnerstwa na rzecz lasów, pomoc techniczna i zachęty do sprawiedliwego handlu, które będą towarzyszyć procesowi analizy wskaźników i promować zrównoważoną transformację w regionach produkujących towary;</w:t>
      </w:r>
    </w:p>
    <w:p w14:paraId="4DC64ED9" w14:textId="37AF8C14" w:rsidR="00FD33F0" w:rsidRPr="00FD33F0" w:rsidRDefault="004B60B3" w:rsidP="00FD33F0">
      <w:pPr>
        <w:pStyle w:val="NormalHanging12a"/>
      </w:pPr>
      <w:r w:rsidRPr="00FD33F0">
        <w:t>7.</w:t>
      </w:r>
      <w:r w:rsidRPr="00FD33F0">
        <w:tab/>
        <w:t>zobowiązuje swoją przewodniczącą do przekazania niniejszej rezolucji Radzie i Komisji oraz rządom i parlamentom państw członkowskich.</w:t>
      </w:r>
    </w:p>
    <w:p w14:paraId="06100E73" w14:textId="141C87D7" w:rsidR="00E365E1" w:rsidRPr="00FD33F0" w:rsidRDefault="00E365E1" w:rsidP="009C04E3"/>
    <w:sectPr w:rsidR="00E365E1" w:rsidRPr="00FD33F0" w:rsidSect="00FD33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15438" w14:textId="77777777" w:rsidR="009C04E3" w:rsidRPr="00FD33F0" w:rsidRDefault="009C04E3">
      <w:r w:rsidRPr="00FD33F0">
        <w:separator/>
      </w:r>
    </w:p>
  </w:endnote>
  <w:endnote w:type="continuationSeparator" w:id="0">
    <w:p w14:paraId="3A1D126F" w14:textId="77777777" w:rsidR="009C04E3" w:rsidRPr="00FD33F0" w:rsidRDefault="009C04E3">
      <w:r w:rsidRPr="00FD33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3DC84" w14:textId="77777777" w:rsidR="00064002" w:rsidRPr="00FD33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AD6B1" w14:textId="77777777" w:rsidR="00064002" w:rsidRPr="00FD33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56997" w14:textId="77777777" w:rsidR="00064002" w:rsidRPr="00FD33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7A0A4" w14:textId="77777777" w:rsidR="009C04E3" w:rsidRPr="00FD33F0" w:rsidRDefault="009C04E3">
      <w:r w:rsidRPr="00FD33F0">
        <w:separator/>
      </w:r>
    </w:p>
  </w:footnote>
  <w:footnote w:type="continuationSeparator" w:id="0">
    <w:p w14:paraId="5A476987" w14:textId="77777777" w:rsidR="009C04E3" w:rsidRPr="00FD33F0" w:rsidRDefault="009C04E3">
      <w:r w:rsidRPr="00FD33F0">
        <w:continuationSeparator/>
      </w:r>
    </w:p>
  </w:footnote>
  <w:footnote w:id="1">
    <w:p w14:paraId="609FBF00" w14:textId="374EAA74" w:rsidR="004B60B3" w:rsidRPr="00652961" w:rsidRDefault="004B60B3" w:rsidP="00FD33F0">
      <w:pPr>
        <w:pStyle w:val="FootnoteText"/>
        <w:ind w:left="567" w:hanging="567"/>
        <w:rPr>
          <w:sz w:val="24"/>
          <w:lang w:val="fi-FI"/>
        </w:rPr>
      </w:pPr>
      <w:r w:rsidRPr="00FD33F0">
        <w:rPr>
          <w:rStyle w:val="FootnoteReference"/>
          <w:sz w:val="24"/>
          <w:lang w:val="pl-PL"/>
        </w:rPr>
        <w:footnoteRef/>
      </w:r>
      <w:r w:rsidR="00FD33F0" w:rsidRPr="00652961">
        <w:rPr>
          <w:sz w:val="24"/>
          <w:lang w:val="fi-FI"/>
        </w:rPr>
        <w:t xml:space="preserve"> </w:t>
      </w:r>
      <w:r w:rsidR="00FD33F0" w:rsidRPr="00652961">
        <w:rPr>
          <w:sz w:val="24"/>
          <w:lang w:val="fi-FI"/>
        </w:rPr>
        <w:tab/>
      </w:r>
      <w:r w:rsidRPr="00652961">
        <w:rPr>
          <w:sz w:val="24"/>
          <w:lang w:val="fi-FI"/>
        </w:rPr>
        <w:t xml:space="preserve">Dz.U. L, 2025/1093, 23.5.2025, ELI: </w:t>
      </w:r>
      <w:hyperlink r:id="rId1" w:tooltip="Dokument dostępny poprzez ELI URI." w:history="1">
        <w:r w:rsidRPr="00652961">
          <w:rPr>
            <w:rStyle w:val="Hyperlink"/>
            <w:sz w:val="24"/>
            <w:lang w:val="fi-FI"/>
          </w:rPr>
          <w:t>http://data.europa.eu/eli/reg_impl/2025/1093/oj</w:t>
        </w:r>
      </w:hyperlink>
      <w:r w:rsidRPr="00652961">
        <w:rPr>
          <w:sz w:val="24"/>
          <w:lang w:val="fi-FI"/>
        </w:rPr>
        <w:t>.</w:t>
      </w:r>
    </w:p>
  </w:footnote>
  <w:footnote w:id="2">
    <w:p w14:paraId="6B6F4A53" w14:textId="4D5E12C2" w:rsidR="004B60B3" w:rsidRPr="00FD33F0" w:rsidRDefault="004B60B3" w:rsidP="00FD33F0">
      <w:pPr>
        <w:pStyle w:val="FootnoteText"/>
        <w:ind w:left="567" w:hanging="567"/>
        <w:rPr>
          <w:sz w:val="24"/>
          <w:lang w:val="pl-PL"/>
        </w:rPr>
      </w:pPr>
      <w:r w:rsidRPr="00FD33F0">
        <w:rPr>
          <w:rStyle w:val="FootnoteReference"/>
          <w:sz w:val="24"/>
          <w:lang w:val="pl-PL"/>
        </w:rPr>
        <w:footnoteRef/>
      </w:r>
      <w:r w:rsidR="00FD33F0" w:rsidRPr="00FD33F0">
        <w:rPr>
          <w:sz w:val="24"/>
          <w:lang w:val="pl-PL"/>
        </w:rPr>
        <w:t xml:space="preserve"> </w:t>
      </w:r>
      <w:r w:rsidR="00FD33F0" w:rsidRPr="00FD33F0">
        <w:rPr>
          <w:sz w:val="24"/>
          <w:lang w:val="pl-PL"/>
        </w:rPr>
        <w:tab/>
      </w:r>
      <w:r w:rsidRPr="00FD33F0">
        <w:rPr>
          <w:sz w:val="24"/>
          <w:lang w:val="pl-PL"/>
        </w:rPr>
        <w:t>Dz.U. L 150 z 9.6.2023, s. 206, ELI: </w:t>
      </w:r>
      <w:hyperlink r:id="rId2" w:tooltip="Dokument dostępny poprzez ELI URI." w:history="1">
        <w:r w:rsidRPr="00FD33F0">
          <w:rPr>
            <w:rStyle w:val="Hyperlink"/>
            <w:sz w:val="24"/>
            <w:lang w:val="pl-PL"/>
          </w:rPr>
          <w:t>http://data.europa.eu/eli/reg/2023/1115/oj</w:t>
        </w:r>
      </w:hyperlink>
      <w:r w:rsidRPr="00FD33F0">
        <w:rPr>
          <w:sz w:val="24"/>
          <w:lang w:val="pl-PL"/>
        </w:rPr>
        <w:t xml:space="preserve">. </w:t>
      </w:r>
    </w:p>
  </w:footnote>
  <w:footnote w:id="3">
    <w:p w14:paraId="27833E80" w14:textId="5D3AEA7E" w:rsidR="004B60B3" w:rsidRPr="00FD33F0" w:rsidRDefault="004B60B3" w:rsidP="00FD33F0">
      <w:pPr>
        <w:pStyle w:val="FootnoteText"/>
        <w:ind w:left="567" w:hanging="567"/>
        <w:rPr>
          <w:sz w:val="24"/>
          <w:lang w:val="pl-PL"/>
        </w:rPr>
      </w:pPr>
      <w:r w:rsidRPr="00FD33F0">
        <w:rPr>
          <w:rStyle w:val="FootnoteReference"/>
          <w:sz w:val="24"/>
          <w:lang w:val="pl-PL"/>
        </w:rPr>
        <w:footnoteRef/>
      </w:r>
      <w:r w:rsidR="00FD33F0" w:rsidRPr="00FD33F0">
        <w:rPr>
          <w:sz w:val="24"/>
          <w:lang w:val="pl-PL"/>
        </w:rPr>
        <w:t xml:space="preserve"> </w:t>
      </w:r>
      <w:r w:rsidR="00FD33F0" w:rsidRPr="00FD33F0">
        <w:rPr>
          <w:sz w:val="24"/>
          <w:lang w:val="pl-PL"/>
        </w:rPr>
        <w:tab/>
      </w:r>
      <w:r w:rsidRPr="00FD33F0">
        <w:rPr>
          <w:sz w:val="24"/>
          <w:lang w:val="pl-PL"/>
        </w:rPr>
        <w:t xml:space="preserve">Dz.U. L 55 z 28.2.2011, s. 13, ELI: </w:t>
      </w:r>
      <w:r w:rsidR="00652961">
        <w:fldChar w:fldCharType="begin"/>
      </w:r>
      <w:r w:rsidR="00652961" w:rsidRPr="00652961">
        <w:rPr>
          <w:lang w:val="pl-PL"/>
        </w:rPr>
        <w:instrText>HYPERLINK "http://data.europa.eu/eli/reg/2011/182/oj"</w:instrText>
      </w:r>
      <w:r w:rsidR="00652961">
        <w:fldChar w:fldCharType="separate"/>
      </w:r>
      <w:r w:rsidRPr="00FD33F0">
        <w:rPr>
          <w:rStyle w:val="Hyperlink"/>
          <w:sz w:val="24"/>
          <w:lang w:val="pl-PL"/>
        </w:rPr>
        <w:t>http://data.europa.eu/eli/reg/2011/182/oj</w:t>
      </w:r>
      <w:r w:rsidR="00652961">
        <w:rPr>
          <w:rStyle w:val="Hyperlink"/>
          <w:sz w:val="24"/>
          <w:lang w:val="pl-PL"/>
        </w:rPr>
        <w:fldChar w:fldCharType="end"/>
      </w:r>
      <w:r w:rsidRPr="00FD33F0">
        <w:rPr>
          <w:sz w:val="24"/>
          <w:lang w:val="pl-PL"/>
        </w:rPr>
        <w:t>.</w:t>
      </w:r>
    </w:p>
  </w:footnote>
  <w:footnote w:id="4">
    <w:p w14:paraId="71018126" w14:textId="73A4BF60" w:rsidR="004B60B3" w:rsidRPr="00FD33F0" w:rsidRDefault="004B60B3" w:rsidP="00FD33F0">
      <w:pPr>
        <w:pStyle w:val="FootnoteText"/>
        <w:ind w:left="567" w:hanging="567"/>
        <w:rPr>
          <w:sz w:val="24"/>
          <w:lang w:val="pl-PL"/>
        </w:rPr>
      </w:pPr>
      <w:r w:rsidRPr="00FD33F0">
        <w:rPr>
          <w:rStyle w:val="FootnoteReference"/>
          <w:sz w:val="24"/>
          <w:lang w:val="pl-PL"/>
        </w:rPr>
        <w:footnoteRef/>
      </w:r>
      <w:r w:rsidR="00FD33F0" w:rsidRPr="00FD33F0">
        <w:rPr>
          <w:sz w:val="24"/>
          <w:lang w:val="pl-PL"/>
        </w:rPr>
        <w:t xml:space="preserve"> </w:t>
      </w:r>
      <w:r w:rsidR="00FD33F0" w:rsidRPr="00FD33F0">
        <w:rPr>
          <w:sz w:val="24"/>
          <w:lang w:val="pl-PL"/>
        </w:rPr>
        <w:tab/>
      </w:r>
      <w:r w:rsidR="00652961">
        <w:fldChar w:fldCharType="begin"/>
      </w:r>
      <w:r w:rsidR="00652961" w:rsidRPr="00652961">
        <w:rPr>
          <w:lang w:val="pl-PL"/>
        </w:rPr>
        <w:instrText>HYPERLINK "https://www.eea.europa.eu/publications/how-are-european-forest/how-are-european-forest-ecosystems-doing"</w:instrText>
      </w:r>
      <w:r w:rsidR="00652961">
        <w:fldChar w:fldCharType="separate"/>
      </w:r>
      <w:r w:rsidRPr="00FD33F0">
        <w:rPr>
          <w:rStyle w:val="Hyperlink"/>
          <w:sz w:val="24"/>
          <w:lang w:val="pl-PL"/>
        </w:rPr>
        <w:t>https://www.eea.europa.eu/publications/how-are-european-forest/how-are-european-forest-ecosystems-doing</w:t>
      </w:r>
      <w:r w:rsidR="00652961">
        <w:rPr>
          <w:rStyle w:val="Hyperlink"/>
          <w:sz w:val="24"/>
          <w:lang w:val="pl-PL"/>
        </w:rPr>
        <w:fldChar w:fldCharType="end"/>
      </w:r>
      <w:r w:rsidRPr="00FD33F0">
        <w:rPr>
          <w:sz w:val="24"/>
          <w:lang w:val="pl-PL"/>
        </w:rPr>
        <w:t>.</w:t>
      </w:r>
    </w:p>
  </w:footnote>
  <w:footnote w:id="5">
    <w:p w14:paraId="61C48809" w14:textId="73623B63" w:rsidR="004B60B3" w:rsidRPr="00FD33F0" w:rsidRDefault="004B60B3" w:rsidP="00FD33F0">
      <w:pPr>
        <w:pStyle w:val="FootnoteText"/>
        <w:ind w:left="567" w:hanging="567"/>
        <w:rPr>
          <w:sz w:val="24"/>
          <w:lang w:val="pl-PL"/>
        </w:rPr>
      </w:pPr>
      <w:r w:rsidRPr="00FD33F0">
        <w:rPr>
          <w:rStyle w:val="FootnoteReference"/>
          <w:sz w:val="24"/>
          <w:lang w:val="pl-PL"/>
        </w:rPr>
        <w:footnoteRef/>
      </w:r>
      <w:r w:rsidR="00FD33F0" w:rsidRPr="00FD33F0">
        <w:rPr>
          <w:sz w:val="24"/>
          <w:lang w:val="pl-PL"/>
        </w:rPr>
        <w:t xml:space="preserve"> </w:t>
      </w:r>
      <w:r w:rsidR="00FD33F0" w:rsidRPr="00FD33F0">
        <w:rPr>
          <w:sz w:val="24"/>
          <w:lang w:val="pl-PL"/>
        </w:rPr>
        <w:tab/>
      </w:r>
      <w:r w:rsidR="00652961">
        <w:fldChar w:fldCharType="begin"/>
      </w:r>
      <w:r w:rsidR="00652961" w:rsidRPr="00652961">
        <w:rPr>
          <w:lang w:val="pl-PL"/>
        </w:rPr>
        <w:instrText>HYPERLINK "https://www.fao.org/forest-resources-assessment/en"</w:instrText>
      </w:r>
      <w:r w:rsidR="00652961">
        <w:fldChar w:fldCharType="separate"/>
      </w:r>
      <w:r w:rsidRPr="00FD33F0">
        <w:rPr>
          <w:rStyle w:val="Hyperlink"/>
          <w:sz w:val="24"/>
          <w:lang w:val="pl-PL"/>
        </w:rPr>
        <w:t>https://www.fao.org/forest-resources-assessment/en</w:t>
      </w:r>
      <w:r w:rsidR="00652961">
        <w:rPr>
          <w:rStyle w:val="Hyperlink"/>
          <w:sz w:val="24"/>
          <w:lang w:val="pl-PL"/>
        </w:rPr>
        <w:fldChar w:fldCharType="end"/>
      </w:r>
      <w:r w:rsidRPr="00FD33F0">
        <w:rPr>
          <w:sz w:val="24"/>
          <w:lang w:val="pl-PL"/>
        </w:rPr>
        <w:t>.</w:t>
      </w:r>
    </w:p>
  </w:footnote>
  <w:footnote w:id="6">
    <w:p w14:paraId="4BA3BD93" w14:textId="3991E9B6" w:rsidR="004B60B3" w:rsidRPr="00FD33F0" w:rsidRDefault="004B60B3" w:rsidP="00FD33F0">
      <w:pPr>
        <w:pStyle w:val="FootnoteText"/>
        <w:ind w:left="567" w:hanging="567"/>
        <w:rPr>
          <w:sz w:val="24"/>
          <w:lang w:val="pl-PL"/>
        </w:rPr>
      </w:pPr>
      <w:r w:rsidRPr="00FD33F0">
        <w:rPr>
          <w:rStyle w:val="FootnoteReference"/>
          <w:sz w:val="24"/>
          <w:lang w:val="pl-PL"/>
        </w:rPr>
        <w:footnoteRef/>
      </w:r>
      <w:r w:rsidR="00FD33F0" w:rsidRPr="00FD33F0">
        <w:rPr>
          <w:sz w:val="24"/>
          <w:lang w:val="pl-PL"/>
        </w:rPr>
        <w:t xml:space="preserve"> </w:t>
      </w:r>
      <w:r w:rsidR="00FD33F0" w:rsidRPr="00FD33F0">
        <w:rPr>
          <w:sz w:val="24"/>
          <w:lang w:val="pl-PL"/>
        </w:rPr>
        <w:tab/>
      </w:r>
      <w:r w:rsidR="00652961">
        <w:fldChar w:fldCharType="begin"/>
      </w:r>
      <w:r w:rsidR="00652961" w:rsidRPr="00652961">
        <w:rPr>
          <w:lang w:val="pl-PL"/>
        </w:rPr>
        <w:instrText>HYPERLINK "https://infoamazonia.org/wp-content/uploads/2023/03/DEFORESTACION-AMAZONIA-2025_21032023.pdf"</w:instrText>
      </w:r>
      <w:r w:rsidR="00652961">
        <w:fldChar w:fldCharType="separate"/>
      </w:r>
      <w:r w:rsidRPr="00FD33F0">
        <w:rPr>
          <w:rStyle w:val="Hyperlink"/>
          <w:sz w:val="24"/>
          <w:lang w:val="pl-PL"/>
        </w:rPr>
        <w:t>https://infoamazonia.org/wp-content/uploads/2023/03/DEFORESTACION-AMAZONIA-2025_21032023.pdf</w:t>
      </w:r>
      <w:r w:rsidR="00652961">
        <w:rPr>
          <w:rStyle w:val="Hyperlink"/>
          <w:sz w:val="24"/>
          <w:lang w:val="pl-PL"/>
        </w:rPr>
        <w:fldChar w:fldCharType="end"/>
      </w:r>
      <w:r w:rsidRPr="00FD33F0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E4087" w14:textId="77777777" w:rsidR="00064002" w:rsidRPr="00FD33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D88E" w14:textId="77777777" w:rsidR="00064002" w:rsidRPr="00FD33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AE3C9" w14:textId="77777777" w:rsidR="00064002" w:rsidRPr="00FD33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7990860">
    <w:abstractNumId w:val="9"/>
  </w:num>
  <w:num w:numId="2" w16cid:durableId="269439589">
    <w:abstractNumId w:val="9"/>
  </w:num>
  <w:num w:numId="3" w16cid:durableId="484779983">
    <w:abstractNumId w:val="7"/>
  </w:num>
  <w:num w:numId="4" w16cid:durableId="947616774">
    <w:abstractNumId w:val="7"/>
  </w:num>
  <w:num w:numId="5" w16cid:durableId="44528244">
    <w:abstractNumId w:val="6"/>
  </w:num>
  <w:num w:numId="6" w16cid:durableId="869687337">
    <w:abstractNumId w:val="6"/>
  </w:num>
  <w:num w:numId="7" w16cid:durableId="1252204681">
    <w:abstractNumId w:val="5"/>
  </w:num>
  <w:num w:numId="8" w16cid:durableId="104664532">
    <w:abstractNumId w:val="5"/>
  </w:num>
  <w:num w:numId="9" w16cid:durableId="1603491585">
    <w:abstractNumId w:val="4"/>
  </w:num>
  <w:num w:numId="10" w16cid:durableId="869729538">
    <w:abstractNumId w:val="4"/>
  </w:num>
  <w:num w:numId="11" w16cid:durableId="877664252">
    <w:abstractNumId w:val="8"/>
  </w:num>
  <w:num w:numId="12" w16cid:durableId="2119984079">
    <w:abstractNumId w:val="8"/>
  </w:num>
  <w:num w:numId="13" w16cid:durableId="436827774">
    <w:abstractNumId w:val="3"/>
  </w:num>
  <w:num w:numId="14" w16cid:durableId="149293211">
    <w:abstractNumId w:val="3"/>
  </w:num>
  <w:num w:numId="15" w16cid:durableId="415399914">
    <w:abstractNumId w:val="2"/>
  </w:num>
  <w:num w:numId="16" w16cid:durableId="1441493099">
    <w:abstractNumId w:val="2"/>
  </w:num>
  <w:num w:numId="17" w16cid:durableId="497966593">
    <w:abstractNumId w:val="1"/>
  </w:num>
  <w:num w:numId="18" w16cid:durableId="458233130">
    <w:abstractNumId w:val="1"/>
  </w:num>
  <w:num w:numId="19" w16cid:durableId="726221276">
    <w:abstractNumId w:val="0"/>
  </w:num>
  <w:num w:numId="20" w16cid:durableId="799343046">
    <w:abstractNumId w:val="0"/>
  </w:num>
  <w:num w:numId="21" w16cid:durableId="2119596956">
    <w:abstractNumId w:val="9"/>
  </w:num>
  <w:num w:numId="22" w16cid:durableId="402915863">
    <w:abstractNumId w:val="7"/>
  </w:num>
  <w:num w:numId="23" w16cid:durableId="2024159633">
    <w:abstractNumId w:val="6"/>
  </w:num>
  <w:num w:numId="24" w16cid:durableId="1136921168">
    <w:abstractNumId w:val="5"/>
  </w:num>
  <w:num w:numId="25" w16cid:durableId="982344327">
    <w:abstractNumId w:val="4"/>
  </w:num>
  <w:num w:numId="26" w16cid:durableId="174855272">
    <w:abstractNumId w:val="8"/>
  </w:num>
  <w:num w:numId="27" w16cid:durableId="1626229766">
    <w:abstractNumId w:val="3"/>
  </w:num>
  <w:num w:numId="28" w16cid:durableId="1766489456">
    <w:abstractNumId w:val="2"/>
  </w:num>
  <w:num w:numId="29" w16cid:durableId="715932294">
    <w:abstractNumId w:val="1"/>
  </w:num>
  <w:num w:numId="30" w16cid:durableId="2048942249">
    <w:abstractNumId w:val="0"/>
  </w:num>
  <w:num w:numId="31" w16cid:durableId="31080894">
    <w:abstractNumId w:val="9"/>
  </w:num>
  <w:num w:numId="32" w16cid:durableId="1593470494">
    <w:abstractNumId w:val="7"/>
  </w:num>
  <w:num w:numId="33" w16cid:durableId="267203124">
    <w:abstractNumId w:val="6"/>
  </w:num>
  <w:num w:numId="34" w16cid:durableId="1695615541">
    <w:abstractNumId w:val="5"/>
  </w:num>
  <w:num w:numId="35" w16cid:durableId="1620065408">
    <w:abstractNumId w:val="4"/>
  </w:num>
  <w:num w:numId="36" w16cid:durableId="559898301">
    <w:abstractNumId w:val="8"/>
  </w:num>
  <w:num w:numId="37" w16cid:durableId="2111969011">
    <w:abstractNumId w:val="3"/>
  </w:num>
  <w:num w:numId="38" w16cid:durableId="548764021">
    <w:abstractNumId w:val="2"/>
  </w:num>
  <w:num w:numId="39" w16cid:durableId="1131240718">
    <w:abstractNumId w:val="1"/>
  </w:num>
  <w:num w:numId="40" w16cid:durableId="685248267">
    <w:abstractNumId w:val="0"/>
  </w:num>
  <w:num w:numId="41" w16cid:durableId="1082724870">
    <w:abstractNumId w:val="10"/>
  </w:num>
  <w:num w:numId="42" w16cid:durableId="794836931">
    <w:abstractNumId w:val="10"/>
  </w:num>
  <w:num w:numId="43" w16cid:durableId="987711684">
    <w:abstractNumId w:val="10"/>
  </w:num>
  <w:num w:numId="44" w16cid:durableId="13014986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1/2025"/>
    <w:docVar w:name="dvlangue" w:val="PL"/>
    <w:docVar w:name="dvnumam" w:val="0"/>
    <w:docVar w:name="dvpe" w:val="774.488"/>
    <w:docVar w:name="dvtitre" w:val="Rezolucja Parlamentu Europejskiego z dnia  2025 r. w sprawie rozporządzenia wykonawczego Komisji (UE) 2025/1093 z dnia 22 maja 2025 r. ustanawiającego zasady stosowania rozporządzenia Parlamentu Europejskiego i Rady (UE) 2023/1115 w odniesieniu do wykazu krajów o niskim lub wysokim ryzyku produkcji odnośnych towarów powodujących niezgodność odnośnych produktów z art. 3 lit. a),(2025/2739(RSP))"/>
  </w:docVars>
  <w:rsids>
    <w:rsidRoot w:val="009C04E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1D7"/>
    <w:rsid w:val="002767FF"/>
    <w:rsid w:val="002B18FE"/>
    <w:rsid w:val="002B5493"/>
    <w:rsid w:val="00343214"/>
    <w:rsid w:val="00361C00"/>
    <w:rsid w:val="00395FA1"/>
    <w:rsid w:val="003E15D4"/>
    <w:rsid w:val="003E6F9A"/>
    <w:rsid w:val="00411CCE"/>
    <w:rsid w:val="0041666E"/>
    <w:rsid w:val="00421060"/>
    <w:rsid w:val="00471C19"/>
    <w:rsid w:val="004867E3"/>
    <w:rsid w:val="00494A28"/>
    <w:rsid w:val="004B60B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296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4E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DBF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00DDDB"/>
  <w15:chartTrackingRefBased/>
  <w15:docId w15:val="{10E51006-82CE-4879-91C5-0921BA83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B60B3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4B60B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4B60B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121D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3/1115/oj" TargetMode="External"/><Relationship Id="rId1" Type="http://schemas.openxmlformats.org/officeDocument/2006/relationships/hyperlink" Target="http://data.europa.eu/eli/reg_impl/2025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1503</Words>
  <Characters>10285</Characters>
  <Application>Microsoft Office Word</Application>
  <DocSecurity>0</DocSecurity>
  <Lines>270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2025-07-09T15:45:00Z</dcterms:created>
  <dcterms:modified xsi:type="dcterms:W3CDTF">2025-07-09T15:45:00Z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B10-0321/2025</vt:lpwstr>
  </property>
  <property fmtid="{D5CDD505-2E9C-101B-9397-08002B2CF9AE}" pid="4" name="&lt;Type&gt;">
    <vt:lpwstr>RR</vt:lpwstr>
  </property>
</Properties>
</file>