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12F1" w14:paraId="5E363F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B2D251" w14:textId="77777777" w:rsidR="00751A4A" w:rsidRPr="00D112F1" w:rsidRDefault="009416FB" w:rsidP="0010095E">
            <w:pPr>
              <w:pStyle w:val="EPName"/>
            </w:pPr>
            <w:r w:rsidRPr="00D112F1">
              <w:t>Európsky parlament</w:t>
            </w:r>
          </w:p>
          <w:p w14:paraId="513B5CEB" w14:textId="77777777" w:rsidR="00751A4A" w:rsidRPr="00D112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12F1">
              <w:t>2024</w:t>
            </w:r>
            <w:r w:rsidR="00817416" w:rsidRPr="00D112F1">
              <w:t>-202</w:t>
            </w:r>
            <w:r w:rsidRPr="00D112F1">
              <w:t>9</w:t>
            </w:r>
          </w:p>
        </w:tc>
        <w:tc>
          <w:tcPr>
            <w:tcW w:w="2268" w:type="dxa"/>
            <w:shd w:val="clear" w:color="auto" w:fill="auto"/>
          </w:tcPr>
          <w:p w14:paraId="6D6887FF" w14:textId="77777777" w:rsidR="00751A4A" w:rsidRPr="00D112F1" w:rsidRDefault="00187494" w:rsidP="0010095E">
            <w:pPr>
              <w:pStyle w:val="EPLogo"/>
            </w:pPr>
            <w:r w:rsidRPr="00D112F1">
              <w:rPr>
                <w:noProof/>
                <w:lang w:val="en-GB"/>
              </w:rPr>
              <w:drawing>
                <wp:inline distT="0" distB="0" distL="0" distR="0" wp14:anchorId="3314AC10" wp14:editId="3B19A8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354AAD" w14:textId="77777777" w:rsidR="00D058B8" w:rsidRPr="00D112F1" w:rsidRDefault="00D058B8" w:rsidP="004C5D52">
      <w:pPr>
        <w:pStyle w:val="LineTop"/>
      </w:pPr>
    </w:p>
    <w:p w14:paraId="317EBA99" w14:textId="77777777" w:rsidR="00680577" w:rsidRPr="00D112F1" w:rsidRDefault="009416FB" w:rsidP="00680577">
      <w:pPr>
        <w:pStyle w:val="EPBodyTA1"/>
      </w:pPr>
      <w:r w:rsidRPr="00D112F1">
        <w:t>PRIJATÉ TEXTY</w:t>
      </w:r>
    </w:p>
    <w:p w14:paraId="65C93AB3" w14:textId="77777777" w:rsidR="00D058B8" w:rsidRPr="00D112F1" w:rsidRDefault="00D058B8" w:rsidP="00D058B8">
      <w:pPr>
        <w:pStyle w:val="LineBottom"/>
      </w:pPr>
    </w:p>
    <w:p w14:paraId="73DDCAED" w14:textId="2D76A285" w:rsidR="009416FB" w:rsidRPr="00D112F1" w:rsidRDefault="009416FB" w:rsidP="009416FB">
      <w:pPr>
        <w:pStyle w:val="ATHeading1"/>
      </w:pPr>
      <w:bookmarkStart w:id="0" w:name="TANumber"/>
      <w:r w:rsidRPr="00D112F1">
        <w:t>P10_TA(2025)0</w:t>
      </w:r>
      <w:r w:rsidR="00D112F1" w:rsidRPr="00D112F1">
        <w:t>1</w:t>
      </w:r>
      <w:r w:rsidR="00132901">
        <w:t>49</w:t>
      </w:r>
      <w:bookmarkEnd w:id="0"/>
    </w:p>
    <w:p w14:paraId="1CC3E7A7" w14:textId="10BB7FFA" w:rsidR="009416FB" w:rsidRPr="00D112F1" w:rsidRDefault="00D31680" w:rsidP="009416FB">
      <w:pPr>
        <w:pStyle w:val="ATHeading2"/>
      </w:pPr>
      <w:bookmarkStart w:id="1" w:name="title"/>
      <w:r w:rsidRPr="00D112F1">
        <w:t>N</w:t>
      </w:r>
      <w:r w:rsidR="009416FB" w:rsidRPr="00D112F1">
        <w:t>ariadenie o odlesňovaní – zoznam krajín, ktoré</w:t>
      </w:r>
      <w:r w:rsidR="00192DEA" w:rsidRPr="00D112F1">
        <w:t xml:space="preserve"> </w:t>
      </w:r>
      <w:r w:rsidR="009416FB" w:rsidRPr="00D112F1">
        <w:t>predstavujú nízke alebo vysoké riziko</w:t>
      </w:r>
      <w:bookmarkEnd w:id="1"/>
    </w:p>
    <w:p w14:paraId="229AB674" w14:textId="77777777" w:rsidR="009416FB" w:rsidRPr="00D112F1" w:rsidRDefault="009416FB" w:rsidP="009416FB">
      <w:pPr>
        <w:rPr>
          <w:i/>
          <w:vanish/>
        </w:rPr>
      </w:pPr>
      <w:r w:rsidRPr="00D112F1">
        <w:rPr>
          <w:i/>
        </w:rPr>
        <w:fldChar w:fldCharType="begin"/>
      </w:r>
      <w:r w:rsidRPr="00D112F1">
        <w:rPr>
          <w:i/>
        </w:rPr>
        <w:instrText xml:space="preserve"> TC"(</w:instrText>
      </w:r>
      <w:bookmarkStart w:id="2" w:name="DocNumber"/>
      <w:r w:rsidRPr="00D112F1">
        <w:rPr>
          <w:i/>
        </w:rPr>
        <w:instrText>B10-0321/2025</w:instrText>
      </w:r>
      <w:bookmarkEnd w:id="2"/>
      <w:r w:rsidRPr="00D112F1">
        <w:rPr>
          <w:i/>
        </w:rPr>
        <w:instrText xml:space="preserve">)"\l3 \n&gt; \* MERGEFORMAT </w:instrText>
      </w:r>
      <w:r w:rsidRPr="00D112F1">
        <w:rPr>
          <w:i/>
        </w:rPr>
        <w:fldChar w:fldCharType="end"/>
      </w:r>
    </w:p>
    <w:p w14:paraId="2456503E" w14:textId="77777777" w:rsidR="009416FB" w:rsidRPr="00D112F1" w:rsidRDefault="009416FB" w:rsidP="009416FB">
      <w:pPr>
        <w:rPr>
          <w:vanish/>
        </w:rPr>
      </w:pPr>
      <w:bookmarkStart w:id="3" w:name="PE"/>
      <w:r w:rsidRPr="00D112F1">
        <w:rPr>
          <w:vanish/>
        </w:rPr>
        <w:t>PE774.488</w:t>
      </w:r>
      <w:bookmarkEnd w:id="3"/>
    </w:p>
    <w:p w14:paraId="1E5114AC" w14:textId="5CAC4476" w:rsidR="009416FB" w:rsidRPr="00D112F1" w:rsidRDefault="009416FB" w:rsidP="009416FB">
      <w:pPr>
        <w:pStyle w:val="ATHeading3"/>
      </w:pPr>
      <w:bookmarkStart w:id="4" w:name="Sujet"/>
      <w:r w:rsidRPr="00D112F1">
        <w:t>Uznesenie Európskeho parlamentu z</w:t>
      </w:r>
      <w:r w:rsidR="00D31680" w:rsidRPr="00D112F1">
        <w:t> 9</w:t>
      </w:r>
      <w:r w:rsidRPr="00D112F1">
        <w:t>. júla 2025 o vykonávacom nariadení Komisie (EÚ) 2025/1093 z 22. mája 2025, ktorým sa stanovujú pravidlá uplatňovania nariadenia Európskeho parlamentu a Rady (EÚ) 2023/1115, pokiaľ ide o zoznam krajín, ktoré predstavujú nízke alebo vysoké riziko výroby príslušných komodít, v prípade ktorých príslušné výrobky nie sú v súlade s článkom 3 písm. a)</w:t>
      </w:r>
      <w:bookmarkEnd w:id="4"/>
      <w:r w:rsidRPr="00D112F1">
        <w:t xml:space="preserve"> </w:t>
      </w:r>
      <w:bookmarkStart w:id="5" w:name="References"/>
      <w:r w:rsidRPr="00D112F1">
        <w:t>(2025/2739(RSP))</w:t>
      </w:r>
      <w:bookmarkEnd w:id="5"/>
    </w:p>
    <w:p w14:paraId="1ED466F0" w14:textId="77777777" w:rsidR="00FB679E" w:rsidRPr="00D112F1" w:rsidRDefault="00FB679E" w:rsidP="00FB679E">
      <w:pPr>
        <w:pStyle w:val="EPComma"/>
      </w:pPr>
      <w:bookmarkStart w:id="6" w:name="TextBodyBegin"/>
      <w:bookmarkEnd w:id="6"/>
      <w:r w:rsidRPr="00D112F1">
        <w:rPr>
          <w:i/>
        </w:rPr>
        <w:t>Európsky parlament</w:t>
      </w:r>
      <w:r w:rsidRPr="00D112F1">
        <w:t>,</w:t>
      </w:r>
    </w:p>
    <w:p w14:paraId="557DD480" w14:textId="77777777" w:rsidR="00FB679E" w:rsidRPr="00D112F1" w:rsidRDefault="00FB679E" w:rsidP="00FB679E">
      <w:pPr>
        <w:pStyle w:val="NormalHanging12a"/>
      </w:pPr>
      <w:r w:rsidRPr="00D112F1">
        <w:t>–</w:t>
      </w:r>
      <w:r w:rsidRPr="00D112F1">
        <w:tab/>
        <w:t>so zreteľom na vykonávacie nariadenie Komisie (EÚ) 2025/1093 z 22. mája 2025, ktorým sa stanovujú pravidlá uplatňovania nariadenia Európskeho parlamentu a Rady (EÚ) 2023/1115, pokiaľ ide o zoznam krajín, ktoré predstavujú nízke alebo vysoké riziko výroby príslušných komodít, v prípade ktorých príslušné výrobky nie sú v súlade s článkom 3 písm. a)</w:t>
      </w:r>
      <w:r w:rsidRPr="00D112F1">
        <w:rPr>
          <w:rStyle w:val="FootnoteReference"/>
        </w:rPr>
        <w:footnoteReference w:id="1"/>
      </w:r>
      <w:r w:rsidRPr="00D112F1">
        <w:t>,</w:t>
      </w:r>
    </w:p>
    <w:p w14:paraId="574E0362" w14:textId="77777777" w:rsidR="00FB679E" w:rsidRPr="00D112F1" w:rsidRDefault="00FB679E" w:rsidP="00FB679E">
      <w:pPr>
        <w:pStyle w:val="NormalHanging12a"/>
        <w:rPr>
          <w:color w:val="000000"/>
          <w:shd w:val="clear" w:color="auto" w:fill="FFFFFF"/>
        </w:rPr>
      </w:pPr>
      <w:r w:rsidRPr="00D112F1">
        <w:t>–</w:t>
      </w:r>
      <w:r w:rsidRPr="00D112F1">
        <w:tab/>
        <w:t>so zreteľom na nariadenie Európskeho parlamentu a Rady (EÚ) 2023/1115 z 31. mája 2023 o sprístupnení určitých komodít a výrobkov spojených s odlesňovaním a degradáciou lesov na trhu Únie a o ich vývoze z Únie, ktorým sa zrušuje nariadenie (EÚ) č. 995/2010</w:t>
      </w:r>
      <w:r w:rsidRPr="00D112F1">
        <w:rPr>
          <w:rStyle w:val="FootnoteReference"/>
        </w:rPr>
        <w:footnoteReference w:id="2"/>
      </w:r>
      <w:r w:rsidRPr="00D112F1">
        <w:t>, a najmä na jeho článok 29 ods. 2,</w:t>
      </w:r>
    </w:p>
    <w:p w14:paraId="66E4B6B1" w14:textId="77777777" w:rsidR="00FB679E" w:rsidRPr="00D112F1" w:rsidRDefault="00FB679E" w:rsidP="00FB679E">
      <w:pPr>
        <w:pStyle w:val="NormalHanging12a"/>
      </w:pPr>
      <w:r w:rsidRPr="00D112F1">
        <w:t>–</w:t>
      </w:r>
      <w:r w:rsidRPr="00D112F1">
        <w:tab/>
        <w:t>so zreteľom na článok 11 nariadenia Európskeho parlamentu a Rady (EÚ) č. 182/2011 zo 16. februára 2011, ktorým sa ustanovujú pravidlá a všeobecné zásady mechanizmu, na základe ktorého členské štáty kontrolujú vykonávanie vykonávacích právomocí Komisie</w:t>
      </w:r>
      <w:r w:rsidRPr="00D112F1">
        <w:rPr>
          <w:rStyle w:val="FootnoteReference"/>
        </w:rPr>
        <w:footnoteReference w:id="3"/>
      </w:r>
      <w:r w:rsidRPr="00D112F1">
        <w:t>,</w:t>
      </w:r>
    </w:p>
    <w:p w14:paraId="6F419A4F" w14:textId="77777777" w:rsidR="00FB679E" w:rsidRPr="00D112F1" w:rsidRDefault="00FB679E" w:rsidP="00FB679E">
      <w:pPr>
        <w:pStyle w:val="NormalHanging12a"/>
      </w:pPr>
      <w:r w:rsidRPr="00D112F1">
        <w:t>–</w:t>
      </w:r>
      <w:r w:rsidRPr="00D112F1">
        <w:tab/>
        <w:t>so zreteľom na článok 115 ods. 2 a 3 rokovacieho poriadku,</w:t>
      </w:r>
    </w:p>
    <w:p w14:paraId="42C9CC20" w14:textId="77777777" w:rsidR="00FB679E" w:rsidRPr="00D112F1" w:rsidRDefault="00FB679E" w:rsidP="00FB679E">
      <w:pPr>
        <w:pStyle w:val="NormalHanging12a"/>
      </w:pPr>
      <w:r w:rsidRPr="00D112F1">
        <w:t>–</w:t>
      </w:r>
      <w:r w:rsidRPr="00D112F1">
        <w:tab/>
        <w:t>so zreteľom na návrh uznesenia Výboru pre životné prostredie, klímu a bezpečnosť potravín,</w:t>
      </w:r>
    </w:p>
    <w:p w14:paraId="52A8B22E" w14:textId="77777777" w:rsidR="00FB679E" w:rsidRPr="00D112F1" w:rsidRDefault="00FB679E" w:rsidP="00FB679E">
      <w:pPr>
        <w:pStyle w:val="NormalHanging12a"/>
        <w:rPr>
          <w:i/>
          <w:iCs/>
        </w:rPr>
      </w:pPr>
      <w:r w:rsidRPr="00D112F1">
        <w:lastRenderedPageBreak/>
        <w:t>–</w:t>
      </w:r>
      <w:r w:rsidRPr="00D112F1">
        <w:tab/>
        <w:t xml:space="preserve">so zreteľom na hlasovanie v pléne Európskeho parlamentu zo 14. novembra 2024 </w:t>
      </w:r>
      <w:r w:rsidRPr="00D112F1">
        <w:rPr>
          <w:i/>
          <w:iCs/>
        </w:rPr>
        <w:t>o </w:t>
      </w:r>
      <w:r w:rsidRPr="00D112F1">
        <w:rPr>
          <w:rStyle w:val="Emphasis"/>
          <w:i w:val="0"/>
        </w:rPr>
        <w:t>nariadení, ktorým sa mení nariadenie (EÚ) 2023/1115, pokiaľ ide o ustanovenia týkajúce sa dátumu uplatňovania,</w:t>
      </w:r>
    </w:p>
    <w:p w14:paraId="2CC85E49" w14:textId="77777777" w:rsidR="00FB679E" w:rsidRPr="00D112F1" w:rsidRDefault="00FB679E" w:rsidP="00FB679E">
      <w:pPr>
        <w:pStyle w:val="NormalHanging12a"/>
        <w:rPr>
          <w:b/>
          <w:i/>
        </w:rPr>
      </w:pPr>
      <w:r w:rsidRPr="00D112F1">
        <w:rPr>
          <w:b/>
          <w:i/>
        </w:rPr>
        <w:t>Obavy týkajúce sa kvality údajov a metodickej spoľahlivosti</w:t>
      </w:r>
    </w:p>
    <w:p w14:paraId="1DD5EC9D" w14:textId="77777777" w:rsidR="00FB679E" w:rsidRPr="00D112F1" w:rsidRDefault="00FB679E" w:rsidP="00FB679E">
      <w:pPr>
        <w:pStyle w:val="NormalHanging12a"/>
      </w:pPr>
      <w:r w:rsidRPr="00D112F1">
        <w:t>A.</w:t>
      </w:r>
      <w:r w:rsidRPr="00D112F1">
        <w:tab/>
        <w:t>keďže navrhovaná klasifikácia krajín podľa rizika v nariadení (EÚ) 2023/1115 presne neodráža súčasnú situáciu v dotknutých krajinách, pretože je založená na zastaraných údajoch a nezahŕňa všetky relevantné a dostupné ukazovatele rizika;</w:t>
      </w:r>
    </w:p>
    <w:p w14:paraId="32E31190" w14:textId="77777777" w:rsidR="00FB679E" w:rsidRPr="00D112F1" w:rsidRDefault="00FB679E" w:rsidP="00FB679E">
      <w:pPr>
        <w:pStyle w:val="NormalHanging12a"/>
      </w:pPr>
      <w:r w:rsidRPr="00D112F1">
        <w:t>B.</w:t>
      </w:r>
      <w:r w:rsidRPr="00D112F1">
        <w:tab/>
        <w:t>keďže vykonávacie nariadenie Komisie (EÚ) 2025/1093 presne neodráža realitu v dotknutých krajinách, pretože nezohľadňuje kľúčové faktory reálneho sveta, najmä súčasnú dynamiku využívania pôdy a degradáciu lesov; keďže uznanie degradácie za rizikový faktor by viedlo k zaradeniu určitých členských štátov do vyšších rizikových kategórií, čím by sa spochybnil predpoklad, že dodávateľské reťazce v rámci Únie sú automaticky nízkorizikové</w:t>
      </w:r>
      <w:r w:rsidRPr="00D112F1">
        <w:rPr>
          <w:rStyle w:val="FootnoteReference"/>
        </w:rPr>
        <w:footnoteReference w:id="4"/>
      </w:r>
      <w:r w:rsidRPr="00D112F1">
        <w:t>;</w:t>
      </w:r>
    </w:p>
    <w:p w14:paraId="4C258293" w14:textId="77777777" w:rsidR="00FB679E" w:rsidRPr="00D112F1" w:rsidRDefault="00FB679E" w:rsidP="00FB679E">
      <w:pPr>
        <w:pStyle w:val="NormalHanging12a"/>
      </w:pPr>
      <w:r w:rsidRPr="00D112F1">
        <w:t>C.</w:t>
      </w:r>
      <w:r w:rsidRPr="00D112F1">
        <w:tab/>
        <w:t>keďže kľúčový vývoj v oblasti správy vecí verejných, trendov odlesňovania a mechanizmov presadzovania, ku ktorému došlo od 31. decembra 2020, čo je koncový dátum uvedený v článku 2 nariadenia (EÚ) 2023/1115, nie je v metodike primerane zohľadnený;</w:t>
      </w:r>
    </w:p>
    <w:p w14:paraId="560F2342" w14:textId="77777777" w:rsidR="00FB679E" w:rsidRPr="00D112F1" w:rsidRDefault="00FB679E" w:rsidP="00FB679E">
      <w:pPr>
        <w:pStyle w:val="NormalHanging12a"/>
      </w:pPr>
      <w:r w:rsidRPr="00D112F1">
        <w:t>D.</w:t>
      </w:r>
      <w:r w:rsidRPr="00D112F1">
        <w:tab/>
        <w:t>keďže údaje, z ktorých sa vychádza pri klasifikácii krajín podľa rizika, pochádzajú predovšetkým z globálneho hodnotenia lesných zdrojov, ktoré vykonala Organizácia OSN pre výživu a poľnohospodárstvo, pričom posledné informácie predložené v rámci celého cyklu boli predložené pred rokom 2020, a preto takéto údaje primerane alebo spravodlivo nepredstavujú nedávne vnútroštátne úsilie o predchádzanie odlesňovaniu, aktualizované politiky využívania pôdy, zlepšenia satelitného monitorovania v reálnom čase a najnovšie trendy odlesňovania vo viacerých krajinách</w:t>
      </w:r>
      <w:r w:rsidRPr="00D112F1">
        <w:rPr>
          <w:rStyle w:val="FootnoteReference"/>
        </w:rPr>
        <w:footnoteReference w:id="5"/>
      </w:r>
      <w:r w:rsidRPr="00D112F1">
        <w:t>;</w:t>
      </w:r>
    </w:p>
    <w:p w14:paraId="1DC87D5C" w14:textId="77777777" w:rsidR="00FB679E" w:rsidRPr="00D112F1" w:rsidRDefault="00FB679E" w:rsidP="00FB679E">
      <w:pPr>
        <w:pStyle w:val="NormalHanging12a"/>
      </w:pPr>
      <w:r w:rsidRPr="00D112F1">
        <w:t>E.</w:t>
      </w:r>
      <w:r w:rsidRPr="00D112F1">
        <w:tab/>
        <w:t>keďže metodika klasifikácie krajín podľa rizika nie je transparentná, pokiaľ ide o spôsob váženia rôznych rizikových faktorov, a nezohľadňuje regionálnu variabilitu v rámci krajín; keďže to vyvoláva vážne obavy, pokiaľ ide o spravodlivosť a dôveryhodnosť metodiky klasifikácie;</w:t>
      </w:r>
    </w:p>
    <w:p w14:paraId="2F7DF8DB" w14:textId="77777777" w:rsidR="00FB679E" w:rsidRPr="00D112F1" w:rsidRDefault="00FB679E" w:rsidP="00FB679E">
      <w:pPr>
        <w:pStyle w:val="NormalHanging12a"/>
      </w:pPr>
      <w:r w:rsidRPr="00D112F1">
        <w:t>F.</w:t>
      </w:r>
      <w:r w:rsidRPr="00D112F1">
        <w:tab/>
        <w:t>keďže metodika klasifikácie krajín podľa rizika je chybná, pretože sa zameriava predovšetkým na súhrnné historické miery odlesňovania a tento prístup nezohľadňuje viacrozmerný charakter rizika odlesňovania a nezohľadňuje úplný rozsah ukazovateľov stanovených v článku 29 nariadenia (EÚ) 2023/1115;</w:t>
      </w:r>
    </w:p>
    <w:p w14:paraId="0EC0B983" w14:textId="77777777" w:rsidR="00FB679E" w:rsidRPr="00D112F1" w:rsidRDefault="00FB679E" w:rsidP="00FB679E">
      <w:pPr>
        <w:pStyle w:val="NormalHanging12a"/>
      </w:pPr>
      <w:r w:rsidRPr="00D112F1">
        <w:t>G.</w:t>
      </w:r>
      <w:r w:rsidRPr="00D112F1">
        <w:tab/>
        <w:t>keďže prístup, z ktorého vychádza súčasná metodika stanovená v nariadení (EÚ) 2023/1115, neposkytuje dostatočnú flexibilitu na prispôsobenie sa včasným aktualizáciám, čím vytvára značnú neistotu na trhu a potenciálnu volatilitu;</w:t>
      </w:r>
    </w:p>
    <w:p w14:paraId="129982CD" w14:textId="77777777" w:rsidR="00FB679E" w:rsidRPr="00D112F1" w:rsidRDefault="00FB679E" w:rsidP="00FB679E">
      <w:pPr>
        <w:pStyle w:val="NormalHanging12a"/>
      </w:pPr>
      <w:r w:rsidRPr="00D112F1">
        <w:t>H.</w:t>
      </w:r>
      <w:r w:rsidRPr="00D112F1">
        <w:tab/>
        <w:t xml:space="preserve">keďže bez jasne vymedzeného mechanizmu pravidelného a transparentného prehodnocovania sa klasifikácia krajín do kategórií podľa rizika dostáva do nesúladu s vyvíjajúcimi sa podmienkami, čím sa oslabuje účinnosť nariadenia (EÚ) 2023/1115, </w:t>
      </w:r>
      <w:r w:rsidRPr="00D112F1">
        <w:lastRenderedPageBreak/>
        <w:t>ako aj fungovanie globálnych komoditných trhov;</w:t>
      </w:r>
    </w:p>
    <w:p w14:paraId="263BAC65" w14:textId="77777777" w:rsidR="00FB679E" w:rsidRPr="00D112F1" w:rsidRDefault="00FB679E" w:rsidP="00FB679E">
      <w:pPr>
        <w:pStyle w:val="NormalHanging12a"/>
      </w:pPr>
      <w:r w:rsidRPr="00D112F1">
        <w:t>I.</w:t>
      </w:r>
      <w:r w:rsidRPr="00D112F1">
        <w:tab/>
        <w:t>keďže absencia jasných spôsobov, ako môžu krajiny zmeniť ich kategorizáciu podľa rizika prostredníctvom preukázateľného pokroku, oslabuje úlohu nariadenia (EÚ) 2023/1115 ako pozitívneho stimulačného mechanizmu a obmedzuje jeho potenciál stimulovať udržateľnú transformáciu v praxi;</w:t>
      </w:r>
    </w:p>
    <w:p w14:paraId="5A5161D3" w14:textId="77777777" w:rsidR="00FB679E" w:rsidRPr="00D112F1" w:rsidRDefault="00FB679E" w:rsidP="00FB679E">
      <w:pPr>
        <w:pStyle w:val="NormalHanging12a"/>
        <w:rPr>
          <w:b/>
          <w:i/>
        </w:rPr>
      </w:pPr>
      <w:r w:rsidRPr="00D112F1">
        <w:rPr>
          <w:b/>
          <w:i/>
        </w:rPr>
        <w:t>Analýza výziev v prvej rizikovej kategórii krajín („kategória nízkeho rizika“)</w:t>
      </w:r>
    </w:p>
    <w:p w14:paraId="7F22D243" w14:textId="77777777" w:rsidR="00FB679E" w:rsidRPr="00D112F1" w:rsidRDefault="00FB679E" w:rsidP="00FB679E">
      <w:pPr>
        <w:pStyle w:val="NormalHanging12a"/>
      </w:pPr>
      <w:r w:rsidRPr="00D112F1">
        <w:t>J.</w:t>
      </w:r>
      <w:r w:rsidRPr="00D112F1">
        <w:tab/>
        <w:t>keďže kritérium čistého úbytku lesov v rokoch 2015 až 2020, ktoré sa používa na určenie kategórie nízkeho rizika uvedenej v článku 29 ods. 1 písm. b) nariadenia (EÚ) 2023/1115, zohľadňuje celkový úbytok lesného porastu, a nie odlesňovanie, ako je úzko vymedzené v uvedenom nariadení, čím zahŕňa oblasti s dočasnou zmenou lesného porastu alebo obhospodarovania lesov, ktoré nie sú spojené s premenou využívania pôdy, čo oslabuje metodickú konzistentnosť a právnu istotu;</w:t>
      </w:r>
    </w:p>
    <w:p w14:paraId="75E942C8" w14:textId="77777777" w:rsidR="00FB679E" w:rsidRPr="00D112F1" w:rsidRDefault="00FB679E" w:rsidP="00FB679E">
      <w:pPr>
        <w:pStyle w:val="NormalHanging12a"/>
      </w:pPr>
      <w:r w:rsidRPr="00D112F1">
        <w:t>K.</w:t>
      </w:r>
      <w:r w:rsidRPr="00D112F1">
        <w:tab/>
        <w:t>keďže metodika kategorizácie krajín podľa rizika zavádza relatívnu prahovú hodnotu 0,2 % ročnej straty lesnej plochy a absolútnu prahovú hodnotu 70 000 hektárov ročnej straty lesov bez toho, aby poskytla jasné odôvodnenie týchto špecifických hodnôt; keďže je pozoruhodné, že niektoré krajiny s vysokým odlesňovaním, ako napríklad Spojené štáty, sa nachádzajú tesne pod absolútnou hranicou, čo vyvoláva otázky o objektívnosti a spoľahlivosti zvolených referenčných hodnôt;</w:t>
      </w:r>
    </w:p>
    <w:p w14:paraId="10B3E8F9" w14:textId="77777777" w:rsidR="00FB679E" w:rsidRPr="00D112F1" w:rsidRDefault="00FB679E" w:rsidP="00FB679E">
      <w:pPr>
        <w:pStyle w:val="NormalHanging12a"/>
      </w:pPr>
      <w:r w:rsidRPr="00D112F1">
        <w:t>L.</w:t>
      </w:r>
      <w:r w:rsidRPr="00D112F1">
        <w:tab/>
        <w:t>keďže posúdenie rizika odlesňovania na základe rozšírenia ornej pôdy využívanej na príslušné komodity v zmysle vymedzenia v článku 2 bode 1 nariadenia (EÚ) 2023/1115 a rozsahu živočíšnej výroby a produkcie dreva nie je presné; keďže zahrnutie celkovej produkcie dreva ako ukazovateľa rizík odlesňovania je metodicky sporné, pretože spája zákonné lesnícke činnosti s odlesňovaním spôsobeným zmenou využívania pôdy;</w:t>
      </w:r>
    </w:p>
    <w:p w14:paraId="60FD44BD" w14:textId="77777777" w:rsidR="00FB679E" w:rsidRPr="00D112F1" w:rsidRDefault="00FB679E" w:rsidP="00FB679E">
      <w:pPr>
        <w:pStyle w:val="NormalHanging12a"/>
        <w:rPr>
          <w:b/>
          <w:i/>
        </w:rPr>
      </w:pPr>
      <w:r w:rsidRPr="00D112F1">
        <w:rPr>
          <w:b/>
          <w:i/>
        </w:rPr>
        <w:t>Nedostatočná podrobnosť a citlivosť kontextu</w:t>
      </w:r>
    </w:p>
    <w:p w14:paraId="6F42EDE9" w14:textId="77777777" w:rsidR="00FB679E" w:rsidRPr="00D112F1" w:rsidRDefault="00FB679E" w:rsidP="00FB679E">
      <w:pPr>
        <w:pStyle w:val="NormalHanging12a"/>
      </w:pPr>
      <w:r w:rsidRPr="00D112F1">
        <w:t>M.</w:t>
      </w:r>
      <w:r w:rsidRPr="00D112F1">
        <w:tab/>
        <w:t>keďže súčasný systém, v ktorom existujú len tri kategórie podľa rizika, nepostačuje na primerané rozlišovanie medzi krajinami s veľmi rozdielnymi úrovňami rizika odlesňovania;</w:t>
      </w:r>
    </w:p>
    <w:p w14:paraId="75ADE905" w14:textId="77777777" w:rsidR="00FB679E" w:rsidRPr="00D112F1" w:rsidRDefault="00FB679E" w:rsidP="00FB679E">
      <w:pPr>
        <w:pStyle w:val="NormalHanging12a"/>
      </w:pPr>
      <w:r w:rsidRPr="00D112F1">
        <w:t>N.</w:t>
      </w:r>
      <w:r w:rsidRPr="00D112F1">
        <w:tab/>
        <w:t>keďže absencia diferencovaného prístupu by mohla oslabiť motiváciu ambicióznejších vlád prijať ďalšie opatrenia, pretože účinne penalizuje pokrok a neuznáva zmysluplné úsilie v boji proti odlesňovaniu;</w:t>
      </w:r>
    </w:p>
    <w:p w14:paraId="2BD15BE1" w14:textId="77777777" w:rsidR="00FB679E" w:rsidRPr="00D112F1" w:rsidRDefault="00FB679E" w:rsidP="00FB679E">
      <w:pPr>
        <w:pStyle w:val="NormalHanging12a"/>
      </w:pPr>
      <w:r w:rsidRPr="00D112F1">
        <w:t>O.</w:t>
      </w:r>
      <w:r w:rsidRPr="00D112F1">
        <w:tab/>
        <w:t>keďže Komisia by mala riešiť metodické nedostatky súčasného tripartitného klasifikačného systému zvážením zavedenia štvrtej kategórie rizika – „zanedbateľného rizika“ – s cieľom zohľadniť skutočnosť, že v niektorých krajinách alebo regiónoch je riziko odlesňovania alebo degradácie lesov skutočne zanedbateľné z dôvodu spoľahlivých právnych rámcov, nízkej dynamiky zmeny využívania pôdy a udržateľných postupov obhospodarovania pôdy;</w:t>
      </w:r>
    </w:p>
    <w:p w14:paraId="19BE9258" w14:textId="77777777" w:rsidR="00FB679E" w:rsidRPr="00D112F1" w:rsidRDefault="00FB679E" w:rsidP="00FB679E">
      <w:pPr>
        <w:pStyle w:val="NormalHanging12a"/>
      </w:pPr>
      <w:r w:rsidRPr="00D112F1">
        <w:t>P.</w:t>
      </w:r>
      <w:r w:rsidRPr="00D112F1">
        <w:tab/>
        <w:t>keďže súčasný systém predstavuje riziko prílišného zjednodušenia rizika odlesňovania tým, že udeľuje štatút krajinám na základe zastaraných údajov alebo národných priemerov, čo by mohlo vytvoriť falošný pocit istoty a potenciálne znížiť povinnosť náležitej starostlivosti v prípade výrobkov pochádzajúcich z oblastí, kde pretrváva nezákonné odlesňovanie;</w:t>
      </w:r>
    </w:p>
    <w:p w14:paraId="3F00F802" w14:textId="77777777" w:rsidR="00FB679E" w:rsidRPr="00D112F1" w:rsidRDefault="00FB679E" w:rsidP="00FB679E">
      <w:pPr>
        <w:pStyle w:val="NormalHanging12a"/>
      </w:pPr>
      <w:r w:rsidRPr="00D112F1">
        <w:lastRenderedPageBreak/>
        <w:t>Q.</w:t>
      </w:r>
      <w:r w:rsidRPr="00D112F1">
        <w:tab/>
        <w:t>keďže napriek tomu, že súčasné údaje poukazujú na lokalizovaný nárast odlesňovania v niektorých regiónoch sveta, takýto vývoj zdôrazňuje potrebu podrobného, regionálneho monitorovania, a nie statických národných klasifikácií podľa rizika, čo predstavuje riziko nesprávneho opisu celkového trendu a ignorovania regionálneho pokroku alebo neúspechov;</w:t>
      </w:r>
    </w:p>
    <w:p w14:paraId="23374DDA" w14:textId="77777777" w:rsidR="00FB679E" w:rsidRPr="00D112F1" w:rsidRDefault="00FB679E" w:rsidP="00FB679E">
      <w:pPr>
        <w:pStyle w:val="NormalHanging12a"/>
      </w:pPr>
      <w:r w:rsidRPr="00D112F1">
        <w:t>R.</w:t>
      </w:r>
      <w:r w:rsidRPr="00D112F1">
        <w:tab/>
        <w:t xml:space="preserve">keďže dôveryhodné výskumy a dlhodobé štúdie, ako napríklad </w:t>
      </w:r>
      <w:proofErr w:type="spellStart"/>
      <w:r w:rsidRPr="00D112F1">
        <w:t>Deforestation</w:t>
      </w:r>
      <w:proofErr w:type="spellEnd"/>
      <w:r w:rsidRPr="00D112F1">
        <w:t xml:space="preserve"> in </w:t>
      </w:r>
      <w:proofErr w:type="spellStart"/>
      <w:r w:rsidRPr="00D112F1">
        <w:t>the</w:t>
      </w:r>
      <w:proofErr w:type="spellEnd"/>
      <w:r w:rsidRPr="00D112F1">
        <w:t xml:space="preserve"> Amazon: </w:t>
      </w:r>
      <w:proofErr w:type="spellStart"/>
      <w:r w:rsidRPr="00D112F1">
        <w:t>Past</w:t>
      </w:r>
      <w:proofErr w:type="spellEnd"/>
      <w:r w:rsidRPr="00D112F1">
        <w:t xml:space="preserve">, </w:t>
      </w:r>
      <w:proofErr w:type="spellStart"/>
      <w:r w:rsidRPr="00D112F1">
        <w:t>Present</w:t>
      </w:r>
      <w:proofErr w:type="spellEnd"/>
      <w:r w:rsidRPr="00D112F1">
        <w:t xml:space="preserve"> and </w:t>
      </w:r>
      <w:proofErr w:type="spellStart"/>
      <w:r w:rsidRPr="00D112F1">
        <w:t>Future</w:t>
      </w:r>
      <w:proofErr w:type="spellEnd"/>
      <w:r w:rsidRPr="00D112F1">
        <w:rPr>
          <w:rStyle w:val="FootnoteReference"/>
        </w:rPr>
        <w:footnoteReference w:id="6"/>
      </w:r>
      <w:r w:rsidRPr="00D112F1">
        <w:t xml:space="preserve">, ktorú uverejnila Amazonská sieť </w:t>
      </w:r>
      <w:proofErr w:type="spellStart"/>
      <w:r w:rsidRPr="00D112F1">
        <w:t>georeferenčných</w:t>
      </w:r>
      <w:proofErr w:type="spellEnd"/>
      <w:r w:rsidRPr="00D112F1">
        <w:t xml:space="preserve"> sociálno-environmentálnych informácií v roku 2023, demonštrujú zložitosť a premenlivosť dynamiky odlesňovania spôsobenej politickými cyklami, úrovňami presadzovania a miestnymi sociálno-ekonomickými podmienkami, a preto podporujú potrebu adaptívnejšieho prístupu citlivejšieho na kontext, a nie prísnych referenčných hodnôt pre jednotlivé krajiny;</w:t>
      </w:r>
    </w:p>
    <w:p w14:paraId="1BB277F8" w14:textId="77777777" w:rsidR="00FB679E" w:rsidRPr="00D112F1" w:rsidRDefault="00FB679E" w:rsidP="00FB679E">
      <w:pPr>
        <w:pStyle w:val="NormalHanging12a"/>
      </w:pPr>
      <w:r w:rsidRPr="00D112F1">
        <w:t>S.</w:t>
      </w:r>
      <w:r w:rsidRPr="00D112F1">
        <w:tab/>
        <w:t>keďže súčasný model klasifikácie rizík nezohľadňuje volatilitu globálnych komoditných trhov, kde výkyvy cien, dynamika obchodu a zmeny dopytu môžu rýchlo zmeniť tlak na odlesňovanie;</w:t>
      </w:r>
    </w:p>
    <w:p w14:paraId="28B11B6B" w14:textId="77777777" w:rsidR="00FB679E" w:rsidRPr="00D112F1" w:rsidRDefault="00FB679E" w:rsidP="00FB679E">
      <w:pPr>
        <w:pStyle w:val="NormalHanging12a"/>
      </w:pPr>
      <w:r w:rsidRPr="00D112F1">
        <w:t>T.</w:t>
      </w:r>
      <w:r w:rsidRPr="00D112F1">
        <w:tab/>
        <w:t>keďže klasifikácia podľa rizika by mala umožniť aj vytvorenie regulovaného mechanizmu odškodňovania, ktorý by sa uplatňoval výlučne mimo oblastí s primárnou biodiverzitou alebo vysokou biodiverzitou;</w:t>
      </w:r>
    </w:p>
    <w:p w14:paraId="2D75A5CC" w14:textId="77777777" w:rsidR="00FB679E" w:rsidRPr="00D112F1" w:rsidRDefault="00FB679E" w:rsidP="00FB679E">
      <w:pPr>
        <w:pStyle w:val="NormalHanging12a"/>
        <w:rPr>
          <w:b/>
          <w:i/>
        </w:rPr>
      </w:pPr>
      <w:r w:rsidRPr="00D112F1">
        <w:rPr>
          <w:b/>
          <w:i/>
        </w:rPr>
        <w:t>Obavy týkajúce sa spravodlivosti, legitimity a globálnej angažovanosti</w:t>
      </w:r>
    </w:p>
    <w:p w14:paraId="1566595B" w14:textId="77777777" w:rsidR="00FB679E" w:rsidRPr="00D112F1" w:rsidRDefault="00FB679E" w:rsidP="00FB679E">
      <w:pPr>
        <w:pStyle w:val="NormalHanging12a"/>
      </w:pPr>
      <w:r w:rsidRPr="00D112F1">
        <w:t>U.</w:t>
      </w:r>
      <w:r w:rsidRPr="00D112F1">
        <w:tab/>
        <w:t>keďže súčasný systém referenčného porovnávania krajín môže odrádzať od spolupráce a výmeny údajov zo strany krajín produkujúcich príslušné komodity, najmä ak vnímajú kategorizáciu krajín podľa rizika ako nespravodlivú alebo politicky motivovanú; keďže posilňovanie vzájomnej dôvery a angažovanosti si vyžaduje spravodlivý prístup založený na dôkazoch a spolupráci, ktorý skôr podporuje transparentnosť a zodpovednosť než represívne označovanie;</w:t>
      </w:r>
    </w:p>
    <w:p w14:paraId="127EAE29" w14:textId="77777777" w:rsidR="00FB679E" w:rsidRPr="00D112F1" w:rsidRDefault="00FB679E" w:rsidP="00FB679E">
      <w:pPr>
        <w:pStyle w:val="NormalHanging12a"/>
      </w:pPr>
      <w:r w:rsidRPr="00D112F1">
        <w:t>V.</w:t>
      </w:r>
      <w:r w:rsidRPr="00D112F1">
        <w:tab/>
        <w:t xml:space="preserve">keďže environmentálne organizácie a organizácie občianskej spoločnosti z krajín vyrábajúcich príslušné komodity vyjadrili obavy v súvislosti s nedostatkom inkluzívnych konzultácií pri rozvoji systému referenčného porovnávania krajín, pričom zdôraznili význam </w:t>
      </w:r>
      <w:proofErr w:type="spellStart"/>
      <w:r w:rsidRPr="00D112F1">
        <w:t>participatívnych</w:t>
      </w:r>
      <w:proofErr w:type="spellEnd"/>
      <w:r w:rsidRPr="00D112F1">
        <w:t xml:space="preserve"> procesov, do ktorých sú zapojené komunity pôvodného obyvateľstva, miestne zainteresované strany a regionálne orgány;</w:t>
      </w:r>
    </w:p>
    <w:p w14:paraId="20EC13EB" w14:textId="77777777" w:rsidR="00FB679E" w:rsidRPr="00D112F1" w:rsidRDefault="00FB679E" w:rsidP="00FB679E">
      <w:pPr>
        <w:pStyle w:val="NormalHanging12a"/>
      </w:pPr>
      <w:r w:rsidRPr="00D112F1">
        <w:t>1.</w:t>
      </w:r>
      <w:r w:rsidRPr="00D112F1">
        <w:tab/>
        <w:t>domnieva sa, že vykonávacie nariadenie Komisie (EÚ) 2025/1093 prekračuje rámec vykonávacích právomocí, ktoré sú stanovené v nariadení (EÚ) 2023/1115;</w:t>
      </w:r>
    </w:p>
    <w:p w14:paraId="1BC4DA9E" w14:textId="77777777" w:rsidR="00FB679E" w:rsidRPr="00D112F1" w:rsidRDefault="00FB679E" w:rsidP="00FB679E">
      <w:pPr>
        <w:pStyle w:val="NormalHanging12a"/>
      </w:pPr>
      <w:r w:rsidRPr="00D112F1">
        <w:t>2.</w:t>
      </w:r>
      <w:r w:rsidRPr="00D112F1">
        <w:tab/>
        <w:t>žiada Komisiu, aby zrušila vykonávacie nariadenie (EÚ) 2025/1093;</w:t>
      </w:r>
    </w:p>
    <w:p w14:paraId="6A03945F" w14:textId="77777777" w:rsidR="00FB679E" w:rsidRPr="00D112F1" w:rsidRDefault="00FB679E" w:rsidP="00FB679E">
      <w:pPr>
        <w:pStyle w:val="NormalHanging12a"/>
      </w:pPr>
      <w:r w:rsidRPr="00D112F1">
        <w:t>3.</w:t>
      </w:r>
      <w:r w:rsidRPr="00D112F1">
        <w:tab/>
        <w:t>vyzýva Komisiu, aby zrevidovala systém referenčného porovnávania krajín s cieľom zabezpečiť, aby bol založený na aktuálnych údajoch, umožňoval regionálnu diferenciáciu a zahŕňal transparentné váženie ukazovateľov rizika;</w:t>
      </w:r>
    </w:p>
    <w:p w14:paraId="265FEA76" w14:textId="77777777" w:rsidR="00FB679E" w:rsidRPr="00D112F1" w:rsidRDefault="00FB679E" w:rsidP="00FB679E">
      <w:pPr>
        <w:pStyle w:val="NormalHanging12a"/>
      </w:pPr>
      <w:r w:rsidRPr="00D112F1">
        <w:t>4.</w:t>
      </w:r>
      <w:r w:rsidRPr="00D112F1">
        <w:tab/>
        <w:t xml:space="preserve">naliehavo vyzýva Komisiu, aby zaviedla jasné, časovo ohraničené a transparentné postupy na pravidelné prehodnocovanie kategorizácie krajín podľa rizika na základe </w:t>
      </w:r>
      <w:r w:rsidRPr="00D112F1">
        <w:lastRenderedPageBreak/>
        <w:t>merateľného pokroku a aktualizovaných vedeckých údajov;</w:t>
      </w:r>
    </w:p>
    <w:p w14:paraId="48B28490" w14:textId="77777777" w:rsidR="00FB679E" w:rsidRPr="00D112F1" w:rsidRDefault="00FB679E" w:rsidP="00FB679E">
      <w:pPr>
        <w:pStyle w:val="NormalHanging12a"/>
      </w:pPr>
      <w:r w:rsidRPr="00D112F1">
        <w:t>5.</w:t>
      </w:r>
      <w:r w:rsidRPr="00D112F1">
        <w:tab/>
        <w:t xml:space="preserve">zdôrazňuje, že je dôležité spolupracovať s krajinami produkujúcimi príslušné komodity a so zainteresovanými stranami prostredníctvom inkluzívnych a </w:t>
      </w:r>
      <w:proofErr w:type="spellStart"/>
      <w:r w:rsidRPr="00D112F1">
        <w:t>participatívnych</w:t>
      </w:r>
      <w:proofErr w:type="spellEnd"/>
      <w:r w:rsidRPr="00D112F1">
        <w:t xml:space="preserve"> procesov a poskytovať podporu reformám správy lesov a systémom </w:t>
      </w:r>
      <w:proofErr w:type="spellStart"/>
      <w:r w:rsidRPr="00D112F1">
        <w:t>vysledovateľnosti</w:t>
      </w:r>
      <w:proofErr w:type="spellEnd"/>
      <w:r w:rsidRPr="00D112F1">
        <w:t>;</w:t>
      </w:r>
    </w:p>
    <w:p w14:paraId="03945E09" w14:textId="77777777" w:rsidR="00FB679E" w:rsidRPr="00D112F1" w:rsidRDefault="00FB679E" w:rsidP="00FB679E">
      <w:pPr>
        <w:pStyle w:val="NormalHanging12a"/>
      </w:pPr>
      <w:r w:rsidRPr="00D112F1">
        <w:t>6.</w:t>
      </w:r>
      <w:r w:rsidRPr="00D112F1">
        <w:tab/>
        <w:t>požaduje doplnkové opatrenia, ako sú partnerstvá v oblasti lesného hospodárstva, technická pomoc a stimuly pre spravodlivý obchod, ktoré by sprevádzali proces referenčného porovnávania a podporovali udržateľnú transformáciu v regiónoch produkujúcich komodity;</w:t>
      </w:r>
    </w:p>
    <w:p w14:paraId="703A63A5" w14:textId="0676FAB5" w:rsidR="00E365E1" w:rsidRPr="00D112F1" w:rsidRDefault="00FB679E" w:rsidP="00192DEA">
      <w:pPr>
        <w:pStyle w:val="NormalHanging12a"/>
      </w:pPr>
      <w:r w:rsidRPr="00D112F1">
        <w:t>7.</w:t>
      </w:r>
      <w:r w:rsidRPr="00D112F1">
        <w:tab/>
        <w:t>poveruje svoju predsedníčku, aby postúpila toto uznesenie Rade, Komisii a vládam a parlamentom členských štátov.</w:t>
      </w:r>
    </w:p>
    <w:sectPr w:rsidR="00E365E1" w:rsidRPr="00D112F1" w:rsidSect="004D1A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A6452" w14:textId="77777777" w:rsidR="009416FB" w:rsidRPr="004D1A93" w:rsidRDefault="009416FB">
      <w:r w:rsidRPr="004D1A93">
        <w:separator/>
      </w:r>
    </w:p>
  </w:endnote>
  <w:endnote w:type="continuationSeparator" w:id="0">
    <w:p w14:paraId="1971AFCE" w14:textId="77777777" w:rsidR="009416FB" w:rsidRPr="004D1A93" w:rsidRDefault="009416FB">
      <w:r w:rsidRPr="004D1A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AD5F0" w14:textId="77777777" w:rsidR="00064002" w:rsidRPr="004D1A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54F1" w14:textId="77777777" w:rsidR="00064002" w:rsidRPr="004D1A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4682F" w14:textId="77777777" w:rsidR="00064002" w:rsidRPr="004D1A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F1DC5" w14:textId="77777777" w:rsidR="009416FB" w:rsidRPr="004D1A93" w:rsidRDefault="009416FB">
      <w:r w:rsidRPr="004D1A93">
        <w:separator/>
      </w:r>
    </w:p>
  </w:footnote>
  <w:footnote w:type="continuationSeparator" w:id="0">
    <w:p w14:paraId="17A10351" w14:textId="77777777" w:rsidR="009416FB" w:rsidRPr="004D1A93" w:rsidRDefault="009416FB">
      <w:r w:rsidRPr="004D1A93">
        <w:continuationSeparator/>
      </w:r>
    </w:p>
  </w:footnote>
  <w:footnote w:id="1">
    <w:p w14:paraId="5981635C" w14:textId="0EA99CC4" w:rsidR="00FB679E" w:rsidRPr="004D1A93" w:rsidRDefault="00FB679E" w:rsidP="004D1A93">
      <w:pPr>
        <w:pStyle w:val="FootnoteText"/>
        <w:ind w:left="567" w:hanging="567"/>
        <w:rPr>
          <w:sz w:val="24"/>
          <w:lang w:val="sk-SK"/>
        </w:rPr>
      </w:pPr>
      <w:r w:rsidRPr="004D1A93">
        <w:rPr>
          <w:rStyle w:val="FootnoteReference"/>
          <w:sz w:val="24"/>
          <w:lang w:val="sk-SK"/>
        </w:rPr>
        <w:footnoteRef/>
      </w:r>
      <w:r w:rsidR="004D1A93" w:rsidRPr="004D1A93">
        <w:rPr>
          <w:sz w:val="24"/>
          <w:lang w:val="sk-SK"/>
        </w:rPr>
        <w:t xml:space="preserve"> </w:t>
      </w:r>
      <w:r w:rsidR="004D1A93" w:rsidRPr="004D1A93">
        <w:rPr>
          <w:sz w:val="24"/>
          <w:lang w:val="sk-SK"/>
        </w:rPr>
        <w:tab/>
      </w:r>
      <w:r w:rsidRPr="004D1A93">
        <w:rPr>
          <w:sz w:val="24"/>
          <w:lang w:val="sk-SK"/>
        </w:rPr>
        <w:t xml:space="preserve">Ú. v. EÚ L, 2025/1093, 23.5.2025, ELI: </w:t>
      </w:r>
      <w:hyperlink r:id="rId1" w:history="1">
        <w:r w:rsidR="00D31680" w:rsidRPr="00D31680">
          <w:rPr>
            <w:rStyle w:val="Hyperlink"/>
            <w:sz w:val="24"/>
            <w:lang w:val="sk-SK"/>
          </w:rPr>
          <w:t>http://data.europa.eu/eli/reg_impl/2025/1093/oj</w:t>
        </w:r>
      </w:hyperlink>
      <w:r w:rsidRPr="004D1A93">
        <w:rPr>
          <w:sz w:val="24"/>
          <w:lang w:val="sk-SK"/>
        </w:rPr>
        <w:t>.</w:t>
      </w:r>
    </w:p>
  </w:footnote>
  <w:footnote w:id="2">
    <w:p w14:paraId="53CD9C0F" w14:textId="1BEFC26E" w:rsidR="00FB679E" w:rsidRPr="004D1A93" w:rsidRDefault="00FB679E" w:rsidP="004D1A93">
      <w:pPr>
        <w:pStyle w:val="FootnoteText"/>
        <w:ind w:left="567" w:hanging="567"/>
        <w:rPr>
          <w:sz w:val="24"/>
          <w:lang w:val="sk-SK"/>
        </w:rPr>
      </w:pPr>
      <w:r w:rsidRPr="004D1A93">
        <w:rPr>
          <w:rStyle w:val="FootnoteReference"/>
          <w:sz w:val="24"/>
          <w:lang w:val="sk-SK"/>
        </w:rPr>
        <w:footnoteRef/>
      </w:r>
      <w:r w:rsidR="004D1A93" w:rsidRPr="004D1A93">
        <w:rPr>
          <w:sz w:val="24"/>
          <w:lang w:val="sk-SK"/>
        </w:rPr>
        <w:t xml:space="preserve"> </w:t>
      </w:r>
      <w:r w:rsidR="004D1A93" w:rsidRPr="004D1A93">
        <w:rPr>
          <w:sz w:val="24"/>
          <w:lang w:val="sk-SK"/>
        </w:rPr>
        <w:tab/>
      </w:r>
      <w:r w:rsidRPr="004D1A93">
        <w:rPr>
          <w:sz w:val="24"/>
          <w:lang w:val="sk-SK"/>
        </w:rPr>
        <w:t xml:space="preserve">Ú. v. EÚ L 150, 9.6.2023, s. </w:t>
      </w:r>
      <w:r w:rsidRPr="004D1A93">
        <w:rPr>
          <w:sz w:val="24"/>
          <w:lang w:val="sk-SK"/>
        </w:rPr>
        <w:t>206, ELI: </w:t>
      </w:r>
      <w:hyperlink r:id="rId2" w:history="1">
        <w:r w:rsidR="00D31680" w:rsidRPr="00D31680">
          <w:rPr>
            <w:rStyle w:val="Hyperlink"/>
            <w:sz w:val="24"/>
            <w:lang w:val="sk-SK"/>
          </w:rPr>
          <w:t>http://data.europa.eu/eli/reg/2023/1115/oj</w:t>
        </w:r>
      </w:hyperlink>
      <w:r w:rsidRPr="004D1A93">
        <w:rPr>
          <w:sz w:val="24"/>
          <w:lang w:val="sk-SK"/>
        </w:rPr>
        <w:t xml:space="preserve">. </w:t>
      </w:r>
    </w:p>
  </w:footnote>
  <w:footnote w:id="3">
    <w:p w14:paraId="11E8CAE9" w14:textId="5802A46A" w:rsidR="00FB679E" w:rsidRPr="004D1A93" w:rsidRDefault="00FB679E" w:rsidP="004D1A93">
      <w:pPr>
        <w:pStyle w:val="FootnoteText"/>
        <w:ind w:left="567" w:hanging="567"/>
        <w:rPr>
          <w:sz w:val="24"/>
          <w:lang w:val="sk-SK"/>
        </w:rPr>
      </w:pPr>
      <w:r w:rsidRPr="004D1A93">
        <w:rPr>
          <w:rStyle w:val="FootnoteReference"/>
          <w:sz w:val="24"/>
          <w:lang w:val="sk-SK"/>
        </w:rPr>
        <w:footnoteRef/>
      </w:r>
      <w:r w:rsidR="004D1A93" w:rsidRPr="004D1A93">
        <w:rPr>
          <w:sz w:val="24"/>
          <w:lang w:val="sk-SK"/>
        </w:rPr>
        <w:t xml:space="preserve"> </w:t>
      </w:r>
      <w:r w:rsidR="004D1A93" w:rsidRPr="004D1A93">
        <w:rPr>
          <w:sz w:val="24"/>
          <w:lang w:val="sk-SK"/>
        </w:rPr>
        <w:tab/>
      </w:r>
      <w:r w:rsidRPr="004D1A93">
        <w:rPr>
          <w:sz w:val="24"/>
          <w:lang w:val="sk-SK"/>
        </w:rPr>
        <w:t>Ú. v. EÚ L 55, 28.2.2011, s. </w:t>
      </w:r>
      <w:r w:rsidRPr="004D1A93">
        <w:rPr>
          <w:sz w:val="24"/>
          <w:lang w:val="sk-SK"/>
        </w:rPr>
        <w:t xml:space="preserve">13, ELI: </w:t>
      </w:r>
      <w:hyperlink r:id="rId3" w:history="1">
        <w:r w:rsidR="004D43E9" w:rsidRPr="004D43E9">
          <w:rPr>
            <w:rStyle w:val="Hyperlink"/>
            <w:sz w:val="24"/>
            <w:lang w:val="sk-SK"/>
          </w:rPr>
          <w:t>http://data.europa.eu/eli/reg/2011/182/oj</w:t>
        </w:r>
      </w:hyperlink>
      <w:r w:rsidRPr="004D1A93">
        <w:rPr>
          <w:sz w:val="24"/>
          <w:lang w:val="sk-SK"/>
        </w:rPr>
        <w:t>.</w:t>
      </w:r>
    </w:p>
  </w:footnote>
  <w:footnote w:id="4">
    <w:p w14:paraId="2ABD0FDB" w14:textId="55318C1E" w:rsidR="00FB679E" w:rsidRPr="004D1A93" w:rsidRDefault="00FB679E" w:rsidP="004D1A93">
      <w:pPr>
        <w:pStyle w:val="FootnoteText"/>
        <w:ind w:left="567" w:hanging="567"/>
        <w:rPr>
          <w:sz w:val="24"/>
          <w:lang w:val="sk-SK"/>
        </w:rPr>
      </w:pPr>
      <w:r w:rsidRPr="004D1A93">
        <w:rPr>
          <w:rStyle w:val="FootnoteReference"/>
          <w:sz w:val="24"/>
          <w:lang w:val="sk-SK"/>
        </w:rPr>
        <w:footnoteRef/>
      </w:r>
      <w:r w:rsidR="004D1A93" w:rsidRPr="004D1A93">
        <w:rPr>
          <w:sz w:val="24"/>
          <w:lang w:val="sk-SK"/>
        </w:rPr>
        <w:t xml:space="preserve"> </w:t>
      </w:r>
      <w:r w:rsidR="004D1A93" w:rsidRPr="004D1A93">
        <w:rPr>
          <w:sz w:val="24"/>
          <w:lang w:val="sk-SK"/>
        </w:rPr>
        <w:tab/>
      </w:r>
      <w:hyperlink r:id="rId4" w:history="1">
        <w:r w:rsidRPr="004D1A93">
          <w:rPr>
            <w:rStyle w:val="Hyperlink"/>
            <w:sz w:val="24"/>
            <w:lang w:val="sk-SK"/>
          </w:rPr>
          <w:t>https://www.eea.europa.eu/publications/how-are-european-forest/how-are-european-forest-ecosystems-doing</w:t>
        </w:r>
      </w:hyperlink>
      <w:r w:rsidRPr="004D1A93">
        <w:rPr>
          <w:rStyle w:val="Hyperlink"/>
          <w:sz w:val="24"/>
          <w:lang w:val="sk-SK"/>
        </w:rPr>
        <w:t>.</w:t>
      </w:r>
    </w:p>
  </w:footnote>
  <w:footnote w:id="5">
    <w:p w14:paraId="32161BC7" w14:textId="73C57A6B" w:rsidR="00FB679E" w:rsidRPr="004D1A93" w:rsidRDefault="00FB679E" w:rsidP="004D1A93">
      <w:pPr>
        <w:pStyle w:val="FootnoteText"/>
        <w:ind w:left="567" w:hanging="567"/>
        <w:rPr>
          <w:sz w:val="24"/>
          <w:lang w:val="sk-SK"/>
        </w:rPr>
      </w:pPr>
      <w:r w:rsidRPr="004D1A93">
        <w:rPr>
          <w:rStyle w:val="FootnoteReference"/>
          <w:sz w:val="24"/>
          <w:lang w:val="sk-SK"/>
        </w:rPr>
        <w:footnoteRef/>
      </w:r>
      <w:r w:rsidR="004D1A93" w:rsidRPr="004D1A93">
        <w:rPr>
          <w:sz w:val="24"/>
          <w:lang w:val="sk-SK"/>
        </w:rPr>
        <w:t xml:space="preserve"> </w:t>
      </w:r>
      <w:r w:rsidR="004D1A93" w:rsidRPr="004D1A93">
        <w:rPr>
          <w:sz w:val="24"/>
          <w:lang w:val="sk-SK"/>
        </w:rPr>
        <w:tab/>
      </w:r>
      <w:hyperlink r:id="rId5" w:history="1">
        <w:r w:rsidRPr="004D1A93">
          <w:rPr>
            <w:rStyle w:val="Hyperlink"/>
            <w:sz w:val="24"/>
            <w:lang w:val="sk-SK"/>
          </w:rPr>
          <w:t>https://www.fao.org/forest-resources-assessment/en</w:t>
        </w:r>
      </w:hyperlink>
      <w:r w:rsidRPr="004D1A93">
        <w:rPr>
          <w:rStyle w:val="Hyperlink"/>
          <w:sz w:val="24"/>
          <w:lang w:val="sk-SK"/>
        </w:rPr>
        <w:t>.</w:t>
      </w:r>
    </w:p>
  </w:footnote>
  <w:footnote w:id="6">
    <w:p w14:paraId="15346542" w14:textId="7A392345" w:rsidR="00FB679E" w:rsidRPr="004D1A93" w:rsidRDefault="00FB679E" w:rsidP="004D1A93">
      <w:pPr>
        <w:pStyle w:val="FootnoteText"/>
        <w:ind w:left="567" w:hanging="567"/>
        <w:rPr>
          <w:sz w:val="24"/>
          <w:lang w:val="sk-SK"/>
        </w:rPr>
      </w:pPr>
      <w:r w:rsidRPr="004D1A93">
        <w:rPr>
          <w:rStyle w:val="FootnoteReference"/>
          <w:sz w:val="24"/>
          <w:lang w:val="sk-SK"/>
        </w:rPr>
        <w:footnoteRef/>
      </w:r>
      <w:r w:rsidR="004D1A93" w:rsidRPr="004D1A93">
        <w:rPr>
          <w:sz w:val="24"/>
          <w:lang w:val="sk-SK"/>
        </w:rPr>
        <w:t xml:space="preserve"> </w:t>
      </w:r>
      <w:r w:rsidR="004D1A93" w:rsidRPr="004D1A93">
        <w:rPr>
          <w:sz w:val="24"/>
          <w:lang w:val="sk-SK"/>
        </w:rPr>
        <w:tab/>
      </w:r>
      <w:hyperlink r:id="rId6" w:history="1">
        <w:r w:rsidRPr="004D1A93">
          <w:rPr>
            <w:rStyle w:val="Hyperlink"/>
            <w:sz w:val="24"/>
            <w:lang w:val="sk-SK"/>
          </w:rPr>
          <w:t>https://infoamazonia.org/wp-content/uploads/2023/03/DEFORESTACION-AMAZONIA-2025_21032023.pdf</w:t>
        </w:r>
      </w:hyperlink>
      <w:r w:rsidRPr="004D1A93">
        <w:rPr>
          <w:rStyle w:val="Hyperlink"/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677C5" w14:textId="77777777" w:rsidR="00064002" w:rsidRPr="004D1A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44F8" w14:textId="77777777" w:rsidR="00064002" w:rsidRPr="004D1A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95BF3" w14:textId="77777777" w:rsidR="00064002" w:rsidRPr="004D1A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1158335">
    <w:abstractNumId w:val="9"/>
  </w:num>
  <w:num w:numId="2" w16cid:durableId="1503162143">
    <w:abstractNumId w:val="9"/>
  </w:num>
  <w:num w:numId="3" w16cid:durableId="74400563">
    <w:abstractNumId w:val="7"/>
  </w:num>
  <w:num w:numId="4" w16cid:durableId="464271862">
    <w:abstractNumId w:val="7"/>
  </w:num>
  <w:num w:numId="5" w16cid:durableId="1400440025">
    <w:abstractNumId w:val="6"/>
  </w:num>
  <w:num w:numId="6" w16cid:durableId="807019039">
    <w:abstractNumId w:val="6"/>
  </w:num>
  <w:num w:numId="7" w16cid:durableId="1579560721">
    <w:abstractNumId w:val="5"/>
  </w:num>
  <w:num w:numId="8" w16cid:durableId="2051610187">
    <w:abstractNumId w:val="5"/>
  </w:num>
  <w:num w:numId="9" w16cid:durableId="1361398022">
    <w:abstractNumId w:val="4"/>
  </w:num>
  <w:num w:numId="10" w16cid:durableId="391200387">
    <w:abstractNumId w:val="4"/>
  </w:num>
  <w:num w:numId="11" w16cid:durableId="2001423267">
    <w:abstractNumId w:val="8"/>
  </w:num>
  <w:num w:numId="12" w16cid:durableId="1034384382">
    <w:abstractNumId w:val="8"/>
  </w:num>
  <w:num w:numId="13" w16cid:durableId="858158027">
    <w:abstractNumId w:val="3"/>
  </w:num>
  <w:num w:numId="14" w16cid:durableId="972632622">
    <w:abstractNumId w:val="3"/>
  </w:num>
  <w:num w:numId="15" w16cid:durableId="223756414">
    <w:abstractNumId w:val="2"/>
  </w:num>
  <w:num w:numId="16" w16cid:durableId="605038436">
    <w:abstractNumId w:val="2"/>
  </w:num>
  <w:num w:numId="17" w16cid:durableId="1495730342">
    <w:abstractNumId w:val="1"/>
  </w:num>
  <w:num w:numId="18" w16cid:durableId="1071659830">
    <w:abstractNumId w:val="1"/>
  </w:num>
  <w:num w:numId="19" w16cid:durableId="1338649637">
    <w:abstractNumId w:val="0"/>
  </w:num>
  <w:num w:numId="20" w16cid:durableId="533494393">
    <w:abstractNumId w:val="0"/>
  </w:num>
  <w:num w:numId="21" w16cid:durableId="773136370">
    <w:abstractNumId w:val="9"/>
  </w:num>
  <w:num w:numId="22" w16cid:durableId="289290689">
    <w:abstractNumId w:val="7"/>
  </w:num>
  <w:num w:numId="23" w16cid:durableId="761681816">
    <w:abstractNumId w:val="6"/>
  </w:num>
  <w:num w:numId="24" w16cid:durableId="1886137955">
    <w:abstractNumId w:val="5"/>
  </w:num>
  <w:num w:numId="25" w16cid:durableId="1715693146">
    <w:abstractNumId w:val="4"/>
  </w:num>
  <w:num w:numId="26" w16cid:durableId="1845049678">
    <w:abstractNumId w:val="8"/>
  </w:num>
  <w:num w:numId="27" w16cid:durableId="324364287">
    <w:abstractNumId w:val="3"/>
  </w:num>
  <w:num w:numId="28" w16cid:durableId="1027100031">
    <w:abstractNumId w:val="2"/>
  </w:num>
  <w:num w:numId="29" w16cid:durableId="2098554101">
    <w:abstractNumId w:val="1"/>
  </w:num>
  <w:num w:numId="30" w16cid:durableId="2007048200">
    <w:abstractNumId w:val="0"/>
  </w:num>
  <w:num w:numId="31" w16cid:durableId="2096702179">
    <w:abstractNumId w:val="9"/>
  </w:num>
  <w:num w:numId="32" w16cid:durableId="1835992065">
    <w:abstractNumId w:val="7"/>
  </w:num>
  <w:num w:numId="33" w16cid:durableId="368068053">
    <w:abstractNumId w:val="6"/>
  </w:num>
  <w:num w:numId="34" w16cid:durableId="587425601">
    <w:abstractNumId w:val="5"/>
  </w:num>
  <w:num w:numId="35" w16cid:durableId="176508980">
    <w:abstractNumId w:val="4"/>
  </w:num>
  <w:num w:numId="36" w16cid:durableId="1686715194">
    <w:abstractNumId w:val="8"/>
  </w:num>
  <w:num w:numId="37" w16cid:durableId="1740327744">
    <w:abstractNumId w:val="3"/>
  </w:num>
  <w:num w:numId="38" w16cid:durableId="1780024006">
    <w:abstractNumId w:val="2"/>
  </w:num>
  <w:num w:numId="39" w16cid:durableId="1121608508">
    <w:abstractNumId w:val="1"/>
  </w:num>
  <w:num w:numId="40" w16cid:durableId="572929134">
    <w:abstractNumId w:val="0"/>
  </w:num>
  <w:num w:numId="41" w16cid:durableId="2027519565">
    <w:abstractNumId w:val="10"/>
  </w:num>
  <w:num w:numId="42" w16cid:durableId="580674392">
    <w:abstractNumId w:val="10"/>
  </w:num>
  <w:num w:numId="43" w16cid:durableId="325862773">
    <w:abstractNumId w:val="10"/>
  </w:num>
  <w:num w:numId="44" w16cid:durableId="8055884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21/2025"/>
    <w:docVar w:name="dvlangue" w:val="SK"/>
    <w:docVar w:name="dvnumam" w:val="0"/>
    <w:docVar w:name="dvpe" w:val="774.488"/>
    <w:docVar w:name="dvtitre" w:val="Uznesenie Európskeho parlamentu z xx. júla 2025 o vykonávacom nariadení Komisie (EÚ) 2025/1093 z 22. mája 2025, ktorým sa stanovujú pravidlá uplatňovania nariadenia Európskeho parlamentu a Rady (EÚ) 2023/1115, pokiaľ ide o zoznam krajín, ktoré predstavujú nízke alebo vysoké riziko výroby príslušných komodít, v prípade ktorých príslušné výrobky nie sú v súlade s článkom 3 písm. a),(2025/2739(RSP))"/>
  </w:docVars>
  <w:rsids>
    <w:rsidRoot w:val="009416FB"/>
    <w:rsid w:val="00002272"/>
    <w:rsid w:val="00064002"/>
    <w:rsid w:val="000677B9"/>
    <w:rsid w:val="000831BA"/>
    <w:rsid w:val="000A42CC"/>
    <w:rsid w:val="000E7DD9"/>
    <w:rsid w:val="0010095E"/>
    <w:rsid w:val="00125B37"/>
    <w:rsid w:val="00132901"/>
    <w:rsid w:val="00187494"/>
    <w:rsid w:val="00192DEA"/>
    <w:rsid w:val="001F32AE"/>
    <w:rsid w:val="002767FF"/>
    <w:rsid w:val="002A77B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A93"/>
    <w:rsid w:val="004D43E9"/>
    <w:rsid w:val="0050519A"/>
    <w:rsid w:val="005072A1"/>
    <w:rsid w:val="00514517"/>
    <w:rsid w:val="00545827"/>
    <w:rsid w:val="00560270"/>
    <w:rsid w:val="005C2568"/>
    <w:rsid w:val="005F1B17"/>
    <w:rsid w:val="006037C0"/>
    <w:rsid w:val="00632D9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6FB"/>
    <w:rsid w:val="009509D8"/>
    <w:rsid w:val="00950B64"/>
    <w:rsid w:val="009808B9"/>
    <w:rsid w:val="00981893"/>
    <w:rsid w:val="009E4F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F8A"/>
    <w:rsid w:val="00C61C0C"/>
    <w:rsid w:val="00C941CB"/>
    <w:rsid w:val="00CC2357"/>
    <w:rsid w:val="00CF071A"/>
    <w:rsid w:val="00D058B8"/>
    <w:rsid w:val="00D112F1"/>
    <w:rsid w:val="00D3168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79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0D399"/>
  <w15:chartTrackingRefBased/>
  <w15:docId w15:val="{B44348AB-A83F-4D21-983C-2924AE1E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679E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FB679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FB679E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FB679E"/>
    <w:rPr>
      <w:i/>
      <w:iCs/>
    </w:rPr>
  </w:style>
  <w:style w:type="paragraph" w:styleId="Revision">
    <w:name w:val="Revision"/>
    <w:hidden/>
    <w:uiPriority w:val="99"/>
    <w:semiHidden/>
    <w:rsid w:val="00192DEA"/>
    <w:rPr>
      <w:sz w:val="24"/>
      <w:lang w:val="sk-S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1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1/182/oj" TargetMode="External"/><Relationship Id="rId2" Type="http://schemas.openxmlformats.org/officeDocument/2006/relationships/hyperlink" Target="http://data.europa.eu/eli/reg/2023/1115/oj" TargetMode="External"/><Relationship Id="rId1" Type="http://schemas.openxmlformats.org/officeDocument/2006/relationships/hyperlink" Target="http://data.europa.eu/eli/reg_impl/2025/1093/oj" TargetMode="External"/><Relationship Id="rId6" Type="http://schemas.openxmlformats.org/officeDocument/2006/relationships/hyperlink" Target="https://infoamazonia.org/wp-content/uploads/2023/03/DEFORESTACION-AMAZONIA-2025_21032023.pdf" TargetMode="External"/><Relationship Id="rId5" Type="http://schemas.openxmlformats.org/officeDocument/2006/relationships/hyperlink" Target="https://www.fao.org/forest-resources-assessment/en" TargetMode="External"/><Relationship Id="rId4" Type="http://schemas.openxmlformats.org/officeDocument/2006/relationships/hyperlink" Target="https://www.eea.europa.eu/publications/how-are-european-forest/how-are-european-forest-ecosystems-do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04AE4-78F2-4014-8DC0-8976F12C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1434</Words>
  <Characters>9521</Characters>
  <Application>Microsoft Office Word</Application>
  <DocSecurity>0</DocSecurity>
  <Lines>211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2025-07-09T11:40:00Z</dcterms:created>
  <dcterms:modified xsi:type="dcterms:W3CDTF">2025-07-09T11:40:00Z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B10-0321/2025</vt:lpwstr>
  </property>
  <property fmtid="{D5CDD505-2E9C-101B-9397-08002B2CF9AE}" pid="4" name="&lt;Type&gt;">
    <vt:lpwstr>RR</vt:lpwstr>
  </property>
</Properties>
</file>