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6BEC" w14:paraId="1F8185A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787407" w14:textId="77777777" w:rsidR="00751A4A" w:rsidRPr="00686BEC" w:rsidRDefault="00BD18D3" w:rsidP="0010095E">
            <w:pPr>
              <w:pStyle w:val="EPName"/>
            </w:pPr>
            <w:r w:rsidRPr="00686BEC">
              <w:t>Europa-Parlamentet</w:t>
            </w:r>
          </w:p>
          <w:p w14:paraId="4308115A" w14:textId="77777777" w:rsidR="00751A4A" w:rsidRPr="00686BE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6BEC">
              <w:t>2024</w:t>
            </w:r>
            <w:r w:rsidR="00817416" w:rsidRPr="00686BEC">
              <w:t>-202</w:t>
            </w:r>
            <w:r w:rsidRPr="00686BEC">
              <w:t>9</w:t>
            </w:r>
          </w:p>
        </w:tc>
        <w:tc>
          <w:tcPr>
            <w:tcW w:w="2268" w:type="dxa"/>
            <w:shd w:val="clear" w:color="auto" w:fill="auto"/>
          </w:tcPr>
          <w:p w14:paraId="278E773F" w14:textId="77777777" w:rsidR="00751A4A" w:rsidRPr="00686BEC" w:rsidRDefault="00187494" w:rsidP="0010095E">
            <w:pPr>
              <w:pStyle w:val="EPLogo"/>
            </w:pPr>
            <w:r w:rsidRPr="00686BEC">
              <w:rPr>
                <w:noProof/>
                <w:lang w:val="en-GB"/>
              </w:rPr>
              <w:drawing>
                <wp:inline distT="0" distB="0" distL="0" distR="0" wp14:anchorId="02BDB671" wp14:editId="430CB9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F1225F" w14:textId="77777777" w:rsidR="00D058B8" w:rsidRPr="00686BEC" w:rsidRDefault="00D058B8" w:rsidP="004C5D52">
      <w:pPr>
        <w:pStyle w:val="LineTop"/>
      </w:pPr>
    </w:p>
    <w:p w14:paraId="2BC07406" w14:textId="77777777" w:rsidR="00680577" w:rsidRPr="00686BEC" w:rsidRDefault="00BD18D3" w:rsidP="00680577">
      <w:pPr>
        <w:pStyle w:val="EPBodyTA1"/>
      </w:pPr>
      <w:r w:rsidRPr="00686BEC">
        <w:t>VEDTAGNE TEKSTER</w:t>
      </w:r>
    </w:p>
    <w:p w14:paraId="112FD809" w14:textId="77777777" w:rsidR="00D058B8" w:rsidRPr="00686BEC" w:rsidRDefault="00D058B8" w:rsidP="00D058B8">
      <w:pPr>
        <w:pStyle w:val="LineBottom"/>
      </w:pPr>
    </w:p>
    <w:p w14:paraId="737F7A2D" w14:textId="120A1FBE" w:rsidR="00BD18D3" w:rsidRPr="00686BEC" w:rsidRDefault="00BD18D3" w:rsidP="00BD18D3">
      <w:pPr>
        <w:pStyle w:val="ATHeading1"/>
      </w:pPr>
      <w:bookmarkStart w:id="0" w:name="TANumber"/>
      <w:r w:rsidRPr="00686BEC">
        <w:t>P10_TA(2025)0</w:t>
      </w:r>
      <w:bookmarkEnd w:id="0"/>
      <w:r w:rsidR="009A6D8D">
        <w:t>150</w:t>
      </w:r>
    </w:p>
    <w:p w14:paraId="7C7F174A" w14:textId="77777777" w:rsidR="00BD18D3" w:rsidRPr="00686BEC" w:rsidRDefault="001B42F9" w:rsidP="001B42F9">
      <w:pPr>
        <w:pStyle w:val="ATHeading2"/>
      </w:pPr>
      <w:r>
        <w:t>Ændring af forordning (EU) nr. 1026/2012 om visse foranstaltninger med henblik på bevarelse af fiskebestande over for lande, der tillader ikke-bæredygtigt fiskeri</w:t>
      </w:r>
    </w:p>
    <w:p w14:paraId="32AD7755" w14:textId="77777777" w:rsidR="00BD18D3" w:rsidRPr="00686BEC" w:rsidRDefault="00BD18D3" w:rsidP="00BD18D3">
      <w:pPr>
        <w:rPr>
          <w:i/>
          <w:vanish/>
        </w:rPr>
      </w:pPr>
      <w:r w:rsidRPr="00686BEC">
        <w:rPr>
          <w:i/>
        </w:rPr>
        <w:fldChar w:fldCharType="begin"/>
      </w:r>
      <w:r w:rsidRPr="00686BEC">
        <w:rPr>
          <w:i/>
        </w:rPr>
        <w:instrText xml:space="preserve"> TC"(</w:instrText>
      </w:r>
      <w:bookmarkStart w:id="1" w:name="DocNumber"/>
      <w:r w:rsidRPr="00686BEC">
        <w:rPr>
          <w:i/>
        </w:rPr>
        <w:instrText>A10-0070/2025</w:instrText>
      </w:r>
      <w:bookmarkEnd w:id="1"/>
      <w:r w:rsidRPr="00686BEC">
        <w:rPr>
          <w:i/>
        </w:rPr>
        <w:instrText xml:space="preserve"> - Ordfører: Thomas </w:instrText>
      </w:r>
      <w:proofErr w:type="spellStart"/>
      <w:r w:rsidRPr="00686BEC">
        <w:rPr>
          <w:i/>
        </w:rPr>
        <w:instrText>Bajada</w:instrText>
      </w:r>
      <w:proofErr w:type="spellEnd"/>
      <w:r w:rsidRPr="00686BEC">
        <w:rPr>
          <w:i/>
        </w:rPr>
        <w:instrText xml:space="preserve">)"\l3 \n&gt; \* MERGEFORMAT </w:instrText>
      </w:r>
      <w:r w:rsidRPr="00686BEC">
        <w:rPr>
          <w:i/>
        </w:rPr>
        <w:fldChar w:fldCharType="end"/>
      </w:r>
    </w:p>
    <w:p w14:paraId="43C7BEB0" w14:textId="77777777" w:rsidR="00BD18D3" w:rsidRPr="00686BEC" w:rsidRDefault="00BD18D3" w:rsidP="00BD18D3">
      <w:pPr>
        <w:rPr>
          <w:vanish/>
        </w:rPr>
      </w:pPr>
      <w:bookmarkStart w:id="2" w:name="Commission"/>
      <w:r w:rsidRPr="00686BEC">
        <w:rPr>
          <w:vanish/>
        </w:rPr>
        <w:t>Fiskeriudvalget</w:t>
      </w:r>
      <w:bookmarkEnd w:id="2"/>
    </w:p>
    <w:p w14:paraId="60EB325D" w14:textId="77777777" w:rsidR="00BD18D3" w:rsidRPr="00686BEC" w:rsidRDefault="00BD18D3" w:rsidP="00BD18D3">
      <w:pPr>
        <w:rPr>
          <w:vanish/>
        </w:rPr>
      </w:pPr>
      <w:bookmarkStart w:id="3" w:name="PE"/>
      <w:r w:rsidRPr="00686BEC">
        <w:rPr>
          <w:vanish/>
        </w:rPr>
        <w:t>PE766.600</w:t>
      </w:r>
      <w:bookmarkEnd w:id="3"/>
    </w:p>
    <w:p w14:paraId="39F7FE1D" w14:textId="07E3B9D5" w:rsidR="00BD18D3" w:rsidRPr="00686BEC" w:rsidRDefault="00BD18D3" w:rsidP="00BD18D3">
      <w:pPr>
        <w:pStyle w:val="ATHeading3"/>
      </w:pPr>
      <w:bookmarkStart w:id="4" w:name="Sujet"/>
      <w:r w:rsidRPr="00686BEC">
        <w:t xml:space="preserve">Europa-Parlamentets lovgivningsmæssige beslutning af </w:t>
      </w:r>
      <w:r w:rsidR="00DD7F2F">
        <w:t>9</w:t>
      </w:r>
      <w:r w:rsidRPr="00686BEC">
        <w:t>.</w:t>
      </w:r>
      <w:r w:rsidR="001B42F9">
        <w:t xml:space="preserve"> juli</w:t>
      </w:r>
      <w:r w:rsidRPr="00686BEC">
        <w:t xml:space="preserve"> 2025 om forslag til Europa-Parlamentets og Rådets forordning om ændring af forordning (EU) nr. 1026/2012 om visse foranstaltninger med henblik på bevarelse af fiskebestande over for lande, der tillader ikke</w:t>
      </w:r>
      <w:r w:rsidR="001B42F9">
        <w:t>-</w:t>
      </w:r>
      <w:r w:rsidRPr="00686BEC">
        <w:t>bæredygtigt fiskeri</w:t>
      </w:r>
      <w:bookmarkEnd w:id="4"/>
      <w:r w:rsidRPr="00686BEC">
        <w:t xml:space="preserve"> </w:t>
      </w:r>
      <w:bookmarkStart w:id="5" w:name="References"/>
      <w:r w:rsidRPr="00686BEC">
        <w:t>(</w:t>
      </w:r>
      <w:proofErr w:type="gramStart"/>
      <w:r w:rsidRPr="00686BEC">
        <w:t>COM(</w:t>
      </w:r>
      <w:proofErr w:type="gramEnd"/>
      <w:r w:rsidRPr="00686BEC">
        <w:t>2024)0407 – C10-0098/2024 – 2024/0224(COD))</w:t>
      </w:r>
      <w:bookmarkEnd w:id="5"/>
    </w:p>
    <w:p w14:paraId="79DC80B0" w14:textId="77777777" w:rsidR="009C331F" w:rsidRPr="00686BEC" w:rsidRDefault="009C331F" w:rsidP="009C331F">
      <w:pPr>
        <w:pStyle w:val="NormalBold"/>
      </w:pPr>
      <w:r w:rsidRPr="00686BEC">
        <w:t>(Almindelig lovgivningsprocedure: førstebehandling)</w:t>
      </w:r>
    </w:p>
    <w:p w14:paraId="1B41DE32" w14:textId="77777777" w:rsidR="009C331F" w:rsidRPr="00686BEC" w:rsidRDefault="009C331F" w:rsidP="009C331F">
      <w:pPr>
        <w:pStyle w:val="EPComma"/>
      </w:pPr>
      <w:r w:rsidRPr="00686BEC">
        <w:rPr>
          <w:i/>
        </w:rPr>
        <w:t>Europa-Parlamentet,</w:t>
      </w:r>
    </w:p>
    <w:p w14:paraId="48F5DA30" w14:textId="77777777" w:rsidR="009C331F" w:rsidRPr="00686BEC" w:rsidRDefault="009C331F" w:rsidP="009C331F">
      <w:pPr>
        <w:pStyle w:val="NormalHanging12a"/>
      </w:pPr>
      <w:r w:rsidRPr="00686BEC">
        <w:t>–</w:t>
      </w:r>
      <w:r w:rsidRPr="00686BEC">
        <w:tab/>
        <w:t>der henviser til Kommissionens forslag til Europa-Parlamentet og Rådet (</w:t>
      </w:r>
      <w:proofErr w:type="gramStart"/>
      <w:r w:rsidRPr="00686BEC">
        <w:t>COM(</w:t>
      </w:r>
      <w:proofErr w:type="gramEnd"/>
      <w:r w:rsidRPr="00686BEC">
        <w:t>2024)0407),</w:t>
      </w:r>
    </w:p>
    <w:p w14:paraId="1AC03BDB" w14:textId="77777777" w:rsidR="009C331F" w:rsidRPr="00686BEC" w:rsidRDefault="009C331F" w:rsidP="009C331F">
      <w:pPr>
        <w:pStyle w:val="NormalHanging12a"/>
      </w:pPr>
      <w:r w:rsidRPr="00686BEC">
        <w:t>–</w:t>
      </w:r>
      <w:r w:rsidRPr="00686BEC">
        <w:tab/>
        <w:t>der henviser til artikel 294, stk. 2, og artikel 43, stk. 2, og artikel 207 i traktaten om Den Europæiske Unions funktionsmåde, på grundlag af hvilke Kommissionen har forelagt forslaget for Parlamentet (C10</w:t>
      </w:r>
      <w:r w:rsidRPr="00686BEC">
        <w:noBreakHyphen/>
        <w:t>0098/2024),</w:t>
      </w:r>
    </w:p>
    <w:p w14:paraId="5BC500EC" w14:textId="77777777" w:rsidR="009C331F" w:rsidRPr="00686BEC" w:rsidRDefault="009C331F" w:rsidP="009C331F">
      <w:pPr>
        <w:pStyle w:val="NormalHanging12a"/>
      </w:pPr>
      <w:r w:rsidRPr="00686BEC">
        <w:t>–</w:t>
      </w:r>
      <w:r w:rsidRPr="00686BEC">
        <w:tab/>
        <w:t>der henviser til artikel 294, stk. 3, i traktaten om Den Europæiske Unions funktionsmåde,</w:t>
      </w:r>
    </w:p>
    <w:p w14:paraId="2FC138B3" w14:textId="77777777" w:rsidR="009C331F" w:rsidRPr="00686BEC" w:rsidRDefault="009C331F" w:rsidP="009C331F">
      <w:pPr>
        <w:pStyle w:val="NormalHanging12a"/>
      </w:pPr>
      <w:r w:rsidRPr="00686BEC">
        <w:t>–</w:t>
      </w:r>
      <w:r w:rsidRPr="00686BEC">
        <w:tab/>
        <w:t>der henviser til udtalelse fra Det Europæiske Økonomiske og Sociale Udvalg af 22. januar 2025</w:t>
      </w:r>
      <w:r w:rsidRPr="00686BEC">
        <w:rPr>
          <w:rStyle w:val="FootnoteReference"/>
        </w:rPr>
        <w:footnoteReference w:id="1"/>
      </w:r>
      <w:r w:rsidRPr="00686BEC">
        <w:t>,</w:t>
      </w:r>
    </w:p>
    <w:p w14:paraId="0FFB20FC" w14:textId="151CC705" w:rsidR="00BB6AD0" w:rsidRDefault="00BB6AD0" w:rsidP="009C331F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>
        <w:rPr>
          <w:noProof/>
          <w:szCs w:val="24"/>
        </w:rPr>
        <w:t>75</w:t>
      </w:r>
      <w:r w:rsidRPr="00110487">
        <w:rPr>
          <w:noProof/>
          <w:szCs w:val="24"/>
        </w:rPr>
        <w:t xml:space="preserve">, stk. 4, og at Rådets repræsentant ved skrivelse af </w:t>
      </w:r>
      <w:r>
        <w:rPr>
          <w:noProof/>
          <w:szCs w:val="24"/>
        </w:rPr>
        <w:t>11. juni 2025</w:t>
      </w:r>
      <w:r w:rsidRPr="00110487">
        <w:rPr>
          <w:noProof/>
          <w:szCs w:val="24"/>
        </w:rPr>
        <w:t xml:space="preserve"> forpligtede sig til at godkende Europa-Parlamentets holdning, jf. artikel 294, stk. 4, i traktaten om Den Europæiske Unions funktionsmåde</w:t>
      </w:r>
      <w:r w:rsidRPr="007A23CB">
        <w:t xml:space="preserve">, </w:t>
      </w:r>
    </w:p>
    <w:p w14:paraId="22A8F223" w14:textId="2EE7DC4C" w:rsidR="009C331F" w:rsidRPr="00686BEC" w:rsidRDefault="009C331F" w:rsidP="009C331F">
      <w:pPr>
        <w:pStyle w:val="NormalHanging12a"/>
      </w:pPr>
      <w:r w:rsidRPr="00686BEC">
        <w:t>–</w:t>
      </w:r>
      <w:r w:rsidRPr="00686BEC">
        <w:tab/>
        <w:t>der henviser til forretningsordenens artikel 60,</w:t>
      </w:r>
    </w:p>
    <w:p w14:paraId="465DEAA7" w14:textId="77777777" w:rsidR="009C331F" w:rsidRPr="00686BEC" w:rsidRDefault="009C331F" w:rsidP="009C331F">
      <w:pPr>
        <w:pStyle w:val="NormalHanging12a"/>
      </w:pPr>
      <w:r w:rsidRPr="00686BEC">
        <w:lastRenderedPageBreak/>
        <w:t>–</w:t>
      </w:r>
      <w:r w:rsidRPr="00686BEC">
        <w:tab/>
        <w:t>der henviser til betænkning fra Fiskeriudvalget (A10-0070/2025),</w:t>
      </w:r>
    </w:p>
    <w:p w14:paraId="1BFFDC84" w14:textId="77777777" w:rsidR="009C331F" w:rsidRPr="00686BEC" w:rsidRDefault="009C331F" w:rsidP="009C331F">
      <w:pPr>
        <w:pStyle w:val="NormalHanging12a"/>
      </w:pPr>
      <w:r w:rsidRPr="00686BEC">
        <w:t>1.</w:t>
      </w:r>
      <w:r w:rsidRPr="00686BEC">
        <w:tab/>
        <w:t>vedtager nedenstående holdning ved førstebehandling;</w:t>
      </w:r>
    </w:p>
    <w:p w14:paraId="41BB713F" w14:textId="77777777" w:rsidR="009C331F" w:rsidRPr="00686BEC" w:rsidRDefault="009C331F" w:rsidP="009C331F">
      <w:pPr>
        <w:pStyle w:val="NormalHanging12a"/>
      </w:pPr>
      <w:r w:rsidRPr="00686BEC">
        <w:t>2.</w:t>
      </w:r>
      <w:r w:rsidRPr="00686BEC">
        <w:tab/>
        <w:t>anmoder om fornyet forelæggelse, hvis Kommissionen erstatter, i væsentlig grad ændrer eller agter i væsentlig grad at ændre sit forslag;</w:t>
      </w:r>
    </w:p>
    <w:p w14:paraId="4EF447B1" w14:textId="77777777" w:rsidR="009C331F" w:rsidRPr="00686BEC" w:rsidRDefault="009C331F" w:rsidP="009C331F">
      <w:pPr>
        <w:pStyle w:val="NormalHanging12a"/>
      </w:pPr>
      <w:r w:rsidRPr="00686BEC">
        <w:t>3.</w:t>
      </w:r>
      <w:r w:rsidRPr="00686BEC">
        <w:tab/>
        <w:t>pålægger sin formand at sende Parlamentets holdning til Rådet og Kommissionen samt til de nationale parlamenter.</w:t>
      </w:r>
    </w:p>
    <w:p w14:paraId="0C6F27EC" w14:textId="77777777" w:rsidR="009C331F" w:rsidRPr="00686BEC" w:rsidRDefault="009C331F" w:rsidP="009C331F"/>
    <w:p w14:paraId="1F5B3B50" w14:textId="77777777" w:rsidR="009C331F" w:rsidRPr="00686BEC" w:rsidRDefault="009C331F" w:rsidP="009C331F"/>
    <w:p w14:paraId="4C2F1181" w14:textId="77777777" w:rsidR="00AF67A3" w:rsidRDefault="00AF67A3">
      <w:pPr>
        <w:widowControl/>
        <w:sectPr w:rsidR="00AF67A3" w:rsidSect="00686BE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9E17ABF" w14:textId="73F0E07C" w:rsidR="00AF67A3" w:rsidRPr="00EF7590" w:rsidRDefault="00AF67A3" w:rsidP="00752DDC">
      <w:pPr>
        <w:pStyle w:val="ATHeading3"/>
      </w:pPr>
      <w:r w:rsidRPr="00EF7590">
        <w:lastRenderedPageBreak/>
        <w:t>P</w:t>
      </w:r>
      <w:r>
        <w:t>10</w:t>
      </w:r>
      <w:r w:rsidRPr="00EF7590">
        <w:t>_TC1-</w:t>
      </w:r>
      <w:proofErr w:type="gramStart"/>
      <w:r w:rsidRPr="00EF7590">
        <w:t>COD(</w:t>
      </w:r>
      <w:proofErr w:type="gramEnd"/>
      <w:r w:rsidRPr="00EF7590">
        <w:t>202</w:t>
      </w:r>
      <w:r>
        <w:t>4)0224</w:t>
      </w:r>
    </w:p>
    <w:p w14:paraId="6A2ED26B" w14:textId="375BDAC2" w:rsidR="00AF67A3" w:rsidRDefault="00AF67A3" w:rsidP="00752DDC">
      <w:pPr>
        <w:pStyle w:val="Typedudocument"/>
        <w:spacing w:before="240" w:after="240"/>
        <w:jc w:val="left"/>
        <w:rPr>
          <w:color w:val="000000"/>
          <w:szCs w:val="24"/>
        </w:rPr>
      </w:pPr>
      <w:r w:rsidRPr="00EF7590">
        <w:t xml:space="preserve">Europa-Parlamentets holdning fastlagt ved førstebehandlingen den </w:t>
      </w:r>
      <w:r>
        <w:t>9. juli 2025</w:t>
      </w:r>
      <w:r w:rsidRPr="00EF7590">
        <w:t xml:space="preserve"> med henblik på vedtagelse af Europa-Parlamentets og Rådets </w:t>
      </w:r>
      <w:r>
        <w:t xml:space="preserve">forordning </w:t>
      </w:r>
      <w:r w:rsidRPr="00EF7590">
        <w:t xml:space="preserve">(EU) </w:t>
      </w:r>
      <w:r w:rsidRPr="00EF7590">
        <w:rPr>
          <w:rFonts w:eastAsia="Calibri"/>
        </w:rPr>
        <w:t>202</w:t>
      </w:r>
      <w:r>
        <w:rPr>
          <w:rFonts w:eastAsia="Calibri"/>
        </w:rPr>
        <w:t>5</w:t>
      </w:r>
      <w:r w:rsidRPr="00EF7590">
        <w:rPr>
          <w:rFonts w:eastAsia="Calibri"/>
        </w:rPr>
        <w:t xml:space="preserve">/... om </w:t>
      </w:r>
      <w:r w:rsidRPr="00AF67A3">
        <w:rPr>
          <w:color w:val="000000"/>
          <w:szCs w:val="24"/>
        </w:rPr>
        <w:t>ændring af forordning (EU) nr. 1026/2012 om visse foranstaltninger med henblik på bevarelse af fiskebestande over for lande, der tillader ikke-bæredygtigt fiskeri</w:t>
      </w:r>
    </w:p>
    <w:p w14:paraId="01C02E66" w14:textId="77777777" w:rsidR="009F139E" w:rsidRDefault="009F139E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  <w:bookmarkStart w:id="6" w:name="_GoBack"/>
      <w:bookmarkEnd w:id="6"/>
    </w:p>
    <w:p w14:paraId="44C0B886" w14:textId="38490F7E" w:rsidR="009F139E" w:rsidRPr="00F95CDF" w:rsidRDefault="009F139E" w:rsidP="00F95CDF">
      <w:pPr>
        <w:rPr>
          <w:i/>
        </w:rPr>
      </w:pPr>
      <w:r w:rsidRPr="00F95CDF">
        <w:rPr>
          <w:i/>
        </w:rPr>
        <w:t>(Eftersom der var indgået en aftale mellem Parlamentet og Rådet, svarer Parlamentets holdning til den endelige retsakt, forordning (EU) 202</w:t>
      </w:r>
      <w:r>
        <w:rPr>
          <w:i/>
        </w:rPr>
        <w:t>5</w:t>
      </w:r>
      <w:r w:rsidRPr="00F95CDF">
        <w:rPr>
          <w:i/>
        </w:rPr>
        <w:t>/</w:t>
      </w:r>
      <w:r>
        <w:rPr>
          <w:i/>
        </w:rPr>
        <w:t>2077</w:t>
      </w:r>
      <w:r w:rsidRPr="00F95CDF">
        <w:rPr>
          <w:i/>
        </w:rPr>
        <w:t>.)</w:t>
      </w:r>
    </w:p>
    <w:p w14:paraId="3073D2BC" w14:textId="77777777" w:rsidR="009F139E" w:rsidRPr="00F95CDF" w:rsidRDefault="009F139E" w:rsidP="00F95CDF">
      <w:pPr>
        <w:rPr>
          <w:lang w:eastAsia="en-US"/>
        </w:rPr>
      </w:pPr>
    </w:p>
    <w:p w14:paraId="45D60C56" w14:textId="6A636254" w:rsidR="009F139E" w:rsidRPr="009F139E" w:rsidRDefault="009F139E" w:rsidP="009F139E">
      <w:pPr>
        <w:rPr>
          <w:lang w:eastAsia="en-US"/>
        </w:rPr>
      </w:pPr>
    </w:p>
    <w:sectPr w:rsidR="009F139E" w:rsidRPr="009F139E" w:rsidSect="00686BE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512D5" w14:textId="77777777" w:rsidR="00BD18D3" w:rsidRPr="00686BEC" w:rsidRDefault="00BD18D3">
      <w:r w:rsidRPr="00686BEC">
        <w:separator/>
      </w:r>
    </w:p>
  </w:endnote>
  <w:endnote w:type="continuationSeparator" w:id="0">
    <w:p w14:paraId="7CC8CEFA" w14:textId="77777777" w:rsidR="00BD18D3" w:rsidRPr="00686BEC" w:rsidRDefault="00BD18D3">
      <w:r w:rsidRPr="00686B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88599" w14:textId="77777777" w:rsidR="00064002" w:rsidRPr="00686BE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A05B2" w14:textId="77777777" w:rsidR="00064002" w:rsidRPr="00686BE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B5FF1" w14:textId="77777777" w:rsidR="00064002" w:rsidRPr="00686BE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9BC48" w14:textId="77777777" w:rsidR="00BD18D3" w:rsidRPr="00686BEC" w:rsidRDefault="00BD18D3">
      <w:r w:rsidRPr="00686BEC">
        <w:separator/>
      </w:r>
    </w:p>
  </w:footnote>
  <w:footnote w:type="continuationSeparator" w:id="0">
    <w:p w14:paraId="70DFFEA7" w14:textId="77777777" w:rsidR="00BD18D3" w:rsidRPr="00686BEC" w:rsidRDefault="00BD18D3">
      <w:r w:rsidRPr="00686BEC">
        <w:continuationSeparator/>
      </w:r>
    </w:p>
  </w:footnote>
  <w:footnote w:id="1">
    <w:p w14:paraId="081EB84A" w14:textId="0E5D79F4" w:rsidR="009C331F" w:rsidRPr="00BB6AD0" w:rsidRDefault="009C331F" w:rsidP="00686BEC">
      <w:pPr>
        <w:pStyle w:val="FootnoteText"/>
        <w:ind w:left="567" w:hanging="567"/>
        <w:rPr>
          <w:sz w:val="24"/>
          <w:lang w:val="fi-FI"/>
        </w:rPr>
      </w:pPr>
      <w:r w:rsidRPr="00686BEC">
        <w:rPr>
          <w:rStyle w:val="FootnoteReference"/>
          <w:sz w:val="24"/>
          <w:lang w:val="da-DK"/>
        </w:rPr>
        <w:footnoteRef/>
      </w:r>
      <w:r w:rsidR="00686BEC" w:rsidRPr="00BB6AD0">
        <w:rPr>
          <w:sz w:val="24"/>
          <w:lang w:val="fi-FI"/>
        </w:rPr>
        <w:t xml:space="preserve"> </w:t>
      </w:r>
      <w:r w:rsidR="00686BEC" w:rsidRPr="00BB6AD0">
        <w:rPr>
          <w:sz w:val="24"/>
          <w:lang w:val="fi-FI"/>
        </w:rPr>
        <w:tab/>
      </w:r>
      <w:r w:rsidRPr="00BB6AD0">
        <w:rPr>
          <w:sz w:val="24"/>
          <w:lang w:val="fi-FI"/>
        </w:rPr>
        <w:t>EUT C, C/2025/1191, 21.3.2025, ELI: https://eur-lex.europa.eu/eli/C/2025/1191/oj</w:t>
      </w:r>
      <w:r w:rsidR="00244EF7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509FF" w14:textId="77777777" w:rsidR="00064002" w:rsidRPr="00686BE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70777" w14:textId="77777777" w:rsidR="00064002" w:rsidRPr="00686BE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42602" w14:textId="77777777" w:rsidR="00064002" w:rsidRPr="00686BE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76344729">
    <w:abstractNumId w:val="9"/>
  </w:num>
  <w:num w:numId="2" w16cid:durableId="1436510636">
    <w:abstractNumId w:val="9"/>
  </w:num>
  <w:num w:numId="3" w16cid:durableId="345641981">
    <w:abstractNumId w:val="7"/>
  </w:num>
  <w:num w:numId="4" w16cid:durableId="1822962106">
    <w:abstractNumId w:val="7"/>
  </w:num>
  <w:num w:numId="5" w16cid:durableId="426997920">
    <w:abstractNumId w:val="6"/>
  </w:num>
  <w:num w:numId="6" w16cid:durableId="1076051287">
    <w:abstractNumId w:val="6"/>
  </w:num>
  <w:num w:numId="7" w16cid:durableId="263344336">
    <w:abstractNumId w:val="5"/>
  </w:num>
  <w:num w:numId="8" w16cid:durableId="12149767">
    <w:abstractNumId w:val="5"/>
  </w:num>
  <w:num w:numId="9" w16cid:durableId="484858879">
    <w:abstractNumId w:val="4"/>
  </w:num>
  <w:num w:numId="10" w16cid:durableId="169178479">
    <w:abstractNumId w:val="4"/>
  </w:num>
  <w:num w:numId="11" w16cid:durableId="936329287">
    <w:abstractNumId w:val="8"/>
  </w:num>
  <w:num w:numId="12" w16cid:durableId="1596667072">
    <w:abstractNumId w:val="8"/>
  </w:num>
  <w:num w:numId="13" w16cid:durableId="1160074476">
    <w:abstractNumId w:val="3"/>
  </w:num>
  <w:num w:numId="14" w16cid:durableId="27800331">
    <w:abstractNumId w:val="3"/>
  </w:num>
  <w:num w:numId="15" w16cid:durableId="1372224039">
    <w:abstractNumId w:val="2"/>
  </w:num>
  <w:num w:numId="16" w16cid:durableId="529732312">
    <w:abstractNumId w:val="2"/>
  </w:num>
  <w:num w:numId="17" w16cid:durableId="1193957212">
    <w:abstractNumId w:val="1"/>
  </w:num>
  <w:num w:numId="18" w16cid:durableId="1672101112">
    <w:abstractNumId w:val="1"/>
  </w:num>
  <w:num w:numId="19" w16cid:durableId="2032486847">
    <w:abstractNumId w:val="0"/>
  </w:num>
  <w:num w:numId="20" w16cid:durableId="977567121">
    <w:abstractNumId w:val="0"/>
  </w:num>
  <w:num w:numId="21" w16cid:durableId="884831865">
    <w:abstractNumId w:val="9"/>
  </w:num>
  <w:num w:numId="22" w16cid:durableId="1549489099">
    <w:abstractNumId w:val="7"/>
  </w:num>
  <w:num w:numId="23" w16cid:durableId="326593473">
    <w:abstractNumId w:val="6"/>
  </w:num>
  <w:num w:numId="24" w16cid:durableId="890380338">
    <w:abstractNumId w:val="5"/>
  </w:num>
  <w:num w:numId="25" w16cid:durableId="778068178">
    <w:abstractNumId w:val="4"/>
  </w:num>
  <w:num w:numId="26" w16cid:durableId="806629530">
    <w:abstractNumId w:val="8"/>
  </w:num>
  <w:num w:numId="27" w16cid:durableId="1429426207">
    <w:abstractNumId w:val="3"/>
  </w:num>
  <w:num w:numId="28" w16cid:durableId="2076394812">
    <w:abstractNumId w:val="2"/>
  </w:num>
  <w:num w:numId="29" w16cid:durableId="2108227771">
    <w:abstractNumId w:val="1"/>
  </w:num>
  <w:num w:numId="30" w16cid:durableId="1777557774">
    <w:abstractNumId w:val="0"/>
  </w:num>
  <w:num w:numId="31" w16cid:durableId="350761724">
    <w:abstractNumId w:val="9"/>
  </w:num>
  <w:num w:numId="32" w16cid:durableId="2113864977">
    <w:abstractNumId w:val="7"/>
  </w:num>
  <w:num w:numId="33" w16cid:durableId="814642603">
    <w:abstractNumId w:val="6"/>
  </w:num>
  <w:num w:numId="34" w16cid:durableId="597517402">
    <w:abstractNumId w:val="5"/>
  </w:num>
  <w:num w:numId="35" w16cid:durableId="1316180172">
    <w:abstractNumId w:val="4"/>
  </w:num>
  <w:num w:numId="36" w16cid:durableId="82534846">
    <w:abstractNumId w:val="8"/>
  </w:num>
  <w:num w:numId="37" w16cid:durableId="209414971">
    <w:abstractNumId w:val="3"/>
  </w:num>
  <w:num w:numId="38" w16cid:durableId="1417946799">
    <w:abstractNumId w:val="2"/>
  </w:num>
  <w:num w:numId="39" w16cid:durableId="1707634995">
    <w:abstractNumId w:val="1"/>
  </w:num>
  <w:num w:numId="40" w16cid:durableId="89283124">
    <w:abstractNumId w:val="0"/>
  </w:num>
  <w:num w:numId="41" w16cid:durableId="1811361727">
    <w:abstractNumId w:val="10"/>
  </w:num>
  <w:num w:numId="42" w16cid:durableId="989485508">
    <w:abstractNumId w:val="10"/>
  </w:num>
  <w:num w:numId="43" w16cid:durableId="396901500">
    <w:abstractNumId w:val="10"/>
  </w:num>
  <w:num w:numId="44" w16cid:durableId="3746943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DA"/>
    <w:docVar w:name="dvnumam" w:val="25"/>
    <w:docVar w:name="dvpe" w:val="766.600"/>
    <w:docVar w:name="dvrapporteur" w:val="Ordfører: "/>
    <w:docVar w:name="dvstar" w:val="***I"/>
    <w:docVar w:name="dvtitre" w:val="Europa-Parlamentets lovgivningsmæssige beslutning af xx.xx 2025 om forslag til Europa-Parlamentets og Rådets forordning om ændring af forordning (EU) nr. 1026/2012 om visse foranstaltninger med henblik på bevarelse af fiskebestande over for lande, der tillader ikkebæredygtigt fiskeri(COM(2024)0407 – C10-0098/2024 – 2024/0224(COD))"/>
  </w:docVars>
  <w:rsids>
    <w:rsidRoot w:val="00BD18D3"/>
    <w:rsid w:val="00002272"/>
    <w:rsid w:val="000027A5"/>
    <w:rsid w:val="00064002"/>
    <w:rsid w:val="000677B9"/>
    <w:rsid w:val="000831BA"/>
    <w:rsid w:val="000A42CC"/>
    <w:rsid w:val="000E7DD9"/>
    <w:rsid w:val="0010095E"/>
    <w:rsid w:val="00125B37"/>
    <w:rsid w:val="00187494"/>
    <w:rsid w:val="001B42F9"/>
    <w:rsid w:val="001F32AE"/>
    <w:rsid w:val="00244EF7"/>
    <w:rsid w:val="0025303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107"/>
    <w:rsid w:val="0059196A"/>
    <w:rsid w:val="005C2568"/>
    <w:rsid w:val="005F1B17"/>
    <w:rsid w:val="006037C0"/>
    <w:rsid w:val="006631B6"/>
    <w:rsid w:val="00680577"/>
    <w:rsid w:val="00686BE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71A"/>
    <w:rsid w:val="009509D8"/>
    <w:rsid w:val="00950B64"/>
    <w:rsid w:val="00981893"/>
    <w:rsid w:val="009A6D8D"/>
    <w:rsid w:val="009C331F"/>
    <w:rsid w:val="009F139E"/>
    <w:rsid w:val="00A1687D"/>
    <w:rsid w:val="00A43E52"/>
    <w:rsid w:val="00A4678D"/>
    <w:rsid w:val="00A778C7"/>
    <w:rsid w:val="00A93093"/>
    <w:rsid w:val="00AB441E"/>
    <w:rsid w:val="00AB6293"/>
    <w:rsid w:val="00AE0928"/>
    <w:rsid w:val="00AF3B82"/>
    <w:rsid w:val="00AF67A3"/>
    <w:rsid w:val="00B12E95"/>
    <w:rsid w:val="00B22876"/>
    <w:rsid w:val="00B558F0"/>
    <w:rsid w:val="00BB6AD0"/>
    <w:rsid w:val="00BD18D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F2F"/>
    <w:rsid w:val="00E3193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349A62"/>
  <w15:chartTrackingRefBased/>
  <w15:docId w15:val="{EC10E98E-3FAE-472C-8079-ECF3DF1CF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C331F"/>
    <w:rPr>
      <w:b/>
    </w:rPr>
  </w:style>
  <w:style w:type="paragraph" w:customStyle="1" w:styleId="NormalHanging12a">
    <w:name w:val="NormalHanging12a"/>
    <w:basedOn w:val="Normal"/>
    <w:rsid w:val="009C331F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9C331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C331F"/>
    <w:pPr>
      <w:spacing w:before="240"/>
    </w:pPr>
    <w:rPr>
      <w:b/>
    </w:rPr>
  </w:style>
  <w:style w:type="paragraph" w:customStyle="1" w:styleId="EPComma">
    <w:name w:val="EPComma"/>
    <w:basedOn w:val="Normal"/>
    <w:rsid w:val="009C331F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C331F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9C331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C331F"/>
    <w:rPr>
      <w:b/>
      <w:sz w:val="24"/>
      <w:lang w:val="da-DK"/>
    </w:rPr>
  </w:style>
  <w:style w:type="paragraph" w:customStyle="1" w:styleId="ColumnHeading">
    <w:name w:val="ColumnHeading"/>
    <w:basedOn w:val="Normal"/>
    <w:rsid w:val="009C331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C331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C331F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0027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027A5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1B42F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B42F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B42F9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1B42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B42F9"/>
    <w:rPr>
      <w:b/>
      <w:bCs/>
      <w:lang w:val="da-DK"/>
    </w:rPr>
  </w:style>
  <w:style w:type="paragraph" w:customStyle="1" w:styleId="Typedudocument">
    <w:name w:val="Type du document"/>
    <w:basedOn w:val="Normal"/>
    <w:next w:val="Normal"/>
    <w:rsid w:val="00AF67A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FootnoteTextForceStyle">
    <w:name w:val="Footnote Text ForceStyle"/>
    <w:rsid w:val="00AF67A3"/>
    <w:pPr>
      <w:keepLines/>
      <w:widowControl w:val="0"/>
      <w:spacing w:line="240" w:lineRule="exact"/>
      <w:ind w:left="850" w:hanging="850"/>
    </w:pPr>
    <w:rPr>
      <w:sz w:val="24"/>
      <w:lang w:val="da-DK" w:eastAsia="en-US"/>
    </w:rPr>
  </w:style>
  <w:style w:type="character" w:customStyle="1" w:styleId="Hyperlink1">
    <w:name w:val="Hyperlink1"/>
    <w:basedOn w:val="DefaultParagraphFont"/>
    <w:unhideWhenUsed/>
    <w:rsid w:val="00AF67A3"/>
    <w:rPr>
      <w:color w:val="0000FF"/>
      <w:u w:val="single"/>
    </w:rPr>
  </w:style>
  <w:style w:type="character" w:styleId="Hyperlink">
    <w:name w:val="Hyperlink"/>
    <w:basedOn w:val="DefaultParagraphFont"/>
    <w:rsid w:val="00AF67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29D98-CA54-41C5-B826-858F23591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2190</Characters>
  <Application>Microsoft Office Word</Application>
  <DocSecurity>0</DocSecurity>
  <Lines>156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2025-10-21T14:20:00Z</dcterms:created>
  <dcterms:modified xsi:type="dcterms:W3CDTF">2025-10-21T14:20:00Z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