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0FED" w14:paraId="6BAD21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E3D7D0" w14:textId="77777777" w:rsidR="00751A4A" w:rsidRPr="008F0FED" w:rsidRDefault="00111593" w:rsidP="0010095E">
            <w:pPr>
              <w:pStyle w:val="EPName"/>
            </w:pPr>
            <w:r w:rsidRPr="008F0FED">
              <w:t>Ευρωπαϊκό Κοινοβούλιο</w:t>
            </w:r>
          </w:p>
          <w:p w14:paraId="23DB243A" w14:textId="77777777" w:rsidR="00751A4A" w:rsidRPr="008F0F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0FED">
              <w:t>2024</w:t>
            </w:r>
            <w:r w:rsidR="00817416" w:rsidRPr="008F0FED">
              <w:t>-202</w:t>
            </w:r>
            <w:r w:rsidRPr="008F0FED">
              <w:t>9</w:t>
            </w:r>
          </w:p>
        </w:tc>
        <w:tc>
          <w:tcPr>
            <w:tcW w:w="2268" w:type="dxa"/>
            <w:shd w:val="clear" w:color="auto" w:fill="auto"/>
          </w:tcPr>
          <w:p w14:paraId="29097A7F" w14:textId="77777777" w:rsidR="00751A4A" w:rsidRPr="008F0FED" w:rsidRDefault="00187494" w:rsidP="0010095E">
            <w:pPr>
              <w:pStyle w:val="EPLogo"/>
            </w:pPr>
            <w:r w:rsidRPr="008F0FED">
              <w:rPr>
                <w:noProof/>
                <w:lang w:val="pl-PL" w:eastAsia="pl-PL"/>
              </w:rPr>
              <w:drawing>
                <wp:inline distT="0" distB="0" distL="0" distR="0" wp14:anchorId="780B1BC8" wp14:editId="5D35B1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DE4FF3" w14:textId="77777777" w:rsidR="00D058B8" w:rsidRPr="008F0FED" w:rsidRDefault="00D058B8" w:rsidP="004C5D52">
      <w:pPr>
        <w:pStyle w:val="LineTop"/>
      </w:pPr>
    </w:p>
    <w:p w14:paraId="4AAE1BAE" w14:textId="77777777" w:rsidR="00680577" w:rsidRPr="008F0FED" w:rsidRDefault="00111593" w:rsidP="00680577">
      <w:pPr>
        <w:pStyle w:val="EPBodyTA1"/>
      </w:pPr>
      <w:r w:rsidRPr="008F0FED">
        <w:t>ΚΕΙΜΕΝΑ ΠΟΥ ΕΓΚΡΙΘΗΚΑΝ</w:t>
      </w:r>
    </w:p>
    <w:p w14:paraId="1468CC8A" w14:textId="77777777" w:rsidR="00D058B8" w:rsidRPr="008F0FED" w:rsidRDefault="00D058B8" w:rsidP="00D058B8">
      <w:pPr>
        <w:pStyle w:val="LineBottom"/>
      </w:pPr>
    </w:p>
    <w:p w14:paraId="137B73F2" w14:textId="77777777" w:rsidR="00111593" w:rsidRPr="008F0FED" w:rsidRDefault="00111593" w:rsidP="00111593">
      <w:pPr>
        <w:pStyle w:val="ATHeading1"/>
      </w:pPr>
      <w:bookmarkStart w:id="0" w:name="TANumber"/>
      <w:r w:rsidRPr="008F0FED">
        <w:t>P10_TA(2025)0</w:t>
      </w:r>
      <w:r w:rsidR="008F0FED" w:rsidRPr="008F0FED">
        <w:t>15</w:t>
      </w:r>
      <w:r w:rsidRPr="008F0FED">
        <w:t>0</w:t>
      </w:r>
      <w:bookmarkEnd w:id="0"/>
    </w:p>
    <w:p w14:paraId="021BCC08" w14:textId="77777777" w:rsidR="00111593" w:rsidRPr="008F0FED" w:rsidRDefault="008E59B5" w:rsidP="008E59B5">
      <w:pPr>
        <w:pStyle w:val="ATHeading2"/>
      </w:pPr>
      <w:bookmarkStart w:id="1" w:name="title"/>
      <w:r w:rsidRPr="008F0FED">
        <w:t>Τροποποίηση του κανονισμού (ΕΕ) αριθ. 1026/2012 για τη λήψη ορισμένων μέτρων με στόχο τη διατήρηση των ιχθυαποθεμάτων, κατά των χωρών οι οποίες επιτρέπουν τη διεξαγωγή μη βιώσιμης αλιείας</w:t>
      </w:r>
      <w:bookmarkEnd w:id="1"/>
    </w:p>
    <w:p w14:paraId="7F6EFC76" w14:textId="77777777" w:rsidR="00111593" w:rsidRPr="008F0FED" w:rsidRDefault="00111593" w:rsidP="00111593">
      <w:pPr>
        <w:rPr>
          <w:i/>
          <w:vanish/>
        </w:rPr>
      </w:pPr>
      <w:r w:rsidRPr="008F0FED">
        <w:rPr>
          <w:i/>
        </w:rPr>
        <w:fldChar w:fldCharType="begin"/>
      </w:r>
      <w:r w:rsidRPr="008F0FED">
        <w:rPr>
          <w:i/>
        </w:rPr>
        <w:instrText xml:space="preserve"> TC"(</w:instrText>
      </w:r>
      <w:bookmarkStart w:id="2" w:name="DocNumber"/>
      <w:r w:rsidRPr="008F0FED">
        <w:rPr>
          <w:i/>
        </w:rPr>
        <w:instrText>A10-0070/2025</w:instrText>
      </w:r>
      <w:bookmarkEnd w:id="2"/>
      <w:r w:rsidRPr="008F0FED">
        <w:rPr>
          <w:i/>
        </w:rPr>
        <w:instrText xml:space="preserve"> - Εισηγητής: Thomas Bajada)"\l3 \n&gt; \* MERGEFORMAT </w:instrText>
      </w:r>
      <w:r w:rsidRPr="008F0FED">
        <w:rPr>
          <w:i/>
        </w:rPr>
        <w:fldChar w:fldCharType="end"/>
      </w:r>
    </w:p>
    <w:p w14:paraId="5FD8257E" w14:textId="77777777" w:rsidR="00111593" w:rsidRPr="008F0FED" w:rsidRDefault="00111593" w:rsidP="00111593">
      <w:pPr>
        <w:rPr>
          <w:vanish/>
        </w:rPr>
      </w:pPr>
      <w:bookmarkStart w:id="3" w:name="Commission"/>
      <w:r w:rsidRPr="008F0FED">
        <w:rPr>
          <w:vanish/>
        </w:rPr>
        <w:t>Επιτροπή Αλιείας</w:t>
      </w:r>
      <w:bookmarkEnd w:id="3"/>
    </w:p>
    <w:p w14:paraId="02232F77" w14:textId="77777777" w:rsidR="00111593" w:rsidRPr="008F0FED" w:rsidRDefault="00111593" w:rsidP="00111593">
      <w:pPr>
        <w:rPr>
          <w:vanish/>
        </w:rPr>
      </w:pPr>
      <w:bookmarkStart w:id="4" w:name="PE"/>
      <w:r w:rsidRPr="008F0FED">
        <w:rPr>
          <w:vanish/>
        </w:rPr>
        <w:t>PE766.600</w:t>
      </w:r>
      <w:bookmarkEnd w:id="4"/>
    </w:p>
    <w:p w14:paraId="1AE08FCC" w14:textId="77777777" w:rsidR="00111593" w:rsidRPr="008F0FED" w:rsidRDefault="00111593" w:rsidP="00111593">
      <w:pPr>
        <w:pStyle w:val="ATHeading3"/>
      </w:pPr>
      <w:bookmarkStart w:id="5" w:name="Sujet"/>
      <w:r w:rsidRPr="008F0FED">
        <w:t xml:space="preserve">Νομοθετικό ψήφισμα του Ευρωπαϊκού Κοινοβουλίου </w:t>
      </w:r>
      <w:r w:rsidR="008E59B5" w:rsidRPr="008F0FED">
        <w:t xml:space="preserve">της </w:t>
      </w:r>
      <w:r w:rsidR="0025787C" w:rsidRPr="008F0FED">
        <w:t>9</w:t>
      </w:r>
      <w:r w:rsidR="008E59B5" w:rsidRPr="008F0FED">
        <w:t xml:space="preserve">ης Ιουλίου 2025 </w:t>
      </w:r>
      <w:r w:rsidRPr="008F0FED">
        <w:t>σχετικά με την πρόταση κανονισμού του Ευρωπαϊκού Κοινοβουλίου και του Συμβουλίου που αφορά την τροποποίηση του κανονισμού (ΕΕ) αριθ. 1026/2012 για τη λήψη ορισμένων μέτρων με στόχο τη διατήρηση των ιχθυαποθεμάτων, κατά των χωρών οι οποίες επιτρέπουν τη διεξαγωγή μη βιώσιμης αλιείας</w:t>
      </w:r>
      <w:bookmarkEnd w:id="5"/>
      <w:r w:rsidRPr="008F0FED">
        <w:t xml:space="preserve"> </w:t>
      </w:r>
      <w:bookmarkStart w:id="6" w:name="References"/>
      <w:r w:rsidRPr="008F0FED">
        <w:t>(COM(2024)0407 – C10-0098/2024 – 2024/0224(COD))</w:t>
      </w:r>
      <w:bookmarkEnd w:id="6"/>
    </w:p>
    <w:p w14:paraId="33F934FE" w14:textId="77777777" w:rsidR="008E59B5" w:rsidRPr="008F0FED" w:rsidRDefault="008E59B5" w:rsidP="00524FA3">
      <w:pPr>
        <w:pStyle w:val="NormalBold"/>
      </w:pPr>
    </w:p>
    <w:p w14:paraId="7A72C15F" w14:textId="77777777" w:rsidR="00524FA3" w:rsidRPr="008F0FED" w:rsidRDefault="00524FA3" w:rsidP="00524FA3">
      <w:pPr>
        <w:pStyle w:val="NormalBold"/>
      </w:pPr>
      <w:r w:rsidRPr="008F0FED">
        <w:t>(Συνήθης νομοθετική διαδικασία: πρώτη ανάγνωση)</w:t>
      </w:r>
    </w:p>
    <w:p w14:paraId="1F715632" w14:textId="77777777" w:rsidR="00B1122B" w:rsidRPr="008F0FED" w:rsidRDefault="00B1122B" w:rsidP="000459BC">
      <w:pPr>
        <w:pStyle w:val="EPComma"/>
        <w:widowControl/>
        <w:spacing w:before="0"/>
        <w:ind w:left="567" w:hanging="567"/>
        <w:rPr>
          <w:i/>
        </w:rPr>
      </w:pPr>
    </w:p>
    <w:p w14:paraId="5A04793B" w14:textId="77777777" w:rsidR="00524FA3" w:rsidRPr="008F0FED" w:rsidRDefault="00524FA3">
      <w:pPr>
        <w:pStyle w:val="EPComma"/>
        <w:widowControl/>
        <w:spacing w:before="0"/>
        <w:ind w:left="567" w:hanging="567"/>
      </w:pPr>
      <w:r w:rsidRPr="008F0FED">
        <w:rPr>
          <w:i/>
        </w:rPr>
        <w:t>Το Ευρωπαϊκό Κοινοβούλιο</w:t>
      </w:r>
      <w:r w:rsidRPr="008F0FED">
        <w:t>,</w:t>
      </w:r>
    </w:p>
    <w:p w14:paraId="78ABA7B1" w14:textId="77777777" w:rsidR="00524FA3" w:rsidRPr="008F0FED" w:rsidRDefault="00524FA3">
      <w:pPr>
        <w:pStyle w:val="NormalHanging12a"/>
        <w:widowControl/>
      </w:pPr>
      <w:r w:rsidRPr="008F0FED">
        <w:t>–</w:t>
      </w:r>
      <w:r w:rsidRPr="008F0FED">
        <w:tab/>
        <w:t>έχοντας υπόψη την πρόταση της Επιτροπής προς το Κοινοβούλιο και το Συμβούλιο (COM(2024)0407),</w:t>
      </w:r>
    </w:p>
    <w:p w14:paraId="6C4D3AA4" w14:textId="77777777" w:rsidR="00524FA3" w:rsidRPr="008F0FED" w:rsidRDefault="00524FA3">
      <w:pPr>
        <w:pStyle w:val="NormalHanging12a"/>
        <w:widowControl/>
      </w:pPr>
      <w:r w:rsidRPr="008F0FED">
        <w:t>–</w:t>
      </w:r>
      <w:r w:rsidRPr="008F0FED">
        <w:tab/>
        <w:t>έχοντας υπόψη το άρθρο 294 παράγραφος 2, το άρθρο 43 παράγραφος 2 και το άρθρο 207 της Συνθήκης για τη λειτουργία της Ευρωπαϊκής Ένωσης, σύμφωνα με τα οποία του υποβλήθηκε η πρόταση από την Επιτροπή (C10</w:t>
      </w:r>
      <w:r w:rsidRPr="008F0FED">
        <w:noBreakHyphen/>
        <w:t>0098/2024),</w:t>
      </w:r>
    </w:p>
    <w:p w14:paraId="69CFA3D4" w14:textId="77777777" w:rsidR="00524FA3" w:rsidRPr="008F0FED" w:rsidRDefault="00524FA3">
      <w:pPr>
        <w:pStyle w:val="NormalHanging12a"/>
        <w:widowControl/>
      </w:pPr>
      <w:r w:rsidRPr="008F0FED">
        <w:t>–</w:t>
      </w:r>
      <w:r w:rsidRPr="008F0FED">
        <w:tab/>
        <w:t>έχοντας υπόψη το άρθρο 294 παράγραφος 3 της Συνθήκης για τη λειτουργία της Ευρωπαϊκής Ένωσης,</w:t>
      </w:r>
    </w:p>
    <w:p w14:paraId="5DCCFEC4" w14:textId="77777777" w:rsidR="00524FA3" w:rsidRPr="008F0FED" w:rsidRDefault="00524FA3">
      <w:pPr>
        <w:pStyle w:val="NormalHanging12a"/>
        <w:widowControl/>
      </w:pPr>
      <w:r w:rsidRPr="008F0FED">
        <w:t>–</w:t>
      </w:r>
      <w:r w:rsidRPr="008F0FED">
        <w:tab/>
        <w:t>έχοντας υπόψη τη γνωμοδότηση της Ευρωπαϊκής Οικονομικής και Κοινωνικής Επιτροπής της 22ας Ιανουαρίου 2025</w:t>
      </w:r>
      <w:r w:rsidRPr="008F0FED">
        <w:rPr>
          <w:rStyle w:val="FootnoteReference"/>
        </w:rPr>
        <w:footnoteReference w:id="1"/>
      </w:r>
      <w:r w:rsidRPr="008F0FED">
        <w:t>,</w:t>
      </w:r>
    </w:p>
    <w:p w14:paraId="1C567D9F" w14:textId="77777777" w:rsidR="0025787C" w:rsidRPr="008F0FED" w:rsidRDefault="0025787C">
      <w:pPr>
        <w:pStyle w:val="NormalHanging12a"/>
        <w:widowControl/>
      </w:pPr>
      <w:r w:rsidRPr="008F0FED">
        <w:t>–</w:t>
      </w:r>
      <w:r w:rsidRPr="008F0FED">
        <w:tab/>
        <w:t xml:space="preserve"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11ης Ιουνίου 2025, να εγκρίνει τη θέση </w:t>
      </w:r>
      <w:r w:rsidRPr="008F0FED">
        <w:lastRenderedPageBreak/>
        <w:t>του Κοινοβουλίου, σύμφωνα με το άρθρο 294 παράγραφος 4 της Συνθήκης για τη λειτουργία της Ευρωπαϊκής Ένωσης,</w:t>
      </w:r>
    </w:p>
    <w:p w14:paraId="3D1DFD20" w14:textId="77777777" w:rsidR="00524FA3" w:rsidRPr="008F0FED" w:rsidRDefault="00524FA3" w:rsidP="008E59B5">
      <w:pPr>
        <w:pStyle w:val="NormalHanging12a"/>
        <w:widowControl/>
      </w:pPr>
      <w:r w:rsidRPr="008F0FED">
        <w:t>–</w:t>
      </w:r>
      <w:r w:rsidRPr="008F0FED">
        <w:tab/>
        <w:t>έχοντας υπόψη το άρθρο 60 του Κανονισμού του,</w:t>
      </w:r>
    </w:p>
    <w:p w14:paraId="42848F97" w14:textId="77777777" w:rsidR="00524FA3" w:rsidRPr="008F0FED" w:rsidRDefault="00524FA3" w:rsidP="008E59B5">
      <w:pPr>
        <w:pStyle w:val="NormalHanging12a"/>
        <w:widowControl/>
      </w:pPr>
      <w:r w:rsidRPr="008F0FED">
        <w:t>–</w:t>
      </w:r>
      <w:r w:rsidRPr="008F0FED">
        <w:tab/>
        <w:t>έχοντας υπόψη την έκθεση της Επιτροπής Αλιείας (A10-0070/2025),</w:t>
      </w:r>
    </w:p>
    <w:p w14:paraId="72855AF6" w14:textId="77777777" w:rsidR="00524FA3" w:rsidRPr="008F0FED" w:rsidRDefault="00524FA3" w:rsidP="008E59B5">
      <w:pPr>
        <w:pStyle w:val="NormalHanging12a"/>
        <w:widowControl/>
      </w:pPr>
      <w:r w:rsidRPr="008F0FED">
        <w:t>1.</w:t>
      </w:r>
      <w:r w:rsidRPr="008F0FED">
        <w:tab/>
        <w:t>εγκρίνει τη θέση του σε πρώτη ανάγνωση όπως παρατίθεται κατωτέρω·</w:t>
      </w:r>
    </w:p>
    <w:p w14:paraId="00FF77AC" w14:textId="77777777" w:rsidR="00524FA3" w:rsidRPr="008F0FED" w:rsidRDefault="00524FA3" w:rsidP="008E59B5">
      <w:pPr>
        <w:pStyle w:val="NormalHanging12a"/>
        <w:widowControl/>
      </w:pPr>
      <w:r w:rsidRPr="008F0FED">
        <w:t>2.</w:t>
      </w:r>
      <w:r w:rsidRPr="008F0FED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639EAEF7" w14:textId="77777777" w:rsidR="00524FA3" w:rsidRPr="008F0FED" w:rsidRDefault="00524FA3" w:rsidP="00524FA3">
      <w:pPr>
        <w:pStyle w:val="NormalHanging12a"/>
      </w:pPr>
      <w:r w:rsidRPr="008F0FED">
        <w:t>3.</w:t>
      </w:r>
      <w:r w:rsidRPr="008F0FED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59AB1D63" w14:textId="77777777" w:rsidR="00210729" w:rsidRPr="008F0FED" w:rsidRDefault="00210729" w:rsidP="00524FA3">
      <w:pPr>
        <w:pStyle w:val="NormalHanging12a"/>
      </w:pPr>
    </w:p>
    <w:p w14:paraId="1493343C" w14:textId="77777777" w:rsidR="00210729" w:rsidRPr="008F0FED" w:rsidRDefault="00210729" w:rsidP="00524FA3">
      <w:pPr>
        <w:pStyle w:val="NormalHanging12a"/>
      </w:pPr>
    </w:p>
    <w:p w14:paraId="6E47B065" w14:textId="77777777" w:rsidR="00210729" w:rsidRPr="008F0FED" w:rsidRDefault="00210729" w:rsidP="00524FA3">
      <w:pPr>
        <w:sectPr w:rsidR="00210729" w:rsidRPr="008F0FED" w:rsidSect="00DE5E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F470149" w14:textId="77777777" w:rsidR="00210729" w:rsidRPr="008F0FED" w:rsidRDefault="00210729" w:rsidP="00210729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8F0FED">
        <w:rPr>
          <w:b/>
        </w:rPr>
        <w:lastRenderedPageBreak/>
        <w:t>P10_TC1-COD(2024)0224</w:t>
      </w:r>
    </w:p>
    <w:p w14:paraId="72092B41" w14:textId="77777777" w:rsidR="00210729" w:rsidRPr="008F0FED" w:rsidRDefault="00210729" w:rsidP="00210729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szCs w:val="24"/>
          <w:lang w:eastAsia="en-US"/>
        </w:rPr>
      </w:pPr>
      <w:r w:rsidRPr="008F0FED">
        <w:rPr>
          <w:b/>
        </w:rPr>
        <w:t xml:space="preserve">Θέση του Ευρωπαϊκού Κοινοβουλίου που καθορίστηκε σε πρώτη ανάγνωση στις 9 Ιουλίου 2025 εν όψει της έγκρισης κανονισμού (ΕΕ) 2025/... του Ευρωπαϊκού Κοινοβουλίου και του Συμβουλίου </w:t>
      </w:r>
      <w:r w:rsidRPr="008F0FED">
        <w:rPr>
          <w:b/>
          <w:szCs w:val="24"/>
          <w:lang w:eastAsia="en-US"/>
        </w:rPr>
        <w:t>σχετικά με την τροποποίηση του κανονισμού (ΕΕ) αριθ. 1026/2012 για τη λήψη ορισμένων μέτρων με στόχο τη διατήρηση των ιχθυαποθεμάτων, κατά των χωρών οι οποίες επιτρέπουν τη διεξαγωγή μη βιώσιμης αλιείας</w:t>
      </w:r>
    </w:p>
    <w:p w14:paraId="03C6684A" w14:textId="16D3B380" w:rsidR="00340161" w:rsidRDefault="00340161" w:rsidP="00340161">
      <w:pPr>
        <w:rPr>
          <w:i/>
        </w:rPr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3515F8">
        <w:rPr>
          <w:i/>
        </w:rPr>
        <w:t>5</w:t>
      </w:r>
      <w:r>
        <w:rPr>
          <w:i/>
        </w:rPr>
        <w:t>/</w:t>
      </w:r>
      <w:r w:rsidRPr="00340161">
        <w:rPr>
          <w:i/>
        </w:rPr>
        <w:t>2077</w:t>
      </w:r>
      <w:r>
        <w:rPr>
          <w:i/>
        </w:rPr>
        <w:t>.</w:t>
      </w:r>
      <w:r w:rsidRPr="007B7B26">
        <w:rPr>
          <w:i/>
        </w:rPr>
        <w:t>)</w:t>
      </w:r>
    </w:p>
    <w:p w14:paraId="7DD88FA1" w14:textId="6C32CF8C" w:rsidR="00210729" w:rsidRPr="008F0FED" w:rsidRDefault="00210729" w:rsidP="00210729">
      <w:pPr>
        <w:widowControl/>
        <w:tabs>
          <w:tab w:val="left" w:pos="4252"/>
        </w:tabs>
        <w:spacing w:line="360" w:lineRule="auto"/>
        <w:rPr>
          <w:i/>
          <w:szCs w:val="24"/>
          <w:lang w:eastAsia="en-US"/>
        </w:rPr>
      </w:pPr>
    </w:p>
    <w:sectPr w:rsidR="00210729" w:rsidRPr="008F0FED" w:rsidSect="00DE5E8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D0116" w14:textId="77777777" w:rsidR="00111593" w:rsidRPr="00DE5E83" w:rsidRDefault="00111593">
      <w:r w:rsidRPr="00DE5E83">
        <w:separator/>
      </w:r>
    </w:p>
  </w:endnote>
  <w:endnote w:type="continuationSeparator" w:id="0">
    <w:p w14:paraId="7A8665FA" w14:textId="77777777" w:rsidR="00111593" w:rsidRPr="00DE5E83" w:rsidRDefault="00111593">
      <w:r w:rsidRPr="00DE5E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BA518" w14:textId="77777777" w:rsidR="00064002" w:rsidRPr="00DE5E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DD96" w14:textId="77777777" w:rsidR="00064002" w:rsidRPr="00DE5E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239EA" w14:textId="77777777" w:rsidR="00064002" w:rsidRPr="00DE5E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505B8" w14:textId="77777777" w:rsidR="00111593" w:rsidRPr="00DE5E83" w:rsidRDefault="00111593">
      <w:r w:rsidRPr="00DE5E83">
        <w:separator/>
      </w:r>
    </w:p>
  </w:footnote>
  <w:footnote w:type="continuationSeparator" w:id="0">
    <w:p w14:paraId="0A784D15" w14:textId="77777777" w:rsidR="00111593" w:rsidRPr="00DE5E83" w:rsidRDefault="00111593">
      <w:r w:rsidRPr="00DE5E83">
        <w:continuationSeparator/>
      </w:r>
    </w:p>
  </w:footnote>
  <w:footnote w:id="1">
    <w:p w14:paraId="77AE6C16" w14:textId="77777777" w:rsidR="00524FA3" w:rsidRPr="008F0FED" w:rsidRDefault="00524FA3" w:rsidP="00210729">
      <w:pPr>
        <w:pStyle w:val="FootnoteText"/>
        <w:tabs>
          <w:tab w:val="left" w:pos="709"/>
        </w:tabs>
        <w:spacing w:line="240" w:lineRule="auto"/>
        <w:ind w:left="709" w:hanging="709"/>
        <w:rPr>
          <w:sz w:val="24"/>
          <w:szCs w:val="24"/>
          <w:lang w:val="fi-FI"/>
        </w:rPr>
      </w:pPr>
      <w:r w:rsidRPr="00210729">
        <w:rPr>
          <w:rStyle w:val="FootnoteReference"/>
          <w:sz w:val="24"/>
          <w:szCs w:val="24"/>
          <w:lang w:val="el-GR"/>
        </w:rPr>
        <w:footnoteRef/>
      </w:r>
      <w:r w:rsidR="00DE5E83" w:rsidRPr="008F0FED">
        <w:rPr>
          <w:sz w:val="24"/>
          <w:szCs w:val="24"/>
          <w:lang w:val="fi-FI"/>
        </w:rPr>
        <w:t xml:space="preserve"> </w:t>
      </w:r>
      <w:r w:rsidR="00DE5E83" w:rsidRPr="008F0FED">
        <w:rPr>
          <w:sz w:val="24"/>
          <w:szCs w:val="24"/>
          <w:lang w:val="fi-FI"/>
        </w:rPr>
        <w:tab/>
      </w:r>
      <w:r w:rsidRPr="00210729">
        <w:rPr>
          <w:sz w:val="24"/>
          <w:szCs w:val="24"/>
          <w:lang w:val="el-GR"/>
        </w:rPr>
        <w:t>ΕΕ</w:t>
      </w:r>
      <w:r w:rsidRPr="008F0FED">
        <w:rPr>
          <w:sz w:val="24"/>
          <w:szCs w:val="24"/>
          <w:lang w:val="fi-FI"/>
        </w:rPr>
        <w:t xml:space="preserve"> C, C/2025/1191, 21.3.2025, ELI: </w:t>
      </w:r>
      <w:hyperlink r:id="rId1" w:history="1">
        <w:r w:rsidRPr="008F0FED">
          <w:rPr>
            <w:rStyle w:val="Hyperlink"/>
            <w:sz w:val="24"/>
            <w:szCs w:val="24"/>
            <w:lang w:val="fi-FI"/>
          </w:rPr>
          <w:t>http://data.europa.eu/eli/C/2025/1191/oj</w:t>
        </w:r>
      </w:hyperlink>
      <w:r w:rsidRPr="008F0FED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98C9A" w14:textId="77777777" w:rsidR="00064002" w:rsidRPr="00DE5E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369BD" w14:textId="77777777" w:rsidR="00064002" w:rsidRPr="00DE5E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70EF6" w14:textId="77777777" w:rsidR="00064002" w:rsidRPr="00DE5E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6600704">
    <w:abstractNumId w:val="9"/>
  </w:num>
  <w:num w:numId="2" w16cid:durableId="448356698">
    <w:abstractNumId w:val="9"/>
  </w:num>
  <w:num w:numId="3" w16cid:durableId="808787814">
    <w:abstractNumId w:val="7"/>
  </w:num>
  <w:num w:numId="4" w16cid:durableId="491289689">
    <w:abstractNumId w:val="7"/>
  </w:num>
  <w:num w:numId="5" w16cid:durableId="1209150161">
    <w:abstractNumId w:val="6"/>
  </w:num>
  <w:num w:numId="6" w16cid:durableId="413821252">
    <w:abstractNumId w:val="6"/>
  </w:num>
  <w:num w:numId="7" w16cid:durableId="1844011575">
    <w:abstractNumId w:val="5"/>
  </w:num>
  <w:num w:numId="8" w16cid:durableId="1151946670">
    <w:abstractNumId w:val="5"/>
  </w:num>
  <w:num w:numId="9" w16cid:durableId="730426642">
    <w:abstractNumId w:val="4"/>
  </w:num>
  <w:num w:numId="10" w16cid:durableId="1432243632">
    <w:abstractNumId w:val="4"/>
  </w:num>
  <w:num w:numId="11" w16cid:durableId="913244973">
    <w:abstractNumId w:val="8"/>
  </w:num>
  <w:num w:numId="12" w16cid:durableId="1459251789">
    <w:abstractNumId w:val="8"/>
  </w:num>
  <w:num w:numId="13" w16cid:durableId="105202355">
    <w:abstractNumId w:val="3"/>
  </w:num>
  <w:num w:numId="14" w16cid:durableId="1770468990">
    <w:abstractNumId w:val="3"/>
  </w:num>
  <w:num w:numId="15" w16cid:durableId="155388739">
    <w:abstractNumId w:val="2"/>
  </w:num>
  <w:num w:numId="16" w16cid:durableId="1520851748">
    <w:abstractNumId w:val="2"/>
  </w:num>
  <w:num w:numId="17" w16cid:durableId="1552571988">
    <w:abstractNumId w:val="1"/>
  </w:num>
  <w:num w:numId="18" w16cid:durableId="197159246">
    <w:abstractNumId w:val="1"/>
  </w:num>
  <w:num w:numId="19" w16cid:durableId="439760354">
    <w:abstractNumId w:val="0"/>
  </w:num>
  <w:num w:numId="20" w16cid:durableId="278877476">
    <w:abstractNumId w:val="0"/>
  </w:num>
  <w:num w:numId="21" w16cid:durableId="1916282895">
    <w:abstractNumId w:val="9"/>
  </w:num>
  <w:num w:numId="22" w16cid:durableId="2103841668">
    <w:abstractNumId w:val="7"/>
  </w:num>
  <w:num w:numId="23" w16cid:durableId="710615032">
    <w:abstractNumId w:val="6"/>
  </w:num>
  <w:num w:numId="24" w16cid:durableId="1662386929">
    <w:abstractNumId w:val="5"/>
  </w:num>
  <w:num w:numId="25" w16cid:durableId="76169366">
    <w:abstractNumId w:val="4"/>
  </w:num>
  <w:num w:numId="26" w16cid:durableId="81604496">
    <w:abstractNumId w:val="8"/>
  </w:num>
  <w:num w:numId="27" w16cid:durableId="1419401828">
    <w:abstractNumId w:val="3"/>
  </w:num>
  <w:num w:numId="28" w16cid:durableId="2057582414">
    <w:abstractNumId w:val="2"/>
  </w:num>
  <w:num w:numId="29" w16cid:durableId="1746950711">
    <w:abstractNumId w:val="1"/>
  </w:num>
  <w:num w:numId="30" w16cid:durableId="1799910478">
    <w:abstractNumId w:val="0"/>
  </w:num>
  <w:num w:numId="31" w16cid:durableId="900479699">
    <w:abstractNumId w:val="9"/>
  </w:num>
  <w:num w:numId="32" w16cid:durableId="349183992">
    <w:abstractNumId w:val="7"/>
  </w:num>
  <w:num w:numId="33" w16cid:durableId="924800856">
    <w:abstractNumId w:val="6"/>
  </w:num>
  <w:num w:numId="34" w16cid:durableId="925261612">
    <w:abstractNumId w:val="5"/>
  </w:num>
  <w:num w:numId="35" w16cid:durableId="1740783606">
    <w:abstractNumId w:val="4"/>
  </w:num>
  <w:num w:numId="36" w16cid:durableId="131485132">
    <w:abstractNumId w:val="8"/>
  </w:num>
  <w:num w:numId="37" w16cid:durableId="1578859581">
    <w:abstractNumId w:val="3"/>
  </w:num>
  <w:num w:numId="38" w16cid:durableId="2132243289">
    <w:abstractNumId w:val="2"/>
  </w:num>
  <w:num w:numId="39" w16cid:durableId="1674986327">
    <w:abstractNumId w:val="1"/>
  </w:num>
  <w:num w:numId="40" w16cid:durableId="1264605459">
    <w:abstractNumId w:val="0"/>
  </w:num>
  <w:num w:numId="41" w16cid:durableId="1535381927">
    <w:abstractNumId w:val="10"/>
  </w:num>
  <w:num w:numId="42" w16cid:durableId="909581881">
    <w:abstractNumId w:val="10"/>
  </w:num>
  <w:num w:numId="43" w16cid:durableId="1289892149">
    <w:abstractNumId w:val="10"/>
  </w:num>
  <w:num w:numId="44" w16cid:durableId="4526035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EL"/>
    <w:docVar w:name="dvnumam" w:val="0"/>
    <w:docVar w:name="dvpe" w:val="766.600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που αφορά την τροποποίηση του κανονισμού (ΕΕ) αριθ. 1026/2012 για τη λήψη ορισμένων μέτρων με στόχο τη διατήρηση των ιχθυαποθεμάτων, κατά των χωρών οι οποίες επιτρέπουν τη διεξαγωγή μη βιώσιμης αλιείας(COM(2024)0407 – C10-0098/2024 – 2024/0224(COD))"/>
  </w:docVars>
  <w:rsids>
    <w:rsidRoot w:val="00111593"/>
    <w:rsid w:val="00002272"/>
    <w:rsid w:val="000459BC"/>
    <w:rsid w:val="00064002"/>
    <w:rsid w:val="000677B9"/>
    <w:rsid w:val="000831BA"/>
    <w:rsid w:val="000A42CC"/>
    <w:rsid w:val="000E7DD9"/>
    <w:rsid w:val="0010095E"/>
    <w:rsid w:val="00111593"/>
    <w:rsid w:val="00125B37"/>
    <w:rsid w:val="00187494"/>
    <w:rsid w:val="001F32AE"/>
    <w:rsid w:val="00210729"/>
    <w:rsid w:val="0025787C"/>
    <w:rsid w:val="002767FF"/>
    <w:rsid w:val="002B18FE"/>
    <w:rsid w:val="002B5493"/>
    <w:rsid w:val="0034016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FA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95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9B5"/>
    <w:rsid w:val="008F0FE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22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E83"/>
    <w:rsid w:val="00E2477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F7BCB"/>
  <w15:chartTrackingRefBased/>
  <w15:docId w15:val="{B7B713BF-78EB-4972-A711-8A3DD0CCC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24FA3"/>
    <w:rPr>
      <w:b/>
    </w:rPr>
  </w:style>
  <w:style w:type="paragraph" w:customStyle="1" w:styleId="NormalBold12a">
    <w:name w:val="NormalBold12a"/>
    <w:basedOn w:val="Normal"/>
    <w:rsid w:val="00524FA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24FA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524F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24FA3"/>
    <w:pPr>
      <w:spacing w:before="240"/>
    </w:pPr>
    <w:rPr>
      <w:b/>
    </w:rPr>
  </w:style>
  <w:style w:type="paragraph" w:customStyle="1" w:styleId="EPComma">
    <w:name w:val="EPComma"/>
    <w:basedOn w:val="Normal"/>
    <w:rsid w:val="00524FA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24FA3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524FA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24FA3"/>
    <w:rPr>
      <w:b/>
      <w:sz w:val="24"/>
      <w:lang w:val="el-GR"/>
    </w:rPr>
  </w:style>
  <w:style w:type="paragraph" w:customStyle="1" w:styleId="ColumnHeading">
    <w:name w:val="ColumnHeading"/>
    <w:basedOn w:val="Normal"/>
    <w:rsid w:val="00524FA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24F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24FA3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8E59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59B5"/>
    <w:rPr>
      <w:rFonts w:ascii="Segoe UI" w:hAnsi="Segoe UI" w:cs="Segoe UI"/>
      <w:sz w:val="18"/>
      <w:szCs w:val="18"/>
      <w:lang w:val="el-GR"/>
    </w:rPr>
  </w:style>
  <w:style w:type="character" w:styleId="Hyperlink">
    <w:name w:val="Hyperlink"/>
    <w:basedOn w:val="DefaultParagraphFont"/>
    <w:rsid w:val="008E59B5"/>
    <w:rPr>
      <w:color w:val="0563C1" w:themeColor="hyperlink"/>
      <w:u w:val="single"/>
    </w:rPr>
  </w:style>
  <w:style w:type="paragraph" w:customStyle="1" w:styleId="FootnoteTextForceStyle">
    <w:name w:val="Footnote Text ForceStyle"/>
    <w:rsid w:val="00210729"/>
    <w:pPr>
      <w:keepLines/>
      <w:widowControl w:val="0"/>
      <w:spacing w:line="240" w:lineRule="exact"/>
      <w:ind w:left="850" w:hanging="850"/>
    </w:pPr>
    <w:rPr>
      <w:sz w:val="24"/>
      <w:lang w:val="el-GR" w:eastAsia="en-US"/>
    </w:rPr>
  </w:style>
  <w:style w:type="character" w:customStyle="1" w:styleId="Hyperlink1">
    <w:name w:val="Hyperlink1"/>
    <w:basedOn w:val="DefaultParagraphFont"/>
    <w:unhideWhenUsed/>
    <w:rsid w:val="002107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48156-EAF5-4681-9993-7B264F9D0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CHRISTOFOROU Nikolaos</cp:lastModifiedBy>
  <cp:revision>2</cp:revision>
  <cp:lastPrinted>2004-11-19T15:42:00Z</cp:lastPrinted>
  <dcterms:created xsi:type="dcterms:W3CDTF">2025-10-21T10:39:00Z</dcterms:created>
  <dcterms:modified xsi:type="dcterms:W3CDTF">2025-10-21T10:39:00Z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