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7ABC" w14:paraId="5FC185C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E88C89" w14:textId="77777777" w:rsidR="00751A4A" w:rsidRPr="00FE7ABC" w:rsidRDefault="006C7AC8" w:rsidP="0010095E">
            <w:pPr>
              <w:pStyle w:val="EPName"/>
            </w:pPr>
            <w:r w:rsidRPr="00FE7ABC">
              <w:t>Euroopan parlamentti</w:t>
            </w:r>
          </w:p>
          <w:p w14:paraId="3264372A" w14:textId="77777777" w:rsidR="00751A4A" w:rsidRPr="00FE7A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7ABC">
              <w:t>2024</w:t>
            </w:r>
            <w:r w:rsidR="00817416" w:rsidRPr="00FE7ABC">
              <w:t>-202</w:t>
            </w:r>
            <w:r w:rsidRPr="00FE7ABC">
              <w:t>9</w:t>
            </w:r>
          </w:p>
        </w:tc>
        <w:tc>
          <w:tcPr>
            <w:tcW w:w="2268" w:type="dxa"/>
            <w:shd w:val="clear" w:color="auto" w:fill="auto"/>
          </w:tcPr>
          <w:p w14:paraId="49A52677" w14:textId="77777777" w:rsidR="00751A4A" w:rsidRPr="00FE7ABC" w:rsidRDefault="00187494" w:rsidP="0010095E">
            <w:pPr>
              <w:pStyle w:val="EPLogo"/>
            </w:pPr>
            <w:r w:rsidRPr="00FE7ABC">
              <w:rPr>
                <w:noProof/>
                <w:lang w:val="en-GB"/>
              </w:rPr>
              <w:drawing>
                <wp:inline distT="0" distB="0" distL="0" distR="0" wp14:anchorId="738E72D6" wp14:editId="3AD869F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355E36" w14:textId="77777777" w:rsidR="00D058B8" w:rsidRPr="00FE7ABC" w:rsidRDefault="00D058B8" w:rsidP="004C5D52">
      <w:pPr>
        <w:pStyle w:val="LineTop"/>
      </w:pPr>
    </w:p>
    <w:p w14:paraId="006C0554" w14:textId="77777777" w:rsidR="00680577" w:rsidRPr="00FE7ABC" w:rsidRDefault="006C7AC8" w:rsidP="00680577">
      <w:pPr>
        <w:pStyle w:val="EPBodyTA1"/>
      </w:pPr>
      <w:r w:rsidRPr="00FE7ABC">
        <w:t>HYVÄKSYTYT TEKSTIT</w:t>
      </w:r>
    </w:p>
    <w:p w14:paraId="4B151479" w14:textId="77777777" w:rsidR="00D058B8" w:rsidRPr="00FE7ABC" w:rsidRDefault="00D058B8" w:rsidP="00D058B8">
      <w:pPr>
        <w:pStyle w:val="LineBottom"/>
      </w:pPr>
    </w:p>
    <w:p w14:paraId="02BF3F34" w14:textId="77777777" w:rsidR="006C7AC8" w:rsidRPr="00FE7ABC" w:rsidRDefault="006C7AC8" w:rsidP="006C7AC8">
      <w:pPr>
        <w:pStyle w:val="ATHeading1"/>
      </w:pPr>
      <w:bookmarkStart w:id="0" w:name="TANumber"/>
      <w:r w:rsidRPr="00FE7ABC">
        <w:t>P10_TA(2025)0</w:t>
      </w:r>
      <w:r w:rsidR="00FE7ABC" w:rsidRPr="00FE7ABC">
        <w:t>15</w:t>
      </w:r>
      <w:r w:rsidR="00AC25DD">
        <w:t>0</w:t>
      </w:r>
      <w:bookmarkEnd w:id="0"/>
    </w:p>
    <w:p w14:paraId="7DE85347" w14:textId="77777777" w:rsidR="006C7AC8" w:rsidRPr="00FE7ABC" w:rsidRDefault="003B5C2F" w:rsidP="003B5C2F">
      <w:pPr>
        <w:pStyle w:val="ATHeading2"/>
      </w:pPr>
      <w:bookmarkStart w:id="1" w:name="title"/>
      <w:r w:rsidRPr="00FE7ABC">
        <w:rPr>
          <w:bCs/>
        </w:rPr>
        <w:t>Tietyistä kalakantojen säilyttämiseksi toteutettavista kestämättömän kalastuksen salliviin maihin liittyvistä toimenpiteistä annetun asetuksen (EU) N:o 1026/2012 muuttaminen</w:t>
      </w:r>
      <w:bookmarkEnd w:id="1"/>
    </w:p>
    <w:p w14:paraId="54CFBD23" w14:textId="77777777" w:rsidR="006C7AC8" w:rsidRPr="00FE7ABC" w:rsidRDefault="006C7AC8" w:rsidP="006C7AC8">
      <w:pPr>
        <w:rPr>
          <w:i/>
          <w:vanish/>
        </w:rPr>
      </w:pPr>
      <w:r w:rsidRPr="00FE7ABC">
        <w:rPr>
          <w:i/>
        </w:rPr>
        <w:fldChar w:fldCharType="begin"/>
      </w:r>
      <w:r w:rsidRPr="00FE7ABC">
        <w:rPr>
          <w:i/>
        </w:rPr>
        <w:instrText xml:space="preserve"> TC"(</w:instrText>
      </w:r>
      <w:bookmarkStart w:id="2" w:name="DocNumber"/>
      <w:r w:rsidRPr="00FE7ABC">
        <w:rPr>
          <w:i/>
        </w:rPr>
        <w:instrText>A10-0070/2025</w:instrText>
      </w:r>
      <w:bookmarkEnd w:id="2"/>
      <w:r w:rsidRPr="00FE7ABC">
        <w:rPr>
          <w:i/>
        </w:rPr>
        <w:instrText xml:space="preserve"> - Esittelijä: Thomas Bajada)"\l3 \n&gt; \* MERGEFORMAT </w:instrText>
      </w:r>
      <w:r w:rsidRPr="00FE7ABC">
        <w:rPr>
          <w:i/>
        </w:rPr>
        <w:fldChar w:fldCharType="end"/>
      </w:r>
    </w:p>
    <w:p w14:paraId="4097B950" w14:textId="77777777" w:rsidR="006C7AC8" w:rsidRPr="00FE7ABC" w:rsidRDefault="006C7AC8" w:rsidP="006C7AC8">
      <w:pPr>
        <w:rPr>
          <w:vanish/>
        </w:rPr>
      </w:pPr>
      <w:bookmarkStart w:id="3" w:name="Commission"/>
      <w:r w:rsidRPr="00FE7ABC">
        <w:rPr>
          <w:vanish/>
        </w:rPr>
        <w:t>Kalatalousvaliokunta</w:t>
      </w:r>
      <w:bookmarkEnd w:id="3"/>
    </w:p>
    <w:p w14:paraId="17AD047D" w14:textId="77777777" w:rsidR="006C7AC8" w:rsidRPr="00FE7ABC" w:rsidRDefault="006C7AC8" w:rsidP="006C7AC8">
      <w:pPr>
        <w:rPr>
          <w:vanish/>
        </w:rPr>
      </w:pPr>
      <w:bookmarkStart w:id="4" w:name="PE"/>
      <w:r w:rsidRPr="00FE7ABC">
        <w:rPr>
          <w:vanish/>
        </w:rPr>
        <w:t>PE766.600</w:t>
      </w:r>
      <w:bookmarkEnd w:id="4"/>
    </w:p>
    <w:p w14:paraId="6391DB64" w14:textId="77777777" w:rsidR="006C7AC8" w:rsidRPr="00FE7ABC" w:rsidRDefault="006C7AC8" w:rsidP="006C7AC8">
      <w:pPr>
        <w:pStyle w:val="ATHeading3"/>
      </w:pPr>
      <w:bookmarkStart w:id="5" w:name="Sujet"/>
      <w:r w:rsidRPr="00FE7ABC">
        <w:t xml:space="preserve">Euroopan parlamentin lainsäädäntöpäätöslauselma </w:t>
      </w:r>
      <w:r w:rsidR="00E75F15" w:rsidRPr="00FE7ABC">
        <w:t>9</w:t>
      </w:r>
      <w:r w:rsidRPr="00FE7ABC">
        <w:t>. heinäkuuta 2025 ehdotuksesta Euroopan parlamentin ja neuvoston asetukseksi tietyistä kalakantojen säilyttämiseksi toteutettavista kestämättömän kalastuksen salliviin maihin liittyvistä toimenpiteistä annetun asetuksen (EU) N:o 1026/2012 muuttamisesta</w:t>
      </w:r>
      <w:bookmarkEnd w:id="5"/>
      <w:r w:rsidRPr="00FE7ABC">
        <w:t xml:space="preserve"> </w:t>
      </w:r>
      <w:bookmarkStart w:id="6" w:name="References"/>
      <w:r w:rsidRPr="00FE7ABC">
        <w:t>(COM(2024)0407 – C10-0098/2024 – 2024/0224(COD))</w:t>
      </w:r>
      <w:bookmarkEnd w:id="6"/>
    </w:p>
    <w:p w14:paraId="6D9A7D11" w14:textId="77777777" w:rsidR="007F407B" w:rsidRPr="00FE7ABC" w:rsidRDefault="007F407B" w:rsidP="007F407B">
      <w:pPr>
        <w:pStyle w:val="NormalBold"/>
      </w:pPr>
      <w:r w:rsidRPr="00FE7ABC">
        <w:t>(Tavallinen lainsäätämisjärjestys: ensimmäinen käsittely)</w:t>
      </w:r>
    </w:p>
    <w:p w14:paraId="5ABCEB09" w14:textId="77777777" w:rsidR="007F407B" w:rsidRPr="00FE7ABC" w:rsidRDefault="007F407B" w:rsidP="003B5C2F">
      <w:pPr>
        <w:pStyle w:val="EPComma"/>
        <w:widowControl/>
      </w:pPr>
      <w:r w:rsidRPr="00FE7ABC">
        <w:rPr>
          <w:i/>
          <w:iCs/>
        </w:rPr>
        <w:t>Euroopan parlamentti</w:t>
      </w:r>
      <w:r w:rsidRPr="00FE7ABC">
        <w:t>, joka</w:t>
      </w:r>
    </w:p>
    <w:p w14:paraId="1C91ADD6" w14:textId="77777777" w:rsidR="007F407B" w:rsidRPr="00FE7ABC" w:rsidRDefault="007F407B" w:rsidP="003B5C2F">
      <w:pPr>
        <w:pStyle w:val="NormalHanging12a"/>
        <w:widowControl/>
      </w:pPr>
      <w:r w:rsidRPr="00FE7ABC">
        <w:t>–</w:t>
      </w:r>
      <w:r w:rsidRPr="00FE7ABC">
        <w:tab/>
        <w:t>ottaa huomioon komission ehdotuksen Euroopan parlamentille ja neuvostolle (COM(2024)0407),</w:t>
      </w:r>
    </w:p>
    <w:p w14:paraId="1BC69DFF" w14:textId="77777777" w:rsidR="007F407B" w:rsidRPr="00FE7ABC" w:rsidRDefault="007F407B" w:rsidP="003B5C2F">
      <w:pPr>
        <w:pStyle w:val="NormalHanging12a"/>
        <w:widowControl/>
      </w:pPr>
      <w:r w:rsidRPr="00FE7ABC">
        <w:t>–</w:t>
      </w:r>
      <w:r w:rsidRPr="00FE7ABC">
        <w:tab/>
        <w:t>ottaa huomioon Euroopan unionin toiminnasta tehdyn sopimuksen 294 artiklan 2 kohdan sekä 43 artiklan 2 kohdan ja 207 artiklan, joiden mukaisesti komissio on antanut ehdotuksen Euroopan parlamentille (C10</w:t>
      </w:r>
      <w:r w:rsidRPr="00FE7ABC">
        <w:noBreakHyphen/>
        <w:t>0098/2024),</w:t>
      </w:r>
    </w:p>
    <w:p w14:paraId="2DA7FC68" w14:textId="77777777" w:rsidR="007F407B" w:rsidRPr="00FE7ABC" w:rsidRDefault="007F407B" w:rsidP="003B5C2F">
      <w:pPr>
        <w:pStyle w:val="NormalHanging12a"/>
        <w:widowControl/>
      </w:pPr>
      <w:r w:rsidRPr="00FE7ABC">
        <w:t>–</w:t>
      </w:r>
      <w:r w:rsidRPr="00FE7ABC">
        <w:tab/>
        <w:t>ottaa huomioon Euroopan unionin toiminnasta tehdyn sopimuksen 294 artiklan 3 kohdan,</w:t>
      </w:r>
    </w:p>
    <w:p w14:paraId="208AE12C" w14:textId="77777777" w:rsidR="007F407B" w:rsidRPr="00FE7ABC" w:rsidRDefault="007F407B" w:rsidP="003B5C2F">
      <w:pPr>
        <w:pStyle w:val="NormalHanging12a"/>
        <w:widowControl/>
      </w:pPr>
      <w:r w:rsidRPr="00FE7ABC">
        <w:t>–</w:t>
      </w:r>
      <w:r w:rsidRPr="00FE7ABC">
        <w:tab/>
        <w:t>ottaa huomioon Euroopan talous- ja sosiaalikomitean 22. tammikuuta 2025 antaman lausunnon</w:t>
      </w:r>
      <w:r w:rsidRPr="00FE7ABC">
        <w:rPr>
          <w:rStyle w:val="FootnoteReference"/>
        </w:rPr>
        <w:footnoteReference w:id="1"/>
      </w:r>
      <w:r w:rsidRPr="00FE7ABC">
        <w:t>,</w:t>
      </w:r>
    </w:p>
    <w:p w14:paraId="0AED2217" w14:textId="77777777" w:rsidR="00E75F15" w:rsidRPr="00FE7ABC" w:rsidRDefault="00E75F15" w:rsidP="00E75F15">
      <w:pPr>
        <w:pStyle w:val="NormalHanging12a"/>
        <w:widowControl/>
      </w:pPr>
      <w:r w:rsidRPr="00FE7ABC">
        <w:rPr>
          <w:szCs w:val="24"/>
        </w:rPr>
        <w:t>–</w:t>
      </w:r>
      <w:r w:rsidRPr="00FE7ABC">
        <w:rPr>
          <w:szCs w:val="24"/>
        </w:rPr>
        <w:tab/>
        <w:t>ottaa huomioon asiasta vastaavan valiokunnan työjärjestyksen 75 artiklan 4 kohdan mukaisesti hyväksymän alustavan sopimuksen</w:t>
      </w:r>
      <w:r w:rsidRPr="00FE7ABC">
        <w:t xml:space="preserve"> </w:t>
      </w:r>
      <w:r w:rsidRPr="00FE7ABC">
        <w:rPr>
          <w:szCs w:val="24"/>
        </w:rPr>
        <w:t>sekä</w:t>
      </w:r>
      <w:r w:rsidRPr="00FE7ABC">
        <w:t xml:space="preserve"> </w:t>
      </w:r>
      <w:r w:rsidRPr="00FE7ABC">
        <w:rPr>
          <w:szCs w:val="24"/>
        </w:rPr>
        <w:t>neuvoston edustajan 11. kesäkuuta 2025 päivätyllä kirjeellä antaman sitoumuksen hyväksyä Euroopan parlamentin kanta Euroopan unionin toiminnasta tehdyn sopimuksen 294 artiklan 4 kohdan mukaisesti,</w:t>
      </w:r>
    </w:p>
    <w:p w14:paraId="46417C4F" w14:textId="77777777" w:rsidR="007F407B" w:rsidRPr="00FE7ABC" w:rsidRDefault="007F407B" w:rsidP="003B5C2F">
      <w:pPr>
        <w:pStyle w:val="NormalHanging12a"/>
        <w:widowControl/>
      </w:pPr>
      <w:r w:rsidRPr="00FE7ABC">
        <w:t>–</w:t>
      </w:r>
      <w:r w:rsidRPr="00FE7ABC">
        <w:tab/>
        <w:t>ottaa huomioon työjärjestyksen 60 artiklan,</w:t>
      </w:r>
    </w:p>
    <w:p w14:paraId="594AC621" w14:textId="77777777" w:rsidR="007F407B" w:rsidRPr="00FE7ABC" w:rsidRDefault="007F407B" w:rsidP="003B5C2F">
      <w:pPr>
        <w:pStyle w:val="NormalHanging12a"/>
        <w:widowControl/>
      </w:pPr>
      <w:r w:rsidRPr="00FE7ABC">
        <w:t>–</w:t>
      </w:r>
      <w:r w:rsidRPr="00FE7ABC">
        <w:tab/>
        <w:t>ottaa huomioon kalatalousvaliokunnan mietinnön (A10-0070/2025),</w:t>
      </w:r>
    </w:p>
    <w:p w14:paraId="249FBB41" w14:textId="77777777" w:rsidR="007F407B" w:rsidRPr="00FE7ABC" w:rsidRDefault="007F407B" w:rsidP="003B5C2F">
      <w:pPr>
        <w:pStyle w:val="NormalHanging12a"/>
        <w:widowControl/>
      </w:pPr>
      <w:r w:rsidRPr="00FE7ABC">
        <w:t>1.</w:t>
      </w:r>
      <w:r w:rsidRPr="00FE7ABC">
        <w:tab/>
        <w:t>vahvistaa jäljempänä esitetyn ensimmäisen käsittelyn kannan;</w:t>
      </w:r>
    </w:p>
    <w:p w14:paraId="1EDF693C" w14:textId="77777777" w:rsidR="007F407B" w:rsidRPr="00FE7ABC" w:rsidRDefault="007F407B" w:rsidP="003B5C2F">
      <w:pPr>
        <w:pStyle w:val="NormalHanging12a"/>
        <w:widowControl/>
      </w:pPr>
      <w:r w:rsidRPr="00FE7ABC">
        <w:lastRenderedPageBreak/>
        <w:t>2.</w:t>
      </w:r>
      <w:r w:rsidRPr="00FE7ABC">
        <w:tab/>
        <w:t>pyytää komissiota antamaan asian uudelleen Euroopan parlamentin käsiteltäväksi, jos se korvaa ehdotuksensa, muuttaa sitä huomattavasti tai aikoo muuttaa sitä huomattavasti;</w:t>
      </w:r>
    </w:p>
    <w:p w14:paraId="7BD4D43F" w14:textId="77777777" w:rsidR="00E75F15" w:rsidRPr="00FE7ABC" w:rsidRDefault="007F407B" w:rsidP="003B5C2F">
      <w:pPr>
        <w:pStyle w:val="NormalHanging12a"/>
        <w:widowControl/>
      </w:pPr>
      <w:r w:rsidRPr="00FE7ABC">
        <w:t>3.</w:t>
      </w:r>
      <w:r w:rsidRPr="00FE7ABC">
        <w:tab/>
        <w:t>kehottaa puhemiestä välittämään parlamentin kannan neuvostolle ja komissiolle sekä kansallisille parlamenteille.</w:t>
      </w:r>
    </w:p>
    <w:p w14:paraId="2EDF7098" w14:textId="77777777" w:rsidR="00CD3F17" w:rsidRDefault="00CD3F17" w:rsidP="008721C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CD3F17" w:rsidSect="00E46B2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CEF4CDC" w14:textId="77777777" w:rsidR="008721CA" w:rsidRPr="00FE7ABC" w:rsidRDefault="008721CA" w:rsidP="008721C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E7ABC">
        <w:rPr>
          <w:rFonts w:eastAsia="Calibri"/>
          <w:b/>
          <w:bCs/>
          <w:color w:val="000000"/>
          <w:szCs w:val="24"/>
        </w:rPr>
        <w:lastRenderedPageBreak/>
        <w:t>P10_TC1-COD(2024)0224</w:t>
      </w:r>
    </w:p>
    <w:p w14:paraId="1364855E" w14:textId="77777777" w:rsidR="00CF7A4D" w:rsidRPr="00FE7ABC" w:rsidRDefault="00CF7A4D" w:rsidP="008721CA">
      <w:pPr>
        <w:spacing w:after="240"/>
        <w:rPr>
          <w:b/>
          <w:szCs w:val="24"/>
          <w:lang w:eastAsia="en-US"/>
        </w:rPr>
      </w:pPr>
      <w:r w:rsidRPr="00FE7ABC">
        <w:rPr>
          <w:b/>
          <w:szCs w:val="24"/>
        </w:rPr>
        <w:t xml:space="preserve">Euroopan parlamentin kanta, vahvistettu ensimmäisessä käsittelyssä </w:t>
      </w:r>
      <w:r w:rsidR="008721CA" w:rsidRPr="00FE7ABC">
        <w:rPr>
          <w:b/>
          <w:szCs w:val="24"/>
        </w:rPr>
        <w:t>9</w:t>
      </w:r>
      <w:r w:rsidRPr="00FE7ABC">
        <w:rPr>
          <w:b/>
          <w:szCs w:val="24"/>
        </w:rPr>
        <w:t xml:space="preserve">. </w:t>
      </w:r>
      <w:r w:rsidR="008721CA" w:rsidRPr="00FE7ABC">
        <w:rPr>
          <w:b/>
          <w:szCs w:val="24"/>
        </w:rPr>
        <w:t>heinä</w:t>
      </w:r>
      <w:r w:rsidRPr="00FE7ABC">
        <w:rPr>
          <w:b/>
          <w:szCs w:val="24"/>
        </w:rPr>
        <w:t>kuuta 2025, Euroopan parlamentin ja neuvoston asetuksen</w:t>
      </w:r>
      <w:r w:rsidR="008721CA" w:rsidRPr="00FE7ABC">
        <w:rPr>
          <w:b/>
          <w:szCs w:val="24"/>
        </w:rPr>
        <w:t xml:space="preserve"> </w:t>
      </w:r>
      <w:r w:rsidRPr="00FE7ABC">
        <w:rPr>
          <w:b/>
          <w:szCs w:val="24"/>
        </w:rPr>
        <w:t>(EU) 202</w:t>
      </w:r>
      <w:r w:rsidR="00621CE1" w:rsidRPr="00FE7ABC">
        <w:rPr>
          <w:b/>
          <w:szCs w:val="24"/>
        </w:rPr>
        <w:t>5</w:t>
      </w:r>
      <w:r w:rsidRPr="00FE7ABC">
        <w:rPr>
          <w:b/>
          <w:szCs w:val="24"/>
        </w:rPr>
        <w:t xml:space="preserve">/… antamiseksi </w:t>
      </w:r>
      <w:r w:rsidRPr="00FE7ABC">
        <w:rPr>
          <w:b/>
          <w:szCs w:val="24"/>
          <w:lang w:eastAsia="en-US"/>
        </w:rPr>
        <w:t>tietyistä kalakantojen säilyttämiseksi toteutettavista kestämättömän kalastuksen salliviin maihin liittyvistä toimenpiteistä annetun asetuksen (EU) N:o 1026/2012 muuttamisesta</w:t>
      </w:r>
    </w:p>
    <w:p w14:paraId="09A5E46F" w14:textId="69E60C86" w:rsidR="00D143D5" w:rsidRDefault="00D143D5" w:rsidP="00D143D5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2025</w:t>
      </w:r>
      <w:r w:rsidRPr="002F34F6">
        <w:rPr>
          <w:i/>
          <w:szCs w:val="24"/>
        </w:rPr>
        <w:t>/</w:t>
      </w:r>
      <w:r w:rsidRPr="00D143D5">
        <w:rPr>
          <w:i/>
          <w:szCs w:val="24"/>
        </w:rPr>
        <w:t>2077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p w14:paraId="0FA622B7" w14:textId="77777777" w:rsidR="00E75F15" w:rsidRDefault="00E75F15" w:rsidP="00D143D5">
      <w:pPr>
        <w:keepNext/>
        <w:spacing w:before="600" w:after="120" w:line="360" w:lineRule="auto"/>
      </w:pPr>
    </w:p>
    <w:sectPr w:rsidR="00E75F15" w:rsidSect="00E46B2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7E0B6" w14:textId="77777777" w:rsidR="006C7AC8" w:rsidRPr="00E46B22" w:rsidRDefault="006C7AC8">
      <w:r w:rsidRPr="00E46B22">
        <w:separator/>
      </w:r>
    </w:p>
  </w:endnote>
  <w:endnote w:type="continuationSeparator" w:id="0">
    <w:p w14:paraId="71DF2523" w14:textId="77777777" w:rsidR="006C7AC8" w:rsidRPr="00E46B22" w:rsidRDefault="006C7AC8">
      <w:r w:rsidRPr="00E46B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D21FF" w14:textId="77777777" w:rsidR="006C7AC8" w:rsidRPr="00E46B22" w:rsidRDefault="006C7AC8">
      <w:r w:rsidRPr="00E46B22">
        <w:separator/>
      </w:r>
    </w:p>
  </w:footnote>
  <w:footnote w:type="continuationSeparator" w:id="0">
    <w:p w14:paraId="38B244EA" w14:textId="77777777" w:rsidR="006C7AC8" w:rsidRPr="00E46B22" w:rsidRDefault="006C7AC8">
      <w:r w:rsidRPr="00E46B22">
        <w:continuationSeparator/>
      </w:r>
    </w:p>
  </w:footnote>
  <w:footnote w:id="1">
    <w:p w14:paraId="3F440064" w14:textId="77777777" w:rsidR="007F407B" w:rsidRPr="00E46B22" w:rsidRDefault="007F407B" w:rsidP="00E46B22">
      <w:pPr>
        <w:pStyle w:val="FootnoteText"/>
        <w:ind w:left="567" w:hanging="567"/>
        <w:rPr>
          <w:sz w:val="24"/>
          <w:lang w:val="fi-FI"/>
        </w:rPr>
      </w:pPr>
      <w:r w:rsidRPr="00E46B22">
        <w:rPr>
          <w:rStyle w:val="FootnoteReference"/>
          <w:sz w:val="24"/>
          <w:lang w:val="fi-FI"/>
        </w:rPr>
        <w:footnoteRef/>
      </w:r>
      <w:r w:rsidR="00E46B22" w:rsidRPr="00E46B22">
        <w:rPr>
          <w:sz w:val="24"/>
          <w:lang w:val="fi-FI"/>
        </w:rPr>
        <w:t xml:space="preserve"> </w:t>
      </w:r>
      <w:r w:rsidR="00E46B22" w:rsidRPr="00E46B22">
        <w:rPr>
          <w:sz w:val="24"/>
          <w:lang w:val="fi-FI"/>
        </w:rPr>
        <w:tab/>
      </w:r>
      <w:r w:rsidRPr="00E46B22">
        <w:rPr>
          <w:sz w:val="24"/>
          <w:lang w:val="fi-FI"/>
        </w:rPr>
        <w:t xml:space="preserve">EUVL C, C/2025/1191, 21.3.2025, ELI: </w:t>
      </w:r>
      <w:hyperlink r:id="rId1" w:history="1">
        <w:r w:rsidR="00E75F15" w:rsidRPr="00EF433B">
          <w:rPr>
            <w:rStyle w:val="Hyperlink"/>
            <w:sz w:val="24"/>
            <w:lang w:val="fi-FI"/>
          </w:rPr>
          <w:t>http://data.europa.eu/eli/C/2025/1191/oj</w:t>
        </w:r>
      </w:hyperlink>
      <w:r w:rsidRPr="00E46B22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9964685">
    <w:abstractNumId w:val="9"/>
  </w:num>
  <w:num w:numId="2" w16cid:durableId="779297060">
    <w:abstractNumId w:val="9"/>
  </w:num>
  <w:num w:numId="3" w16cid:durableId="1801419464">
    <w:abstractNumId w:val="7"/>
  </w:num>
  <w:num w:numId="4" w16cid:durableId="1090736764">
    <w:abstractNumId w:val="7"/>
  </w:num>
  <w:num w:numId="5" w16cid:durableId="767502407">
    <w:abstractNumId w:val="6"/>
  </w:num>
  <w:num w:numId="6" w16cid:durableId="1181161028">
    <w:abstractNumId w:val="6"/>
  </w:num>
  <w:num w:numId="7" w16cid:durableId="1975985515">
    <w:abstractNumId w:val="5"/>
  </w:num>
  <w:num w:numId="8" w16cid:durableId="16735680">
    <w:abstractNumId w:val="5"/>
  </w:num>
  <w:num w:numId="9" w16cid:durableId="623775010">
    <w:abstractNumId w:val="4"/>
  </w:num>
  <w:num w:numId="10" w16cid:durableId="2052729550">
    <w:abstractNumId w:val="4"/>
  </w:num>
  <w:num w:numId="11" w16cid:durableId="529956657">
    <w:abstractNumId w:val="8"/>
  </w:num>
  <w:num w:numId="12" w16cid:durableId="2145193107">
    <w:abstractNumId w:val="8"/>
  </w:num>
  <w:num w:numId="13" w16cid:durableId="622271771">
    <w:abstractNumId w:val="3"/>
  </w:num>
  <w:num w:numId="14" w16cid:durableId="550506695">
    <w:abstractNumId w:val="3"/>
  </w:num>
  <w:num w:numId="15" w16cid:durableId="1343781836">
    <w:abstractNumId w:val="2"/>
  </w:num>
  <w:num w:numId="16" w16cid:durableId="639071304">
    <w:abstractNumId w:val="2"/>
  </w:num>
  <w:num w:numId="17" w16cid:durableId="374694398">
    <w:abstractNumId w:val="1"/>
  </w:num>
  <w:num w:numId="18" w16cid:durableId="1778519994">
    <w:abstractNumId w:val="1"/>
  </w:num>
  <w:num w:numId="19" w16cid:durableId="395393595">
    <w:abstractNumId w:val="0"/>
  </w:num>
  <w:num w:numId="20" w16cid:durableId="117265042">
    <w:abstractNumId w:val="0"/>
  </w:num>
  <w:num w:numId="21" w16cid:durableId="1490950017">
    <w:abstractNumId w:val="9"/>
  </w:num>
  <w:num w:numId="22" w16cid:durableId="1121457921">
    <w:abstractNumId w:val="7"/>
  </w:num>
  <w:num w:numId="23" w16cid:durableId="1505705415">
    <w:abstractNumId w:val="6"/>
  </w:num>
  <w:num w:numId="24" w16cid:durableId="1010257471">
    <w:abstractNumId w:val="5"/>
  </w:num>
  <w:num w:numId="25" w16cid:durableId="540941799">
    <w:abstractNumId w:val="4"/>
  </w:num>
  <w:num w:numId="26" w16cid:durableId="2024821251">
    <w:abstractNumId w:val="8"/>
  </w:num>
  <w:num w:numId="27" w16cid:durableId="1257639103">
    <w:abstractNumId w:val="3"/>
  </w:num>
  <w:num w:numId="28" w16cid:durableId="1004742792">
    <w:abstractNumId w:val="2"/>
  </w:num>
  <w:num w:numId="29" w16cid:durableId="1475299055">
    <w:abstractNumId w:val="1"/>
  </w:num>
  <w:num w:numId="30" w16cid:durableId="10571469">
    <w:abstractNumId w:val="0"/>
  </w:num>
  <w:num w:numId="31" w16cid:durableId="1831091827">
    <w:abstractNumId w:val="9"/>
  </w:num>
  <w:num w:numId="32" w16cid:durableId="534736510">
    <w:abstractNumId w:val="7"/>
  </w:num>
  <w:num w:numId="33" w16cid:durableId="2032605276">
    <w:abstractNumId w:val="6"/>
  </w:num>
  <w:num w:numId="34" w16cid:durableId="986325017">
    <w:abstractNumId w:val="5"/>
  </w:num>
  <w:num w:numId="35" w16cid:durableId="495925850">
    <w:abstractNumId w:val="4"/>
  </w:num>
  <w:num w:numId="36" w16cid:durableId="356388611">
    <w:abstractNumId w:val="8"/>
  </w:num>
  <w:num w:numId="37" w16cid:durableId="798958975">
    <w:abstractNumId w:val="3"/>
  </w:num>
  <w:num w:numId="38" w16cid:durableId="1514876980">
    <w:abstractNumId w:val="2"/>
  </w:num>
  <w:num w:numId="39" w16cid:durableId="1234971848">
    <w:abstractNumId w:val="1"/>
  </w:num>
  <w:num w:numId="40" w16cid:durableId="1061446475">
    <w:abstractNumId w:val="0"/>
  </w:num>
  <w:num w:numId="41" w16cid:durableId="1806582041">
    <w:abstractNumId w:val="10"/>
  </w:num>
  <w:num w:numId="42" w16cid:durableId="862397998">
    <w:abstractNumId w:val="10"/>
  </w:num>
  <w:num w:numId="43" w16cid:durableId="2110617307">
    <w:abstractNumId w:val="10"/>
  </w:num>
  <w:num w:numId="44" w16cid:durableId="837621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FI"/>
    <w:docVar w:name="dvnumam" w:val="0"/>
    <w:docVar w:name="dvpe" w:val="766.600"/>
    <w:docVar w:name="dvrapporteur" w:val="Esittelijä: "/>
    <w:docVar w:name="dvstar" w:val="***I"/>
    <w:docVar w:name="dvtitre" w:val="Euroopan parlamentin lainsäädäntöpäätöslauselma xx. heinäkuuta 2025 ehdotuksesta Euroopan parlamentin ja neuvoston asetukseksi tietyistä kalakantojen säilyttämiseksi toteutettavista kestämättömän kalastuksen salliviin maihin liittyvistä toimenpiteistä annetun asetuksen (EU) N:o 1026/2012 muuttamisesta(COM(2024)0407 – C10-0098/2024 – 2024/0224(COD))"/>
  </w:docVars>
  <w:rsids>
    <w:rsidRoot w:val="006C7AC8"/>
    <w:rsid w:val="00002272"/>
    <w:rsid w:val="0004241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5C2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1CE1"/>
    <w:rsid w:val="006631B6"/>
    <w:rsid w:val="00666D5C"/>
    <w:rsid w:val="00680577"/>
    <w:rsid w:val="006C7AC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07B"/>
    <w:rsid w:val="00817416"/>
    <w:rsid w:val="00842779"/>
    <w:rsid w:val="00865F67"/>
    <w:rsid w:val="008721C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25D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F17"/>
    <w:rsid w:val="00CF071A"/>
    <w:rsid w:val="00CF7A4D"/>
    <w:rsid w:val="00D058B8"/>
    <w:rsid w:val="00D143D5"/>
    <w:rsid w:val="00D56C11"/>
    <w:rsid w:val="00D834A0"/>
    <w:rsid w:val="00D872DF"/>
    <w:rsid w:val="00D91E21"/>
    <w:rsid w:val="00DA7FCD"/>
    <w:rsid w:val="00E365E1"/>
    <w:rsid w:val="00E46B22"/>
    <w:rsid w:val="00E75F1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57A14"/>
  <w15:chartTrackingRefBased/>
  <w15:docId w15:val="{1EB764F7-B667-444D-8A31-D856EB46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F407B"/>
    <w:rPr>
      <w:b/>
    </w:rPr>
  </w:style>
  <w:style w:type="paragraph" w:customStyle="1" w:styleId="NormalHanging12a">
    <w:name w:val="NormalHanging12a"/>
    <w:basedOn w:val="Normal"/>
    <w:rsid w:val="007F407B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7F40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F407B"/>
    <w:pPr>
      <w:spacing w:before="240"/>
    </w:pPr>
    <w:rPr>
      <w:b/>
    </w:rPr>
  </w:style>
  <w:style w:type="paragraph" w:customStyle="1" w:styleId="EPComma">
    <w:name w:val="EPComma"/>
    <w:basedOn w:val="Normal"/>
    <w:rsid w:val="007F407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7F407B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7F407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F407B"/>
    <w:rPr>
      <w:b/>
      <w:sz w:val="24"/>
      <w:lang w:val="fi-FI"/>
    </w:rPr>
  </w:style>
  <w:style w:type="paragraph" w:customStyle="1" w:styleId="ColumnHeading">
    <w:name w:val="ColumnHeading"/>
    <w:basedOn w:val="Normal"/>
    <w:rsid w:val="007F407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F40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F407B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rsid w:val="003B5C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B5C2F"/>
    <w:rPr>
      <w:sz w:val="24"/>
      <w:lang w:val="fi-FI"/>
    </w:rPr>
  </w:style>
  <w:style w:type="paragraph" w:styleId="BalloonText">
    <w:name w:val="Balloon Text"/>
    <w:basedOn w:val="Normal"/>
    <w:link w:val="BalloonTextChar"/>
    <w:rsid w:val="00E75F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5F15"/>
    <w:rPr>
      <w:rFonts w:ascii="Segoe UI" w:hAnsi="Segoe UI" w:cs="Segoe UI"/>
      <w:sz w:val="18"/>
      <w:szCs w:val="18"/>
      <w:lang w:val="fi-FI"/>
    </w:rPr>
  </w:style>
  <w:style w:type="character" w:styleId="Hyperlink">
    <w:name w:val="Hyperlink"/>
    <w:basedOn w:val="DefaultParagraphFont"/>
    <w:rsid w:val="00E75F15"/>
    <w:rPr>
      <w:color w:val="0563C1" w:themeColor="hyperlink"/>
      <w:u w:val="single"/>
    </w:rPr>
  </w:style>
  <w:style w:type="paragraph" w:customStyle="1" w:styleId="AmHeadingConsam">
    <w:name w:val="AmHeadingConsam"/>
    <w:basedOn w:val="Normal"/>
    <w:next w:val="Normal"/>
    <w:rsid w:val="00CF7A4D"/>
    <w:pPr>
      <w:spacing w:before="720" w:after="240"/>
      <w:jc w:val="center"/>
    </w:pPr>
  </w:style>
  <w:style w:type="paragraph" w:customStyle="1" w:styleId="FootnoteTextForceStyle">
    <w:name w:val="Footnote Text ForceStyle"/>
    <w:rsid w:val="00CF7A4D"/>
    <w:pPr>
      <w:keepLines/>
      <w:widowControl w:val="0"/>
      <w:spacing w:line="240" w:lineRule="exact"/>
      <w:ind w:left="850" w:hanging="850"/>
    </w:pPr>
    <w:rPr>
      <w:sz w:val="24"/>
      <w:lang w:val="fi-FI" w:eastAsia="en-US"/>
    </w:rPr>
  </w:style>
  <w:style w:type="character" w:customStyle="1" w:styleId="Hyperlink1">
    <w:name w:val="Hyperlink1"/>
    <w:basedOn w:val="DefaultParagraphFont"/>
    <w:unhideWhenUsed/>
    <w:rsid w:val="00CF7A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7206A-0DA5-4644-BDB4-DE5437695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256</Words>
  <Characters>2302</Characters>
  <Application>Microsoft Office Word</Application>
  <DocSecurity>0</DocSecurity>
  <Lines>79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2025-10-23T13:54:00Z</dcterms:created>
  <dcterms:modified xsi:type="dcterms:W3CDTF">2025-10-23T13:54:00Z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