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7355" w14:paraId="5CCE6C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CEF36E" w14:textId="77777777" w:rsidR="00751A4A" w:rsidRPr="00A97355" w:rsidRDefault="005A2CF6" w:rsidP="0010095E">
            <w:pPr>
              <w:pStyle w:val="EPName"/>
            </w:pPr>
            <w:r w:rsidRPr="00A97355">
              <w:t>Parlaimint na hEorpa</w:t>
            </w:r>
          </w:p>
          <w:p w14:paraId="315D8C64" w14:textId="77777777" w:rsidR="00751A4A" w:rsidRPr="00A973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7355">
              <w:t>2024</w:t>
            </w:r>
            <w:r w:rsidR="00817416" w:rsidRPr="00A97355">
              <w:t>-202</w:t>
            </w:r>
            <w:r w:rsidRPr="00A97355">
              <w:t>9</w:t>
            </w:r>
          </w:p>
        </w:tc>
        <w:tc>
          <w:tcPr>
            <w:tcW w:w="2268" w:type="dxa"/>
            <w:shd w:val="clear" w:color="auto" w:fill="auto"/>
          </w:tcPr>
          <w:p w14:paraId="6CDFB277" w14:textId="77777777" w:rsidR="00751A4A" w:rsidRPr="00A97355" w:rsidRDefault="00187494" w:rsidP="0010095E">
            <w:pPr>
              <w:pStyle w:val="EPLogo"/>
            </w:pPr>
            <w:r w:rsidRPr="00A97355">
              <w:rPr>
                <w:noProof/>
                <w:lang w:val="pl-PL" w:eastAsia="pl-PL"/>
              </w:rPr>
              <w:drawing>
                <wp:inline distT="0" distB="0" distL="0" distR="0" wp14:anchorId="21661A80" wp14:editId="65135C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FD758" w14:textId="77777777" w:rsidR="00D058B8" w:rsidRPr="00A97355" w:rsidRDefault="00D058B8" w:rsidP="004C5D52">
      <w:pPr>
        <w:pStyle w:val="LineTop"/>
      </w:pPr>
    </w:p>
    <w:p w14:paraId="24654EFF" w14:textId="77777777" w:rsidR="00680577" w:rsidRPr="00A97355" w:rsidRDefault="005A2CF6" w:rsidP="00680577">
      <w:pPr>
        <w:pStyle w:val="EPBodyTA1"/>
      </w:pPr>
      <w:r w:rsidRPr="00A97355">
        <w:t>TÉACSANNA ARNA nGLACADH</w:t>
      </w:r>
    </w:p>
    <w:p w14:paraId="5D944235" w14:textId="77777777" w:rsidR="00D058B8" w:rsidRPr="00A97355" w:rsidRDefault="00D058B8" w:rsidP="00D058B8">
      <w:pPr>
        <w:pStyle w:val="LineBottom"/>
      </w:pPr>
    </w:p>
    <w:p w14:paraId="1BBCE697" w14:textId="77777777" w:rsidR="005A2CF6" w:rsidRPr="00A97355" w:rsidRDefault="005A2CF6" w:rsidP="005A2CF6">
      <w:pPr>
        <w:pStyle w:val="ATHeading1"/>
      </w:pPr>
      <w:bookmarkStart w:id="0" w:name="TANumber"/>
      <w:r w:rsidRPr="00A97355">
        <w:t>P10_TA(2025)0</w:t>
      </w:r>
      <w:r w:rsidR="00227B86" w:rsidRPr="006D448A">
        <w:rPr>
          <w:lang w:val="sv-SE"/>
        </w:rPr>
        <w:t>150</w:t>
      </w:r>
      <w:bookmarkEnd w:id="0"/>
    </w:p>
    <w:p w14:paraId="38E6E195" w14:textId="77777777" w:rsidR="005A2CF6" w:rsidRPr="00A97355" w:rsidRDefault="00ED1719" w:rsidP="005A2CF6">
      <w:pPr>
        <w:pStyle w:val="ATHeading2"/>
      </w:pPr>
      <w:r w:rsidRPr="00ED1719">
        <w:t>Leasú a dhéanamh ar Rialachán (AE) Uimh. 1026/2012 maidir le bearta áirithe d’fhonn stoic éisc a chaomhnú i ndáil le tíortha a cheadaíonn iascaireacht neamh-inbhuanaithe</w:t>
      </w:r>
    </w:p>
    <w:p w14:paraId="0C68E9D9" w14:textId="77777777" w:rsidR="005A2CF6" w:rsidRPr="00A97355" w:rsidRDefault="005A2CF6" w:rsidP="005A2CF6">
      <w:pPr>
        <w:rPr>
          <w:i/>
          <w:vanish/>
        </w:rPr>
      </w:pPr>
      <w:r w:rsidRPr="00A97355">
        <w:rPr>
          <w:i/>
        </w:rPr>
        <w:fldChar w:fldCharType="begin"/>
      </w:r>
      <w:r w:rsidRPr="00A97355">
        <w:rPr>
          <w:i/>
        </w:rPr>
        <w:instrText xml:space="preserve"> TC"(</w:instrText>
      </w:r>
      <w:bookmarkStart w:id="1" w:name="DocNumber"/>
      <w:r w:rsidRPr="00A97355">
        <w:rPr>
          <w:i/>
        </w:rPr>
        <w:instrText>A10-0070/2025</w:instrText>
      </w:r>
      <w:bookmarkEnd w:id="1"/>
      <w:r w:rsidRPr="00A97355">
        <w:rPr>
          <w:i/>
        </w:rPr>
        <w:instrText xml:space="preserve"> -  Rapóirtéir:</w:instrText>
      </w:r>
      <w:r w:rsidR="00D203B3" w:rsidRPr="009E1A1E">
        <w:rPr>
          <w:i/>
          <w:lang w:val="pt-PT"/>
        </w:rPr>
        <w:instrText xml:space="preserve"> </w:instrText>
      </w:r>
      <w:r w:rsidRPr="00A97355">
        <w:rPr>
          <w:i/>
        </w:rPr>
        <w:instrText xml:space="preserve">Thomas </w:instrText>
      </w:r>
      <w:proofErr w:type="spellStart"/>
      <w:r w:rsidRPr="00A97355">
        <w:rPr>
          <w:i/>
        </w:rPr>
        <w:instrText>Bajada</w:instrText>
      </w:r>
      <w:proofErr w:type="spellEnd"/>
      <w:r w:rsidRPr="00A97355">
        <w:rPr>
          <w:i/>
        </w:rPr>
        <w:instrText xml:space="preserve">)"\l3 \n&gt; \* MERGEFORMAT </w:instrText>
      </w:r>
      <w:r w:rsidRPr="00A97355">
        <w:rPr>
          <w:i/>
        </w:rPr>
        <w:fldChar w:fldCharType="end"/>
      </w:r>
    </w:p>
    <w:p w14:paraId="2FDFDFB5" w14:textId="77777777" w:rsidR="005A2CF6" w:rsidRPr="00A97355" w:rsidRDefault="005A2CF6" w:rsidP="005A2CF6">
      <w:pPr>
        <w:rPr>
          <w:vanish/>
        </w:rPr>
      </w:pPr>
      <w:bookmarkStart w:id="2" w:name="Commission"/>
      <w:r w:rsidRPr="00A97355">
        <w:rPr>
          <w:vanish/>
        </w:rPr>
        <w:t>an Coiste um Iascach</w:t>
      </w:r>
      <w:bookmarkEnd w:id="2"/>
    </w:p>
    <w:p w14:paraId="3A95ED3C" w14:textId="77777777" w:rsidR="005A2CF6" w:rsidRPr="00A97355" w:rsidRDefault="005A2CF6" w:rsidP="005A2CF6">
      <w:pPr>
        <w:rPr>
          <w:vanish/>
        </w:rPr>
      </w:pPr>
      <w:bookmarkStart w:id="3" w:name="PE"/>
      <w:r w:rsidRPr="00A97355">
        <w:rPr>
          <w:vanish/>
        </w:rPr>
        <w:t>PE766.600</w:t>
      </w:r>
      <w:bookmarkEnd w:id="3"/>
    </w:p>
    <w:p w14:paraId="24BADF68" w14:textId="77777777" w:rsidR="005A2CF6" w:rsidRPr="00A97355" w:rsidRDefault="005A2CF6" w:rsidP="005A2CF6">
      <w:pPr>
        <w:pStyle w:val="ATHeading3"/>
      </w:pPr>
      <w:bookmarkStart w:id="4" w:name="Sujet"/>
      <w:r w:rsidRPr="00A97355">
        <w:t xml:space="preserve">Rún reachtach ó Pharlaimint na hEorpa an </w:t>
      </w:r>
      <w:r w:rsidR="00ED1719" w:rsidRPr="009E1A1E">
        <w:t>9</w:t>
      </w:r>
      <w:r w:rsidRPr="00A97355">
        <w:t xml:space="preserve"> </w:t>
      </w:r>
      <w:r w:rsidR="00D203B3" w:rsidRPr="009E1A1E">
        <w:t>Iúil</w:t>
      </w:r>
      <w:r w:rsidRPr="00A97355">
        <w:t xml:space="preserve"> 2025 ar an togra le haghaidh </w:t>
      </w:r>
      <w:r w:rsidR="00E21EA7" w:rsidRPr="009E1A1E">
        <w:t>r</w:t>
      </w:r>
      <w:r w:rsidRPr="00A97355">
        <w:t>ialachán ó Pharlaimint na hEorpa agus ón gComhairle lena leasaítear Rialachán (AE) Uimh. 1026/2012 maidir le bearta áirithe d’fhonn stoic éisc a chaomhnú i ndáil le tíortha a cheadaíonn iascaireacht neamh-inbhuanaithe</w:t>
      </w:r>
      <w:bookmarkEnd w:id="4"/>
      <w:r w:rsidRPr="00A97355">
        <w:t xml:space="preserve"> </w:t>
      </w:r>
      <w:bookmarkStart w:id="5" w:name="References"/>
      <w:r w:rsidRPr="00A97355">
        <w:t>(COM(2024)0407 – C10-0098/2024 – 2024/0224(COD))</w:t>
      </w:r>
      <w:bookmarkEnd w:id="5"/>
    </w:p>
    <w:p w14:paraId="30194CA2" w14:textId="77777777" w:rsidR="003103FF" w:rsidRPr="00A97355" w:rsidRDefault="003103FF" w:rsidP="003103FF">
      <w:pPr>
        <w:pStyle w:val="NormalBold"/>
      </w:pPr>
      <w:r w:rsidRPr="00A97355">
        <w:t>(An gnáthnós imeachta reachtach: an chéad léamh)</w:t>
      </w:r>
    </w:p>
    <w:p w14:paraId="559DB100" w14:textId="77777777" w:rsidR="003103FF" w:rsidRPr="00A97355" w:rsidRDefault="003103FF" w:rsidP="003103FF">
      <w:pPr>
        <w:pStyle w:val="EPComma"/>
      </w:pPr>
      <w:r w:rsidRPr="00A97355">
        <w:rPr>
          <w:i/>
        </w:rPr>
        <w:t>Tá Parlaimint na hEorpa</w:t>
      </w:r>
      <w:r w:rsidRPr="00A97355">
        <w:t>,</w:t>
      </w:r>
    </w:p>
    <w:p w14:paraId="1D9C3826" w14:textId="77777777" w:rsidR="003103FF" w:rsidRPr="00A97355" w:rsidRDefault="003103FF" w:rsidP="003103FF">
      <w:pPr>
        <w:pStyle w:val="NormalHanging12a"/>
      </w:pPr>
      <w:r w:rsidRPr="00A97355">
        <w:t>–</w:t>
      </w:r>
      <w:r w:rsidRPr="00A97355">
        <w:tab/>
        <w:t>ag féachaint don togra ón gCoimisiún chuig Parlaimint na hEorpa agus chuig an gComhairle (COM(2024)0407),</w:t>
      </w:r>
    </w:p>
    <w:p w14:paraId="0D22D9E8" w14:textId="77777777" w:rsidR="003103FF" w:rsidRPr="00A97355" w:rsidRDefault="003103FF" w:rsidP="003103FF">
      <w:pPr>
        <w:pStyle w:val="NormalHanging12a"/>
      </w:pPr>
      <w:r w:rsidRPr="00A97355">
        <w:t>–</w:t>
      </w:r>
      <w:r w:rsidRPr="00A97355">
        <w:tab/>
        <w:t>ag féachaint d’Airteagal 294(2) agus d’Airteagail 43(2) agus 207 den Chonradh ar Fheidhmiú an Aontais Eorpaigh, ar dá mbun a thíolaic an Coimisiún an togra do Pharlaimint na hEorpa (C10</w:t>
      </w:r>
      <w:r w:rsidRPr="00A97355">
        <w:noBreakHyphen/>
        <w:t>0098/2024),</w:t>
      </w:r>
    </w:p>
    <w:p w14:paraId="0D0E536E" w14:textId="77777777" w:rsidR="003103FF" w:rsidRPr="00A97355" w:rsidRDefault="003103FF" w:rsidP="003103FF">
      <w:pPr>
        <w:pStyle w:val="NormalHanging12a"/>
      </w:pPr>
      <w:r w:rsidRPr="00A97355">
        <w:t>–</w:t>
      </w:r>
      <w:r w:rsidRPr="00A97355">
        <w:tab/>
        <w:t>ag féachaint d’Airteagal 294(3) den Chonradh ar Fheidhmiú an Aontais Eorpaigh,</w:t>
      </w:r>
    </w:p>
    <w:p w14:paraId="79A354A3" w14:textId="77777777" w:rsidR="003103FF" w:rsidRDefault="003103FF" w:rsidP="003103FF">
      <w:pPr>
        <w:pStyle w:val="NormalHanging12a"/>
      </w:pPr>
      <w:r w:rsidRPr="00A97355">
        <w:t>–</w:t>
      </w:r>
      <w:r w:rsidRPr="00A97355">
        <w:tab/>
        <w:t>ag féachaint do thuairim ó Choiste Eacnamaíoch agus Sóisialta na hEorpa an 22 Eanáir 2025</w:t>
      </w:r>
      <w:r w:rsidRPr="00A97355">
        <w:rPr>
          <w:rStyle w:val="FootnoteReference"/>
        </w:rPr>
        <w:footnoteReference w:id="1"/>
      </w:r>
      <w:r w:rsidRPr="00A97355">
        <w:t>,</w:t>
      </w:r>
    </w:p>
    <w:p w14:paraId="09F2DB78" w14:textId="77777777" w:rsidR="00244B52" w:rsidRPr="00A97355" w:rsidRDefault="00244B52" w:rsidP="003103FF">
      <w:pPr>
        <w:pStyle w:val="NormalHanging12a"/>
      </w:pPr>
      <w:r w:rsidRPr="00A97355">
        <w:t>–</w:t>
      </w:r>
      <w:r w:rsidRPr="00A97355">
        <w:tab/>
      </w:r>
      <w:r w:rsidRPr="00244B52">
        <w:t>ag féachaint don chomhaontú sealadach arna fhormheas de bhun Riail 75(4) dá Rialacha Nós Imeachta ag an gcoiste freagrach</w:t>
      </w:r>
      <w:r>
        <w:t xml:space="preserve"> agus </w:t>
      </w:r>
      <w:r w:rsidRPr="00244B52">
        <w:t xml:space="preserve">don </w:t>
      </w:r>
      <w:r w:rsidR="00E21EA7" w:rsidRPr="009E1A1E">
        <w:t>gheallúint</w:t>
      </w:r>
      <w:r w:rsidRPr="00244B52">
        <w:t xml:space="preserve"> a thug ionadaí na </w:t>
      </w:r>
      <w:r>
        <w:t>Comhairle i litir dar dáta an 11</w:t>
      </w:r>
      <w:r w:rsidRPr="00244B52">
        <w:t xml:space="preserve"> </w:t>
      </w:r>
      <w:r w:rsidRPr="009E1A1E">
        <w:t xml:space="preserve">Meitheamh </w:t>
      </w:r>
      <w:r>
        <w:t>2025</w:t>
      </w:r>
      <w:r w:rsidRPr="00244B52">
        <w:t xml:space="preserve"> go ndéanfa</w:t>
      </w:r>
      <w:r w:rsidR="00E21EA7" w:rsidRPr="009E1A1E">
        <w:t>dh sí</w:t>
      </w:r>
      <w:r w:rsidRPr="00244B52">
        <w:t xml:space="preserve"> seasamh Pharlaimint na hEorpa a fhormheas, i gcomhréir le hAirteagal 294(4) den Chonradh ar Fheidhmiú an Aontais Eorpaigh,</w:t>
      </w:r>
    </w:p>
    <w:p w14:paraId="44DA2D96" w14:textId="77777777" w:rsidR="003103FF" w:rsidRPr="00A97355" w:rsidRDefault="003103FF" w:rsidP="003103FF">
      <w:pPr>
        <w:pStyle w:val="NormalHanging12a"/>
      </w:pPr>
      <w:r w:rsidRPr="00A97355">
        <w:t>–</w:t>
      </w:r>
      <w:r w:rsidRPr="00A97355">
        <w:tab/>
        <w:t>ag féachaint do Riail 60 dá Rialacha Nós Imeachta,</w:t>
      </w:r>
    </w:p>
    <w:p w14:paraId="0113A6AB" w14:textId="77777777" w:rsidR="003103FF" w:rsidRPr="00A97355" w:rsidRDefault="003103FF" w:rsidP="003103FF">
      <w:pPr>
        <w:pStyle w:val="NormalHanging12a"/>
      </w:pPr>
      <w:r w:rsidRPr="00A97355">
        <w:lastRenderedPageBreak/>
        <w:t>–</w:t>
      </w:r>
      <w:r w:rsidRPr="00A97355">
        <w:tab/>
        <w:t>ag féachaint don tuarascáil ón gCoiste um Iascach (A10-0070/2025),</w:t>
      </w:r>
    </w:p>
    <w:p w14:paraId="69ED930F" w14:textId="77777777" w:rsidR="003103FF" w:rsidRPr="00A97355" w:rsidRDefault="003103FF" w:rsidP="003103FF">
      <w:pPr>
        <w:pStyle w:val="NormalHanging12a"/>
      </w:pPr>
      <w:r w:rsidRPr="00A97355">
        <w:t>1.</w:t>
      </w:r>
      <w:r w:rsidRPr="00A97355">
        <w:tab/>
        <w:t>ag glacadh a seasaimh ar an gcéad léamh mar a leagtar amach ina dhiaidh seo é;</w:t>
      </w:r>
    </w:p>
    <w:p w14:paraId="5A2F9558" w14:textId="77777777" w:rsidR="003103FF" w:rsidRPr="00A97355" w:rsidRDefault="003103FF" w:rsidP="003103FF">
      <w:pPr>
        <w:pStyle w:val="NormalHanging12a"/>
      </w:pPr>
      <w:r w:rsidRPr="00A97355">
        <w:t>2.</w:t>
      </w:r>
      <w:r w:rsidRPr="00A97355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E812FAD" w14:textId="77777777" w:rsidR="003103FF" w:rsidRPr="00A97355" w:rsidRDefault="003103FF" w:rsidP="003103FF">
      <w:pPr>
        <w:pStyle w:val="NormalHanging12a"/>
      </w:pPr>
      <w:r w:rsidRPr="00A97355">
        <w:t>3.</w:t>
      </w:r>
      <w:r w:rsidRPr="00A97355">
        <w:tab/>
        <w:t>á threorú dá hUachtarán a seasamh a chur ar aghaidh chuig an gComhairle, chuig an gCoimisiún agus chuig na parlaimintí náisiúnta.</w:t>
      </w:r>
    </w:p>
    <w:p w14:paraId="6D0EF076" w14:textId="77777777" w:rsidR="00244B52" w:rsidRDefault="00244B52" w:rsidP="00244B52">
      <w:pPr>
        <w:widowControl/>
        <w:sectPr w:rsidR="00244B52" w:rsidSect="00A973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12BDF5E" w14:textId="77777777" w:rsidR="00D11A0C" w:rsidRPr="00D11A0C" w:rsidRDefault="00D11A0C" w:rsidP="00E8338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11A0C">
        <w:rPr>
          <w:rFonts w:eastAsia="Calibri"/>
          <w:b/>
          <w:bCs/>
          <w:color w:val="000000"/>
          <w:szCs w:val="24"/>
        </w:rPr>
        <w:lastRenderedPageBreak/>
        <w:t>P10_TC1-COD(2024)0224</w:t>
      </w:r>
    </w:p>
    <w:p w14:paraId="3B2506C5" w14:textId="77777777" w:rsidR="00475BA4" w:rsidRDefault="00D11A0C" w:rsidP="00E8338C">
      <w:pPr>
        <w:keepNext/>
        <w:spacing w:after="240"/>
        <w:rPr>
          <w:rFonts w:eastAsia="Calibri"/>
          <w:b/>
          <w:bCs/>
          <w:szCs w:val="24"/>
        </w:rPr>
      </w:pPr>
      <w:r w:rsidRPr="00D11A0C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Pr="009E1A1E">
        <w:rPr>
          <w:rFonts w:eastAsia="Calibri"/>
          <w:b/>
          <w:bCs/>
          <w:szCs w:val="24"/>
        </w:rPr>
        <w:t>9 Iúil</w:t>
      </w:r>
      <w:r w:rsidRPr="00D11A0C">
        <w:rPr>
          <w:rFonts w:eastAsia="Calibri"/>
          <w:b/>
          <w:bCs/>
          <w:szCs w:val="24"/>
        </w:rPr>
        <w:t xml:space="preserve"> 2025 chun go nglacfaí Rialachán (AE) 2025/... ó Pharlaimint na hEorpa agus ón gComhairle lena leasaítear Rialachán (AE) Uimh. 1026/2012 maidir le bearta áirithe d’fhonn stoic éisc a chaomhnú i ndáil le tíortha a cheadaíonn iascaireacht neamh-inbhuanaithe</w:t>
      </w:r>
    </w:p>
    <w:p w14:paraId="64B4AADE" w14:textId="5F3448AA" w:rsidR="004D2731" w:rsidRPr="004D2731" w:rsidRDefault="004D2731" w:rsidP="004D2731">
      <w:pPr>
        <w:pStyle w:val="NormalWeb"/>
        <w:rPr>
          <w:i/>
          <w:color w:val="000000"/>
          <w:lang w:val="ga-IE"/>
        </w:rPr>
      </w:pPr>
      <w:r w:rsidRPr="004D2731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lang w:val="ga-IE"/>
        </w:rPr>
        <w:t>5/2077.</w:t>
      </w:r>
      <w:r w:rsidRPr="004D2731">
        <w:rPr>
          <w:i/>
          <w:color w:val="000000"/>
          <w:lang w:val="ga-IE"/>
        </w:rPr>
        <w:t>)</w:t>
      </w:r>
    </w:p>
    <w:p w14:paraId="1A148CB1" w14:textId="77777777" w:rsidR="00E365E1" w:rsidRPr="00A97355" w:rsidRDefault="00E365E1" w:rsidP="00826E7C">
      <w:pPr>
        <w:widowControl/>
      </w:pPr>
    </w:p>
    <w:sectPr w:rsidR="00E365E1" w:rsidRPr="00A97355" w:rsidSect="00A9735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3EDE2" w14:textId="77777777" w:rsidR="005A2CF6" w:rsidRPr="00A97355" w:rsidRDefault="005A2CF6">
      <w:r w:rsidRPr="00A97355">
        <w:separator/>
      </w:r>
    </w:p>
  </w:endnote>
  <w:endnote w:type="continuationSeparator" w:id="0">
    <w:p w14:paraId="00C970CC" w14:textId="77777777" w:rsidR="005A2CF6" w:rsidRPr="00A97355" w:rsidRDefault="005A2CF6">
      <w:r w:rsidRPr="00A973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1E97" w14:textId="77777777" w:rsidR="00064002" w:rsidRPr="00A973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D2DCA" w14:textId="77777777" w:rsidR="00064002" w:rsidRPr="00A973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14DFB" w14:textId="77777777" w:rsidR="00064002" w:rsidRPr="00A973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BDD43" w14:textId="77777777" w:rsidR="005A2CF6" w:rsidRPr="00A97355" w:rsidRDefault="005A2CF6">
      <w:r w:rsidRPr="00A97355">
        <w:separator/>
      </w:r>
    </w:p>
  </w:footnote>
  <w:footnote w:type="continuationSeparator" w:id="0">
    <w:p w14:paraId="6648B957" w14:textId="77777777" w:rsidR="005A2CF6" w:rsidRPr="00A97355" w:rsidRDefault="005A2CF6">
      <w:r w:rsidRPr="00A97355">
        <w:continuationSeparator/>
      </w:r>
    </w:p>
  </w:footnote>
  <w:footnote w:id="1">
    <w:p w14:paraId="71D8B504" w14:textId="77777777" w:rsidR="003103FF" w:rsidRPr="00A97355" w:rsidRDefault="003103FF" w:rsidP="00E74F33">
      <w:pPr>
        <w:pStyle w:val="FootnoteText"/>
        <w:keepLines w:val="0"/>
        <w:widowControl w:val="0"/>
        <w:ind w:left="567" w:hanging="567"/>
        <w:rPr>
          <w:sz w:val="24"/>
          <w:lang w:val="ga-IE"/>
        </w:rPr>
      </w:pPr>
      <w:r w:rsidRPr="00A97355">
        <w:rPr>
          <w:rStyle w:val="FootnoteReference"/>
          <w:sz w:val="24"/>
          <w:lang w:val="ga-IE"/>
        </w:rPr>
        <w:footnoteRef/>
      </w:r>
      <w:r w:rsidR="00A97355" w:rsidRPr="00A97355">
        <w:rPr>
          <w:sz w:val="24"/>
          <w:lang w:val="ga-IE"/>
        </w:rPr>
        <w:t xml:space="preserve"> </w:t>
      </w:r>
      <w:r w:rsidR="00A97355" w:rsidRPr="00A97355">
        <w:rPr>
          <w:sz w:val="24"/>
          <w:lang w:val="ga-IE"/>
        </w:rPr>
        <w:tab/>
      </w:r>
      <w:r w:rsidRPr="00A97355">
        <w:rPr>
          <w:sz w:val="24"/>
          <w:lang w:val="ga-IE"/>
        </w:rPr>
        <w:t xml:space="preserve">IO C, C/2025/1191, 21.3.2025, ELI: </w:t>
      </w:r>
      <w:hyperlink r:id="rId1" w:history="1">
        <w:r w:rsidRPr="00244B52">
          <w:rPr>
            <w:rStyle w:val="Hyperlink"/>
            <w:sz w:val="24"/>
            <w:lang w:val="ga-IE"/>
          </w:rPr>
          <w:t>http://data.europa.eu/eli/C/2025/1191/oj</w:t>
        </w:r>
      </w:hyperlink>
      <w:r w:rsidRPr="00A97355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2111A" w14:textId="77777777" w:rsidR="00064002" w:rsidRPr="00A973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FFBF" w14:textId="77777777" w:rsidR="00064002" w:rsidRPr="00A973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66534" w14:textId="77777777" w:rsidR="00064002" w:rsidRPr="00A973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3444184">
    <w:abstractNumId w:val="9"/>
  </w:num>
  <w:num w:numId="2" w16cid:durableId="1921088943">
    <w:abstractNumId w:val="9"/>
  </w:num>
  <w:num w:numId="3" w16cid:durableId="916935316">
    <w:abstractNumId w:val="7"/>
  </w:num>
  <w:num w:numId="4" w16cid:durableId="1464733194">
    <w:abstractNumId w:val="7"/>
  </w:num>
  <w:num w:numId="5" w16cid:durableId="2076470731">
    <w:abstractNumId w:val="6"/>
  </w:num>
  <w:num w:numId="6" w16cid:durableId="1751654467">
    <w:abstractNumId w:val="6"/>
  </w:num>
  <w:num w:numId="7" w16cid:durableId="1074355477">
    <w:abstractNumId w:val="5"/>
  </w:num>
  <w:num w:numId="8" w16cid:durableId="1059784197">
    <w:abstractNumId w:val="5"/>
  </w:num>
  <w:num w:numId="9" w16cid:durableId="1441146294">
    <w:abstractNumId w:val="4"/>
  </w:num>
  <w:num w:numId="10" w16cid:durableId="265357652">
    <w:abstractNumId w:val="4"/>
  </w:num>
  <w:num w:numId="11" w16cid:durableId="1373848773">
    <w:abstractNumId w:val="8"/>
  </w:num>
  <w:num w:numId="12" w16cid:durableId="1259215880">
    <w:abstractNumId w:val="8"/>
  </w:num>
  <w:num w:numId="13" w16cid:durableId="1341156977">
    <w:abstractNumId w:val="3"/>
  </w:num>
  <w:num w:numId="14" w16cid:durableId="225067900">
    <w:abstractNumId w:val="3"/>
  </w:num>
  <w:num w:numId="15" w16cid:durableId="672998736">
    <w:abstractNumId w:val="2"/>
  </w:num>
  <w:num w:numId="16" w16cid:durableId="1469543046">
    <w:abstractNumId w:val="2"/>
  </w:num>
  <w:num w:numId="17" w16cid:durableId="2031103672">
    <w:abstractNumId w:val="1"/>
  </w:num>
  <w:num w:numId="18" w16cid:durableId="945229908">
    <w:abstractNumId w:val="1"/>
  </w:num>
  <w:num w:numId="19" w16cid:durableId="224536277">
    <w:abstractNumId w:val="0"/>
  </w:num>
  <w:num w:numId="20" w16cid:durableId="1352417492">
    <w:abstractNumId w:val="0"/>
  </w:num>
  <w:num w:numId="21" w16cid:durableId="1640264775">
    <w:abstractNumId w:val="9"/>
  </w:num>
  <w:num w:numId="22" w16cid:durableId="213935817">
    <w:abstractNumId w:val="7"/>
  </w:num>
  <w:num w:numId="23" w16cid:durableId="1721132480">
    <w:abstractNumId w:val="6"/>
  </w:num>
  <w:num w:numId="24" w16cid:durableId="1187214828">
    <w:abstractNumId w:val="5"/>
  </w:num>
  <w:num w:numId="25" w16cid:durableId="1533421067">
    <w:abstractNumId w:val="4"/>
  </w:num>
  <w:num w:numId="26" w16cid:durableId="2108575033">
    <w:abstractNumId w:val="8"/>
  </w:num>
  <w:num w:numId="27" w16cid:durableId="1204706911">
    <w:abstractNumId w:val="3"/>
  </w:num>
  <w:num w:numId="28" w16cid:durableId="641426927">
    <w:abstractNumId w:val="2"/>
  </w:num>
  <w:num w:numId="29" w16cid:durableId="1698038487">
    <w:abstractNumId w:val="1"/>
  </w:num>
  <w:num w:numId="30" w16cid:durableId="1427382240">
    <w:abstractNumId w:val="0"/>
  </w:num>
  <w:num w:numId="31" w16cid:durableId="1224373514">
    <w:abstractNumId w:val="9"/>
  </w:num>
  <w:num w:numId="32" w16cid:durableId="79641298">
    <w:abstractNumId w:val="7"/>
  </w:num>
  <w:num w:numId="33" w16cid:durableId="481389724">
    <w:abstractNumId w:val="6"/>
  </w:num>
  <w:num w:numId="34" w16cid:durableId="2133285377">
    <w:abstractNumId w:val="5"/>
  </w:num>
  <w:num w:numId="35" w16cid:durableId="1016080754">
    <w:abstractNumId w:val="4"/>
  </w:num>
  <w:num w:numId="36" w16cid:durableId="2023437334">
    <w:abstractNumId w:val="8"/>
  </w:num>
  <w:num w:numId="37" w16cid:durableId="1120228427">
    <w:abstractNumId w:val="3"/>
  </w:num>
  <w:num w:numId="38" w16cid:durableId="641889656">
    <w:abstractNumId w:val="2"/>
  </w:num>
  <w:num w:numId="39" w16cid:durableId="172843507">
    <w:abstractNumId w:val="1"/>
  </w:num>
  <w:num w:numId="40" w16cid:durableId="1761291064">
    <w:abstractNumId w:val="0"/>
  </w:num>
  <w:num w:numId="41" w16cid:durableId="1849367183">
    <w:abstractNumId w:val="10"/>
  </w:num>
  <w:num w:numId="42" w16cid:durableId="858934627">
    <w:abstractNumId w:val="10"/>
  </w:num>
  <w:num w:numId="43" w16cid:durableId="1431462087">
    <w:abstractNumId w:val="10"/>
  </w:num>
  <w:num w:numId="44" w16cid:durableId="687685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GA"/>
    <w:docVar w:name="dvnumam" w:val="0"/>
    <w:docVar w:name="dvpe" w:val="766.600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Uimh. 1026/2012 maidir le bearta áirithe d’fhonn stoic éisc a chaomhnú i ndáil le tíortha a cheadaíonn iascaireacht neamh-inbhuanaithe(COM(2024)0407 – C10-0098/2024 – 2024/0224(COD))"/>
  </w:docVars>
  <w:rsids>
    <w:rsidRoot w:val="005A2CF6"/>
    <w:rsid w:val="00002272"/>
    <w:rsid w:val="00064002"/>
    <w:rsid w:val="000677B9"/>
    <w:rsid w:val="000831BA"/>
    <w:rsid w:val="000A42CC"/>
    <w:rsid w:val="000E7DD9"/>
    <w:rsid w:val="0010095E"/>
    <w:rsid w:val="00125B37"/>
    <w:rsid w:val="00170509"/>
    <w:rsid w:val="00187494"/>
    <w:rsid w:val="001F32AE"/>
    <w:rsid w:val="00227B86"/>
    <w:rsid w:val="00232299"/>
    <w:rsid w:val="00244B52"/>
    <w:rsid w:val="002767FF"/>
    <w:rsid w:val="002B18FE"/>
    <w:rsid w:val="002B5493"/>
    <w:rsid w:val="003103FF"/>
    <w:rsid w:val="00343214"/>
    <w:rsid w:val="00361C00"/>
    <w:rsid w:val="00395FA1"/>
    <w:rsid w:val="003E15D4"/>
    <w:rsid w:val="00411CCE"/>
    <w:rsid w:val="0041666E"/>
    <w:rsid w:val="00421060"/>
    <w:rsid w:val="00471C19"/>
    <w:rsid w:val="00475BA4"/>
    <w:rsid w:val="004867E3"/>
    <w:rsid w:val="00494A28"/>
    <w:rsid w:val="004C0004"/>
    <w:rsid w:val="004C5D52"/>
    <w:rsid w:val="004D2731"/>
    <w:rsid w:val="0050519A"/>
    <w:rsid w:val="005072A1"/>
    <w:rsid w:val="00514517"/>
    <w:rsid w:val="00545827"/>
    <w:rsid w:val="00560270"/>
    <w:rsid w:val="005A2CF6"/>
    <w:rsid w:val="005C2568"/>
    <w:rsid w:val="005F1B17"/>
    <w:rsid w:val="006037C0"/>
    <w:rsid w:val="006631B6"/>
    <w:rsid w:val="00680577"/>
    <w:rsid w:val="006D448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E7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A1E"/>
    <w:rsid w:val="00A1687D"/>
    <w:rsid w:val="00A43E52"/>
    <w:rsid w:val="00A4678D"/>
    <w:rsid w:val="00A778C7"/>
    <w:rsid w:val="00A9735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CB0"/>
    <w:rsid w:val="00C61C0C"/>
    <w:rsid w:val="00C941CB"/>
    <w:rsid w:val="00CC2357"/>
    <w:rsid w:val="00CF071A"/>
    <w:rsid w:val="00D058B8"/>
    <w:rsid w:val="00D11A0C"/>
    <w:rsid w:val="00D203B3"/>
    <w:rsid w:val="00D56C11"/>
    <w:rsid w:val="00D834A0"/>
    <w:rsid w:val="00D872DF"/>
    <w:rsid w:val="00D91E21"/>
    <w:rsid w:val="00DA7FCD"/>
    <w:rsid w:val="00E21EA7"/>
    <w:rsid w:val="00E365E1"/>
    <w:rsid w:val="00E74F33"/>
    <w:rsid w:val="00E820A4"/>
    <w:rsid w:val="00E8338C"/>
    <w:rsid w:val="00EB006A"/>
    <w:rsid w:val="00EB4772"/>
    <w:rsid w:val="00ED169E"/>
    <w:rsid w:val="00ED1719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D2A58"/>
  <w15:chartTrackingRefBased/>
  <w15:docId w15:val="{348B64FA-A956-4DB2-84A9-AF444548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103FF"/>
    <w:rPr>
      <w:b/>
    </w:rPr>
  </w:style>
  <w:style w:type="paragraph" w:customStyle="1" w:styleId="NormalHanging12a">
    <w:name w:val="NormalHanging12a"/>
    <w:basedOn w:val="Normal"/>
    <w:rsid w:val="003103F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103F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03FF"/>
    <w:pPr>
      <w:spacing w:before="240"/>
    </w:pPr>
    <w:rPr>
      <w:b/>
    </w:rPr>
  </w:style>
  <w:style w:type="paragraph" w:customStyle="1" w:styleId="EPComma">
    <w:name w:val="EPComma"/>
    <w:basedOn w:val="Normal"/>
    <w:rsid w:val="003103F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103FF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3103F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103FF"/>
    <w:rPr>
      <w:b/>
      <w:sz w:val="24"/>
      <w:lang w:val="ga-IE"/>
    </w:rPr>
  </w:style>
  <w:style w:type="paragraph" w:customStyle="1" w:styleId="ColumnHeading">
    <w:name w:val="ColumnHeading"/>
    <w:basedOn w:val="Normal"/>
    <w:rsid w:val="003103F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103F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103FF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D203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03B3"/>
    <w:rPr>
      <w:rFonts w:ascii="Segoe UI" w:hAnsi="Segoe UI" w:cs="Segoe UI"/>
      <w:sz w:val="18"/>
      <w:szCs w:val="18"/>
      <w:lang w:val="ga-IE"/>
    </w:rPr>
  </w:style>
  <w:style w:type="character" w:styleId="Hyperlink">
    <w:name w:val="Hyperlink"/>
    <w:basedOn w:val="DefaultParagraphFont"/>
    <w:rsid w:val="00244B52"/>
    <w:rPr>
      <w:color w:val="0563C1" w:themeColor="hyperlink"/>
      <w:u w:val="single"/>
    </w:rPr>
  </w:style>
  <w:style w:type="paragraph" w:customStyle="1" w:styleId="FootnoteTextForceStyle">
    <w:name w:val="Footnote Text ForceStyle"/>
    <w:rsid w:val="00D11A0C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  <w:style w:type="character" w:customStyle="1" w:styleId="Hyperlink1">
    <w:name w:val="Hyperlink1"/>
    <w:basedOn w:val="DefaultParagraphFont"/>
    <w:unhideWhenUsed/>
    <w:rsid w:val="00D11A0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D2731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E2D48-7040-4AB7-B803-8823C56C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401</Words>
  <Characters>2318</Characters>
  <Application>Microsoft Office Word</Application>
  <DocSecurity>0</DocSecurity>
  <Lines>45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2025-10-23T14:44:00Z</dcterms:created>
  <dcterms:modified xsi:type="dcterms:W3CDTF">2025-10-23T14:44:00Z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