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489D" w14:paraId="7F74C4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EA6520" w14:textId="77777777" w:rsidR="00751A4A" w:rsidRPr="00B2489D" w:rsidRDefault="00A64A28" w:rsidP="0010095E">
            <w:pPr>
              <w:pStyle w:val="EPName"/>
            </w:pPr>
            <w:r w:rsidRPr="00B2489D">
              <w:t>Evropski parlament</w:t>
            </w:r>
          </w:p>
          <w:p w14:paraId="76368152" w14:textId="77777777" w:rsidR="00751A4A" w:rsidRPr="00B2489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489D">
              <w:t>2024</w:t>
            </w:r>
            <w:r w:rsidR="00817416" w:rsidRPr="00B2489D">
              <w:t>-202</w:t>
            </w:r>
            <w:r w:rsidRPr="00B2489D">
              <w:t>9</w:t>
            </w:r>
          </w:p>
        </w:tc>
        <w:tc>
          <w:tcPr>
            <w:tcW w:w="2268" w:type="dxa"/>
            <w:shd w:val="clear" w:color="auto" w:fill="auto"/>
          </w:tcPr>
          <w:p w14:paraId="240C1B01" w14:textId="77777777" w:rsidR="00751A4A" w:rsidRPr="00B2489D" w:rsidRDefault="00187494" w:rsidP="0010095E">
            <w:pPr>
              <w:pStyle w:val="EPLogo"/>
            </w:pPr>
            <w:r w:rsidRPr="00B2489D">
              <w:rPr>
                <w:noProof/>
                <w:lang w:val="en-GB"/>
              </w:rPr>
              <w:drawing>
                <wp:inline distT="0" distB="0" distL="0" distR="0" wp14:anchorId="5FA12E4E" wp14:editId="457A40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B61AB" w14:textId="77777777" w:rsidR="00D058B8" w:rsidRPr="00B2489D" w:rsidRDefault="00D058B8" w:rsidP="004C5D52">
      <w:pPr>
        <w:pStyle w:val="LineTop"/>
      </w:pPr>
    </w:p>
    <w:p w14:paraId="72CEB828" w14:textId="77777777" w:rsidR="00680577" w:rsidRPr="00B2489D" w:rsidRDefault="00A64A28" w:rsidP="00680577">
      <w:pPr>
        <w:pStyle w:val="EPBodyTA1"/>
      </w:pPr>
      <w:r w:rsidRPr="00B2489D">
        <w:t>SPREJETA BESEDILA</w:t>
      </w:r>
    </w:p>
    <w:p w14:paraId="7F7BCAF7" w14:textId="77777777" w:rsidR="00D058B8" w:rsidRPr="00B2489D" w:rsidRDefault="00D058B8" w:rsidP="00D058B8">
      <w:pPr>
        <w:pStyle w:val="LineBottom"/>
      </w:pPr>
    </w:p>
    <w:p w14:paraId="4B26706C" w14:textId="209B8CE7" w:rsidR="00A64A28" w:rsidRPr="00B2489D" w:rsidRDefault="00A64A28" w:rsidP="00A64A28">
      <w:pPr>
        <w:pStyle w:val="ATHeading1"/>
      </w:pPr>
      <w:bookmarkStart w:id="0" w:name="TANumber"/>
      <w:r w:rsidRPr="00B2489D">
        <w:t>P10_TA(2025)0</w:t>
      </w:r>
      <w:r w:rsidR="00B2489D" w:rsidRPr="00B2489D">
        <w:t>15</w:t>
      </w:r>
      <w:bookmarkEnd w:id="0"/>
      <w:r w:rsidR="00847FFB">
        <w:t>0</w:t>
      </w:r>
    </w:p>
    <w:p w14:paraId="1CB3C178" w14:textId="77777777" w:rsidR="00A64A28" w:rsidRPr="00B2489D" w:rsidRDefault="00A64A28" w:rsidP="00A64A28">
      <w:pPr>
        <w:pStyle w:val="ATHeading2"/>
      </w:pPr>
      <w:bookmarkStart w:id="1" w:name="title"/>
      <w:r w:rsidRPr="00B2489D">
        <w:t>Sprememba Uredbe (EU) št. 1026/2012 o nekaterih ukrepih za ohranjanje staležev rib v zvezi z državami, ki omogočajo netrajnostne načine ribolova</w:t>
      </w:r>
      <w:bookmarkEnd w:id="1"/>
    </w:p>
    <w:p w14:paraId="3711D117" w14:textId="77777777" w:rsidR="00A64A28" w:rsidRPr="00B2489D" w:rsidRDefault="00A64A28" w:rsidP="00A64A28">
      <w:pPr>
        <w:rPr>
          <w:i/>
          <w:vanish/>
        </w:rPr>
      </w:pPr>
      <w:r w:rsidRPr="00B2489D">
        <w:rPr>
          <w:i/>
        </w:rPr>
        <w:fldChar w:fldCharType="begin"/>
      </w:r>
      <w:r w:rsidRPr="00B2489D">
        <w:rPr>
          <w:i/>
        </w:rPr>
        <w:instrText xml:space="preserve"> TC"(</w:instrText>
      </w:r>
      <w:bookmarkStart w:id="2" w:name="DocNumber"/>
      <w:r w:rsidRPr="00B2489D">
        <w:rPr>
          <w:i/>
        </w:rPr>
        <w:instrText>A10-0070/2025</w:instrText>
      </w:r>
      <w:bookmarkEnd w:id="2"/>
      <w:r w:rsidRPr="00B2489D">
        <w:rPr>
          <w:i/>
        </w:rPr>
        <w:instrText xml:space="preserve"> - Poročevalec: Thomas Bajada)"\l3 \n&gt; \* MERGEFORMAT </w:instrText>
      </w:r>
      <w:r w:rsidRPr="00B2489D">
        <w:rPr>
          <w:i/>
        </w:rPr>
        <w:fldChar w:fldCharType="end"/>
      </w:r>
    </w:p>
    <w:p w14:paraId="418F378C" w14:textId="77777777" w:rsidR="00A64A28" w:rsidRPr="00B2489D" w:rsidRDefault="00A64A28" w:rsidP="00A64A28">
      <w:pPr>
        <w:rPr>
          <w:vanish/>
        </w:rPr>
      </w:pPr>
      <w:bookmarkStart w:id="3" w:name="Commission"/>
      <w:r w:rsidRPr="00B2489D">
        <w:rPr>
          <w:vanish/>
        </w:rPr>
        <w:t>Odbor za ribištvo</w:t>
      </w:r>
      <w:bookmarkEnd w:id="3"/>
    </w:p>
    <w:p w14:paraId="2E52C7AF" w14:textId="77777777" w:rsidR="00A64A28" w:rsidRPr="00B2489D" w:rsidRDefault="00A64A28" w:rsidP="00A64A28">
      <w:pPr>
        <w:rPr>
          <w:vanish/>
        </w:rPr>
      </w:pPr>
      <w:bookmarkStart w:id="4" w:name="PE"/>
      <w:r w:rsidRPr="00B2489D">
        <w:rPr>
          <w:vanish/>
        </w:rPr>
        <w:t>PE766.600</w:t>
      </w:r>
      <w:bookmarkEnd w:id="4"/>
    </w:p>
    <w:p w14:paraId="38C3458A" w14:textId="47AE6FEF" w:rsidR="00A64A28" w:rsidRPr="00B2489D" w:rsidRDefault="00A64A28" w:rsidP="00A64A28">
      <w:pPr>
        <w:pStyle w:val="ATHeading3"/>
      </w:pPr>
      <w:bookmarkStart w:id="5" w:name="Sujet"/>
      <w:r w:rsidRPr="00B2489D">
        <w:t xml:space="preserve">Zakonodajna resolucija Evropskega parlamenta z dne </w:t>
      </w:r>
      <w:r w:rsidR="005944F6" w:rsidRPr="00B2489D">
        <w:t>9</w:t>
      </w:r>
      <w:r w:rsidR="00CB02D2" w:rsidRPr="00B2489D">
        <w:t>. julija</w:t>
      </w:r>
      <w:r w:rsidRPr="00B2489D">
        <w:t xml:space="preserve"> 2025 o predlogu uredbe Evropskega parlamenta in Sveta o spremembi Uredbe (EU) št. 1026/2012 o nekaterih ukrepih za ohranjanje staležev rib v zvezi z državami, ki omogočajo netrajnostne načine ribolova</w:t>
      </w:r>
      <w:bookmarkEnd w:id="5"/>
      <w:r w:rsidRPr="00B2489D">
        <w:t xml:space="preserve"> </w:t>
      </w:r>
      <w:bookmarkStart w:id="6" w:name="References"/>
      <w:r w:rsidRPr="00B2489D">
        <w:t>(COM(2024)0407 – C10-0098/2024 – 2024/0224(COD))</w:t>
      </w:r>
      <w:bookmarkEnd w:id="6"/>
    </w:p>
    <w:p w14:paraId="0A08F533" w14:textId="77777777" w:rsidR="006A0E32" w:rsidRPr="00B2489D" w:rsidRDefault="006A0E32" w:rsidP="00B2489D"/>
    <w:p w14:paraId="511CB59D" w14:textId="77777777" w:rsidR="00A72232" w:rsidRPr="00B2489D" w:rsidRDefault="00A72232" w:rsidP="00A72232">
      <w:pPr>
        <w:pStyle w:val="NormalBold"/>
      </w:pPr>
      <w:r w:rsidRPr="00B2489D">
        <w:t>(Redni zakonodajni postopek: prva obravnava)</w:t>
      </w:r>
    </w:p>
    <w:p w14:paraId="55702CF6" w14:textId="77777777" w:rsidR="00A72232" w:rsidRPr="00B2489D" w:rsidRDefault="00A72232" w:rsidP="00A72232">
      <w:pPr>
        <w:pStyle w:val="EPComma"/>
      </w:pPr>
      <w:r w:rsidRPr="00B2489D">
        <w:rPr>
          <w:i/>
        </w:rPr>
        <w:t>Evropski parlament</w:t>
      </w:r>
      <w:r w:rsidRPr="00B2489D">
        <w:t>,</w:t>
      </w:r>
    </w:p>
    <w:p w14:paraId="4B79CCE8" w14:textId="77777777" w:rsidR="00A72232" w:rsidRPr="00B2489D" w:rsidRDefault="00A72232" w:rsidP="00A72232">
      <w:pPr>
        <w:pStyle w:val="NormalHanging12a"/>
      </w:pPr>
      <w:r w:rsidRPr="00B2489D">
        <w:t>–</w:t>
      </w:r>
      <w:r w:rsidRPr="00B2489D">
        <w:tab/>
        <w:t>ob upoštevanju predloga Komisije Evropskemu parlamentu in Svetu (COM(2024)0407),</w:t>
      </w:r>
    </w:p>
    <w:p w14:paraId="1AB6BD92" w14:textId="13F33FB7" w:rsidR="00A72232" w:rsidRPr="00B2489D" w:rsidRDefault="00A72232" w:rsidP="00A72232">
      <w:pPr>
        <w:pStyle w:val="NormalHanging12a"/>
      </w:pPr>
      <w:r w:rsidRPr="00B2489D">
        <w:t>–</w:t>
      </w:r>
      <w:r w:rsidRPr="00B2489D">
        <w:tab/>
        <w:t xml:space="preserve">ob upoštevanju člena 294(2) </w:t>
      </w:r>
      <w:r w:rsidR="006A0E32" w:rsidRPr="00B2489D">
        <w:t xml:space="preserve">ter </w:t>
      </w:r>
      <w:r w:rsidRPr="00B2489D">
        <w:t>členov 43(2) in 207 Pogodbe o delovanju Evropske unije, na podlagi katerih je Komisija podala predlog Parlamentu (C10</w:t>
      </w:r>
      <w:r w:rsidRPr="00B2489D">
        <w:noBreakHyphen/>
        <w:t>0098/2024),</w:t>
      </w:r>
    </w:p>
    <w:p w14:paraId="6F9342FB" w14:textId="77777777" w:rsidR="00A72232" w:rsidRPr="00B2489D" w:rsidRDefault="00A72232" w:rsidP="00A72232">
      <w:pPr>
        <w:pStyle w:val="NormalHanging12a"/>
      </w:pPr>
      <w:r w:rsidRPr="00B2489D">
        <w:t>–</w:t>
      </w:r>
      <w:r w:rsidRPr="00B2489D">
        <w:tab/>
        <w:t>ob upoštevanju člena 294(3) Pogodbe o delovanju Evropske unije,</w:t>
      </w:r>
    </w:p>
    <w:p w14:paraId="7F7D992E" w14:textId="77777777" w:rsidR="00A72232" w:rsidRPr="00B2489D" w:rsidRDefault="00A72232" w:rsidP="00A72232">
      <w:pPr>
        <w:pStyle w:val="NormalHanging12a"/>
      </w:pPr>
      <w:r w:rsidRPr="00B2489D">
        <w:t>–</w:t>
      </w:r>
      <w:r w:rsidRPr="00B2489D">
        <w:tab/>
        <w:t>ob upoštevanju mnenja Evropskega ekonomsko-socialnega odbora z dne 22. januarja 2025</w:t>
      </w:r>
      <w:r w:rsidRPr="00B2489D">
        <w:rPr>
          <w:rStyle w:val="FootnoteReference"/>
        </w:rPr>
        <w:footnoteReference w:id="1"/>
      </w:r>
      <w:r w:rsidRPr="00B2489D">
        <w:t>,</w:t>
      </w:r>
    </w:p>
    <w:p w14:paraId="42A1A9D0" w14:textId="412AAE7B" w:rsidR="005944F6" w:rsidRPr="00B2489D" w:rsidRDefault="005944F6" w:rsidP="00A72232">
      <w:pPr>
        <w:pStyle w:val="NormalHanging12a"/>
      </w:pPr>
      <w:r w:rsidRPr="00B2489D">
        <w:t>–</w:t>
      </w:r>
      <w:r w:rsidRPr="00B2489D">
        <w:tab/>
        <w:t>ob upoštevanju začasnega dogovora, ki ga je odobril pristojni odbor na podlagi člena 75(4) Poslovnika, in zaveze predstavnika Sveta v pismu z dne 11. junija 2025, da bo odobril stališče Evropskega parlamenta v skladu s členom 294(4) Pogodbe o delovanju Evropske unije,</w:t>
      </w:r>
    </w:p>
    <w:p w14:paraId="106A7F9C" w14:textId="77777777" w:rsidR="00A72232" w:rsidRPr="00B2489D" w:rsidRDefault="00A72232" w:rsidP="00A72232">
      <w:pPr>
        <w:pStyle w:val="NormalHanging12a"/>
      </w:pPr>
      <w:r w:rsidRPr="00B2489D">
        <w:t>–</w:t>
      </w:r>
      <w:r w:rsidRPr="00B2489D">
        <w:tab/>
        <w:t>ob upoštevanju člena 60 Poslovnika,</w:t>
      </w:r>
    </w:p>
    <w:p w14:paraId="60AE4DED" w14:textId="77777777" w:rsidR="00A72232" w:rsidRPr="00B2489D" w:rsidRDefault="00A72232" w:rsidP="00A72232">
      <w:pPr>
        <w:pStyle w:val="NormalHanging12a"/>
      </w:pPr>
      <w:r w:rsidRPr="00B2489D">
        <w:t>–</w:t>
      </w:r>
      <w:r w:rsidRPr="00B2489D">
        <w:tab/>
        <w:t>ob upoštevanju poročila Odbora za ribištvo (A10</w:t>
      </w:r>
      <w:r w:rsidRPr="00B2489D">
        <w:noBreakHyphen/>
        <w:t>0070/2025),</w:t>
      </w:r>
    </w:p>
    <w:p w14:paraId="19F0572A" w14:textId="77777777" w:rsidR="00A72232" w:rsidRPr="00B2489D" w:rsidRDefault="00A72232" w:rsidP="00A72232">
      <w:pPr>
        <w:pStyle w:val="NormalHanging12a"/>
      </w:pPr>
      <w:r w:rsidRPr="00B2489D">
        <w:t>1.</w:t>
      </w:r>
      <w:r w:rsidRPr="00B2489D">
        <w:tab/>
        <w:t>sprejme stališče v prvi obravnavi, kakor je določeno v nadaljevanju;</w:t>
      </w:r>
    </w:p>
    <w:p w14:paraId="344CA679" w14:textId="77777777" w:rsidR="00A72232" w:rsidRPr="00B2489D" w:rsidRDefault="00A72232" w:rsidP="00A72232">
      <w:pPr>
        <w:pStyle w:val="NormalHanging12a"/>
      </w:pPr>
      <w:r w:rsidRPr="00B2489D">
        <w:lastRenderedPageBreak/>
        <w:t>2.</w:t>
      </w:r>
      <w:r w:rsidRPr="00B2489D">
        <w:tab/>
        <w:t>poziva Komisijo, naj mu zadevo ponovno predloži, če svoj predlog nadomesti, ga bistveno spremeni ali ga namerava bistveno spremeniti;</w:t>
      </w:r>
    </w:p>
    <w:p w14:paraId="22BC1C85" w14:textId="77777777" w:rsidR="00BD2C29" w:rsidRPr="00B2489D" w:rsidRDefault="00A72232" w:rsidP="00BD2C29">
      <w:pPr>
        <w:spacing w:after="240"/>
        <w:ind w:left="567" w:hanging="567"/>
      </w:pPr>
      <w:r w:rsidRPr="00B2489D">
        <w:t>3.</w:t>
      </w:r>
      <w:r w:rsidRPr="00B2489D">
        <w:tab/>
        <w:t>naroči svoji predsednici, naj stališče Parlamenta posreduje Svetu in Komisiji ter nacionalnim parlamentom.</w:t>
      </w:r>
    </w:p>
    <w:p w14:paraId="74618564" w14:textId="77777777" w:rsidR="00BD2C29" w:rsidRPr="00B2489D" w:rsidRDefault="00BD2C29" w:rsidP="00BD2C29">
      <w:pPr>
        <w:spacing w:after="240"/>
        <w:ind w:left="567" w:hanging="567"/>
        <w:rPr>
          <w:b/>
        </w:rPr>
        <w:sectPr w:rsidR="00BD2C29" w:rsidRPr="00B2489D" w:rsidSect="008511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8775DDA" w14:textId="259EECE4" w:rsidR="00BD2C29" w:rsidRPr="00B2489D" w:rsidRDefault="00BD2C29" w:rsidP="00BD2C29">
      <w:pPr>
        <w:spacing w:after="240"/>
        <w:ind w:left="567" w:hanging="567"/>
        <w:rPr>
          <w:b/>
        </w:rPr>
      </w:pPr>
      <w:r w:rsidRPr="00B2489D">
        <w:rPr>
          <w:b/>
        </w:rPr>
        <w:lastRenderedPageBreak/>
        <w:t>P10_TC1-COD(2024)0224</w:t>
      </w:r>
    </w:p>
    <w:p w14:paraId="47A3B1EC" w14:textId="66A95AAC" w:rsidR="000629A3" w:rsidRDefault="00BD2C29" w:rsidP="000629A3">
      <w:pPr>
        <w:widowControl/>
        <w:spacing w:after="240"/>
        <w:rPr>
          <w:b/>
          <w:color w:val="000000"/>
          <w:szCs w:val="24"/>
          <w:lang w:eastAsia="en-US"/>
        </w:rPr>
      </w:pPr>
      <w:r w:rsidRPr="00B2489D">
        <w:rPr>
          <w:b/>
        </w:rPr>
        <w:t xml:space="preserve">Stališče Evropskega parlamenta, sprejeto v prvi obravnavi 9. julija 2025 z namenom sprejetja Uredbe (EU) 2025/... Evropskega parlamenta in Sveta </w:t>
      </w:r>
      <w:r w:rsidRPr="00B2489D">
        <w:rPr>
          <w:rFonts w:eastAsia="Calibri"/>
          <w:b/>
          <w:szCs w:val="22"/>
          <w:lang w:eastAsia="en-US"/>
        </w:rPr>
        <w:t xml:space="preserve">o </w:t>
      </w:r>
      <w:r w:rsidR="000629A3" w:rsidRPr="00B2489D">
        <w:rPr>
          <w:b/>
          <w:color w:val="000000"/>
          <w:szCs w:val="24"/>
          <w:lang w:eastAsia="en-US"/>
        </w:rPr>
        <w:t xml:space="preserve">spremembi Uredbe (EU) št. 1026/2012 o nekaterih ukrepih za ohranjanje staležev rib v zvezi z državami, ki omogočajo </w:t>
      </w:r>
      <w:proofErr w:type="spellStart"/>
      <w:r w:rsidR="000629A3" w:rsidRPr="00B2489D">
        <w:rPr>
          <w:b/>
          <w:color w:val="000000"/>
          <w:szCs w:val="24"/>
          <w:lang w:eastAsia="en-US"/>
        </w:rPr>
        <w:t>netrajnostne</w:t>
      </w:r>
      <w:proofErr w:type="spellEnd"/>
      <w:r w:rsidR="000629A3" w:rsidRPr="00B2489D">
        <w:rPr>
          <w:b/>
          <w:color w:val="000000"/>
          <w:szCs w:val="24"/>
          <w:lang w:eastAsia="en-US"/>
        </w:rPr>
        <w:t xml:space="preserve"> načine ribolova</w:t>
      </w:r>
    </w:p>
    <w:p w14:paraId="7362ABB2" w14:textId="6E8BD99B" w:rsidR="001C2A06" w:rsidRPr="00B2489D" w:rsidRDefault="001C2A06" w:rsidP="001C2A06">
      <w:pPr>
        <w:spacing w:before="120" w:after="120"/>
        <w:rPr>
          <w:b/>
          <w:color w:val="000000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5</w:t>
      </w:r>
      <w:r w:rsidRPr="00B07478">
        <w:rPr>
          <w:i/>
        </w:rPr>
        <w:t>/</w:t>
      </w:r>
      <w:r>
        <w:rPr>
          <w:i/>
        </w:rPr>
        <w:t>2077</w:t>
      </w:r>
      <w:r w:rsidRPr="00B07478">
        <w:rPr>
          <w:i/>
        </w:rPr>
        <w:t>.)</w:t>
      </w:r>
    </w:p>
    <w:sectPr w:rsidR="001C2A06" w:rsidRPr="00B2489D" w:rsidSect="0085111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EAD26" w14:textId="77777777" w:rsidR="00A64A28" w:rsidRPr="0085111D" w:rsidRDefault="00A64A28">
      <w:r w:rsidRPr="0085111D">
        <w:separator/>
      </w:r>
    </w:p>
  </w:endnote>
  <w:endnote w:type="continuationSeparator" w:id="0">
    <w:p w14:paraId="01D832D8" w14:textId="77777777" w:rsidR="00A64A28" w:rsidRPr="0085111D" w:rsidRDefault="00A64A28">
      <w:r w:rsidRPr="008511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762AD" w14:textId="77777777" w:rsidR="00064002" w:rsidRPr="008511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97980" w14:textId="77777777" w:rsidR="00064002" w:rsidRPr="008511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EAC3" w14:textId="77777777" w:rsidR="00064002" w:rsidRPr="008511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1FCFD" w14:textId="77777777" w:rsidR="00A64A28" w:rsidRPr="0085111D" w:rsidRDefault="00A64A28">
      <w:r w:rsidRPr="0085111D">
        <w:separator/>
      </w:r>
    </w:p>
  </w:footnote>
  <w:footnote w:type="continuationSeparator" w:id="0">
    <w:p w14:paraId="6A595D0B" w14:textId="77777777" w:rsidR="00A64A28" w:rsidRPr="0085111D" w:rsidRDefault="00A64A28">
      <w:r w:rsidRPr="0085111D">
        <w:continuationSeparator/>
      </w:r>
    </w:p>
  </w:footnote>
  <w:footnote w:id="1">
    <w:p w14:paraId="6425808E" w14:textId="0A26F8D7" w:rsidR="00A72232" w:rsidRPr="000629A3" w:rsidRDefault="00A72232" w:rsidP="0085111D">
      <w:pPr>
        <w:pStyle w:val="FootnoteText"/>
        <w:ind w:left="567" w:hanging="567"/>
        <w:rPr>
          <w:sz w:val="24"/>
          <w:szCs w:val="24"/>
          <w:lang w:val="sl-SI"/>
        </w:rPr>
      </w:pPr>
      <w:r w:rsidRPr="000629A3">
        <w:rPr>
          <w:rStyle w:val="FootnoteReference"/>
          <w:sz w:val="24"/>
          <w:szCs w:val="24"/>
          <w:lang w:val="sl-SI"/>
        </w:rPr>
        <w:footnoteRef/>
      </w:r>
      <w:r w:rsidR="0085111D" w:rsidRPr="000629A3">
        <w:rPr>
          <w:sz w:val="24"/>
          <w:szCs w:val="24"/>
          <w:lang w:val="sl-SI"/>
        </w:rPr>
        <w:t xml:space="preserve"> </w:t>
      </w:r>
      <w:r w:rsidR="0085111D" w:rsidRPr="000629A3">
        <w:rPr>
          <w:sz w:val="24"/>
          <w:szCs w:val="24"/>
          <w:lang w:val="sl-SI"/>
        </w:rPr>
        <w:tab/>
      </w:r>
      <w:r w:rsidRPr="000629A3">
        <w:rPr>
          <w:sz w:val="24"/>
          <w:szCs w:val="24"/>
          <w:lang w:val="sl-SI"/>
        </w:rPr>
        <w:t xml:space="preserve">UL C, C/2025/1191, 21.3.2025, ELI: </w:t>
      </w:r>
      <w:hyperlink r:id="rId1" w:history="1">
        <w:r w:rsidRPr="000629A3">
          <w:rPr>
            <w:rStyle w:val="Hyperlink"/>
            <w:sz w:val="24"/>
            <w:szCs w:val="24"/>
            <w:lang w:val="sl-SI"/>
          </w:rPr>
          <w:t>http://data.europa.eu/eli/C/2025/1191/oj</w:t>
        </w:r>
      </w:hyperlink>
      <w:r w:rsidRPr="000629A3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2D04A" w14:textId="77777777" w:rsidR="00064002" w:rsidRPr="008511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81F74" w14:textId="77777777" w:rsidR="00064002" w:rsidRPr="008511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6BB2C" w14:textId="77777777" w:rsidR="00064002" w:rsidRPr="008511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4404038">
    <w:abstractNumId w:val="9"/>
  </w:num>
  <w:num w:numId="2" w16cid:durableId="647593892">
    <w:abstractNumId w:val="9"/>
  </w:num>
  <w:num w:numId="3" w16cid:durableId="382751195">
    <w:abstractNumId w:val="7"/>
  </w:num>
  <w:num w:numId="4" w16cid:durableId="1014183737">
    <w:abstractNumId w:val="7"/>
  </w:num>
  <w:num w:numId="5" w16cid:durableId="1545560337">
    <w:abstractNumId w:val="6"/>
  </w:num>
  <w:num w:numId="6" w16cid:durableId="1892380235">
    <w:abstractNumId w:val="6"/>
  </w:num>
  <w:num w:numId="7" w16cid:durableId="2048867714">
    <w:abstractNumId w:val="5"/>
  </w:num>
  <w:num w:numId="8" w16cid:durableId="659623720">
    <w:abstractNumId w:val="5"/>
  </w:num>
  <w:num w:numId="9" w16cid:durableId="290788741">
    <w:abstractNumId w:val="4"/>
  </w:num>
  <w:num w:numId="10" w16cid:durableId="394737728">
    <w:abstractNumId w:val="4"/>
  </w:num>
  <w:num w:numId="11" w16cid:durableId="986056235">
    <w:abstractNumId w:val="8"/>
  </w:num>
  <w:num w:numId="12" w16cid:durableId="222760724">
    <w:abstractNumId w:val="8"/>
  </w:num>
  <w:num w:numId="13" w16cid:durableId="1925989308">
    <w:abstractNumId w:val="3"/>
  </w:num>
  <w:num w:numId="14" w16cid:durableId="151064189">
    <w:abstractNumId w:val="3"/>
  </w:num>
  <w:num w:numId="15" w16cid:durableId="305088568">
    <w:abstractNumId w:val="2"/>
  </w:num>
  <w:num w:numId="16" w16cid:durableId="1475946388">
    <w:abstractNumId w:val="2"/>
  </w:num>
  <w:num w:numId="17" w16cid:durableId="653072574">
    <w:abstractNumId w:val="1"/>
  </w:num>
  <w:num w:numId="18" w16cid:durableId="421612698">
    <w:abstractNumId w:val="1"/>
  </w:num>
  <w:num w:numId="19" w16cid:durableId="1012299329">
    <w:abstractNumId w:val="0"/>
  </w:num>
  <w:num w:numId="20" w16cid:durableId="231543494">
    <w:abstractNumId w:val="0"/>
  </w:num>
  <w:num w:numId="21" w16cid:durableId="469445761">
    <w:abstractNumId w:val="9"/>
  </w:num>
  <w:num w:numId="22" w16cid:durableId="1919366237">
    <w:abstractNumId w:val="7"/>
  </w:num>
  <w:num w:numId="23" w16cid:durableId="1035275205">
    <w:abstractNumId w:val="6"/>
  </w:num>
  <w:num w:numId="24" w16cid:durableId="1212963992">
    <w:abstractNumId w:val="5"/>
  </w:num>
  <w:num w:numId="25" w16cid:durableId="2041470145">
    <w:abstractNumId w:val="4"/>
  </w:num>
  <w:num w:numId="26" w16cid:durableId="1071536907">
    <w:abstractNumId w:val="8"/>
  </w:num>
  <w:num w:numId="27" w16cid:durableId="1874683522">
    <w:abstractNumId w:val="3"/>
  </w:num>
  <w:num w:numId="28" w16cid:durableId="2135245040">
    <w:abstractNumId w:val="2"/>
  </w:num>
  <w:num w:numId="29" w16cid:durableId="155190240">
    <w:abstractNumId w:val="1"/>
  </w:num>
  <w:num w:numId="30" w16cid:durableId="1397168747">
    <w:abstractNumId w:val="0"/>
  </w:num>
  <w:num w:numId="31" w16cid:durableId="1219630083">
    <w:abstractNumId w:val="9"/>
  </w:num>
  <w:num w:numId="32" w16cid:durableId="265119901">
    <w:abstractNumId w:val="7"/>
  </w:num>
  <w:num w:numId="33" w16cid:durableId="154415005">
    <w:abstractNumId w:val="6"/>
  </w:num>
  <w:num w:numId="34" w16cid:durableId="1606501773">
    <w:abstractNumId w:val="5"/>
  </w:num>
  <w:num w:numId="35" w16cid:durableId="235483872">
    <w:abstractNumId w:val="4"/>
  </w:num>
  <w:num w:numId="36" w16cid:durableId="2031950573">
    <w:abstractNumId w:val="8"/>
  </w:num>
  <w:num w:numId="37" w16cid:durableId="1441803244">
    <w:abstractNumId w:val="3"/>
  </w:num>
  <w:num w:numId="38" w16cid:durableId="127861638">
    <w:abstractNumId w:val="2"/>
  </w:num>
  <w:num w:numId="39" w16cid:durableId="1007489236">
    <w:abstractNumId w:val="1"/>
  </w:num>
  <w:num w:numId="40" w16cid:durableId="1251155097">
    <w:abstractNumId w:val="0"/>
  </w:num>
  <w:num w:numId="41" w16cid:durableId="1776822202">
    <w:abstractNumId w:val="10"/>
  </w:num>
  <w:num w:numId="42" w16cid:durableId="2121752799">
    <w:abstractNumId w:val="10"/>
  </w:num>
  <w:num w:numId="43" w16cid:durableId="1705250779">
    <w:abstractNumId w:val="10"/>
  </w:num>
  <w:num w:numId="44" w16cid:durableId="288171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SL"/>
    <w:docVar w:name="dvnumam" w:val="25"/>
    <w:docVar w:name="dvpe" w:val="766.600"/>
    <w:docVar w:name="dvrapporteur" w:val="Poročevalec: "/>
    <w:docVar w:name="dvstar" w:val="***I"/>
    <w:docVar w:name="dvtitre" w:val="Zakonodajna resolucija Evropskega parlamenta z dne … 2025 o predlogu uredbe Evropskega parlamenta in Sveta o spremembi Uredbe (EU) št. 1026/2012 o nekaterih ukrepih za ohranjanje staležev rib v zvezi z državami, ki omogočajo netrajnostne načine ribolova(COM(2024)0407 – C10-0098/2024 – 2024/0224(COD))"/>
  </w:docVars>
  <w:rsids>
    <w:rsidRoot w:val="00A64A28"/>
    <w:rsid w:val="00002272"/>
    <w:rsid w:val="000629A3"/>
    <w:rsid w:val="00064002"/>
    <w:rsid w:val="000677B9"/>
    <w:rsid w:val="0008031D"/>
    <w:rsid w:val="000831BA"/>
    <w:rsid w:val="000A0311"/>
    <w:rsid w:val="000A42CC"/>
    <w:rsid w:val="000E7DD9"/>
    <w:rsid w:val="0010095E"/>
    <w:rsid w:val="00120EC2"/>
    <w:rsid w:val="00125B37"/>
    <w:rsid w:val="00187494"/>
    <w:rsid w:val="001C2A0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6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4F6"/>
    <w:rsid w:val="005C2568"/>
    <w:rsid w:val="005F1B17"/>
    <w:rsid w:val="006037C0"/>
    <w:rsid w:val="006631B6"/>
    <w:rsid w:val="00680577"/>
    <w:rsid w:val="006A0E32"/>
    <w:rsid w:val="006F74FA"/>
    <w:rsid w:val="00714A0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1D8"/>
    <w:rsid w:val="00842779"/>
    <w:rsid w:val="00847FFB"/>
    <w:rsid w:val="0085111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EC3"/>
    <w:rsid w:val="00A1687D"/>
    <w:rsid w:val="00A43E52"/>
    <w:rsid w:val="00A4678D"/>
    <w:rsid w:val="00A64A28"/>
    <w:rsid w:val="00A72232"/>
    <w:rsid w:val="00A778C7"/>
    <w:rsid w:val="00AB31EC"/>
    <w:rsid w:val="00AB441E"/>
    <w:rsid w:val="00AB6293"/>
    <w:rsid w:val="00AB7F0C"/>
    <w:rsid w:val="00AE0928"/>
    <w:rsid w:val="00AF3B82"/>
    <w:rsid w:val="00B12E95"/>
    <w:rsid w:val="00B22876"/>
    <w:rsid w:val="00B2489D"/>
    <w:rsid w:val="00B558F0"/>
    <w:rsid w:val="00BD2C29"/>
    <w:rsid w:val="00BD48FE"/>
    <w:rsid w:val="00BD7BD8"/>
    <w:rsid w:val="00BE6ADC"/>
    <w:rsid w:val="00C05BFE"/>
    <w:rsid w:val="00C23CD4"/>
    <w:rsid w:val="00C61C0C"/>
    <w:rsid w:val="00C941CB"/>
    <w:rsid w:val="00CB02D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2337F"/>
  <w15:chartTrackingRefBased/>
  <w15:docId w15:val="{BD7E0AFC-4E90-4B01-9C19-3CC96139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72232"/>
    <w:rPr>
      <w:b/>
    </w:rPr>
  </w:style>
  <w:style w:type="paragraph" w:customStyle="1" w:styleId="NormalHanging12a">
    <w:name w:val="NormalHanging12a"/>
    <w:basedOn w:val="Normal"/>
    <w:rsid w:val="00A7223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722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2232"/>
    <w:pPr>
      <w:spacing w:before="240"/>
    </w:pPr>
    <w:rPr>
      <w:b/>
    </w:rPr>
  </w:style>
  <w:style w:type="paragraph" w:customStyle="1" w:styleId="EPComma">
    <w:name w:val="EPComma"/>
    <w:basedOn w:val="Normal"/>
    <w:rsid w:val="00A7223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72232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A7223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72232"/>
    <w:rPr>
      <w:b/>
      <w:sz w:val="24"/>
      <w:lang w:val="sl-SI"/>
    </w:rPr>
  </w:style>
  <w:style w:type="paragraph" w:customStyle="1" w:styleId="ColumnHeading">
    <w:name w:val="ColumnHeading"/>
    <w:basedOn w:val="Normal"/>
    <w:rsid w:val="00A7223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722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72232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CB02D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02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44F6"/>
    <w:rPr>
      <w:sz w:val="24"/>
      <w:lang w:val="sl-SI"/>
    </w:rPr>
  </w:style>
  <w:style w:type="character" w:styleId="CommentReference">
    <w:name w:val="annotation reference"/>
    <w:basedOn w:val="DefaultParagraphFont"/>
    <w:rsid w:val="00BD2C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2C2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2C29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D2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2C29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6A0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0E32"/>
    <w:rPr>
      <w:rFonts w:ascii="Segoe UI" w:hAnsi="Segoe UI" w:cs="Segoe UI"/>
      <w:sz w:val="18"/>
      <w:szCs w:val="18"/>
      <w:lang w:val="sl-SI"/>
    </w:rPr>
  </w:style>
  <w:style w:type="paragraph" w:customStyle="1" w:styleId="FootnoteTextForceStyle">
    <w:name w:val="Footnote Text ForceStyle"/>
    <w:rsid w:val="000629A3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5D3C6-FCD7-4F8F-A6F7-8D33EFA6F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289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2025-10-21T12:08:00Z</dcterms:created>
  <dcterms:modified xsi:type="dcterms:W3CDTF">2025-10-21T12:08:00Z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