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5DEF" w:rsidTr="0010095E">
        <w:trPr>
          <w:trHeight w:hRule="exact" w:val="1418"/>
        </w:trPr>
        <w:tc>
          <w:tcPr>
            <w:tcW w:w="6804" w:type="dxa"/>
            <w:shd w:val="clear" w:color="auto" w:fill="auto"/>
            <w:vAlign w:val="center"/>
          </w:tcPr>
          <w:p w:rsidR="00751A4A" w:rsidRPr="006E5DEF" w:rsidRDefault="00A90697" w:rsidP="0010095E">
            <w:pPr>
              <w:pStyle w:val="EPName"/>
            </w:pPr>
            <w:r w:rsidRPr="006E5DEF">
              <w:t>Ευρωπαϊκό Κοινοβούλιο</w:t>
            </w:r>
          </w:p>
          <w:p w:rsidR="00751A4A" w:rsidRPr="006E5DEF" w:rsidRDefault="005F1B17" w:rsidP="005F1B17">
            <w:pPr>
              <w:pStyle w:val="EPTerm"/>
              <w:rPr>
                <w:rStyle w:val="HideTWBExt"/>
                <w:noProof w:val="0"/>
                <w:vanish w:val="0"/>
                <w:color w:val="auto"/>
              </w:rPr>
            </w:pPr>
            <w:r w:rsidRPr="006E5DEF">
              <w:t>2024</w:t>
            </w:r>
            <w:r w:rsidR="00817416" w:rsidRPr="006E5DEF">
              <w:t>-202</w:t>
            </w:r>
            <w:r w:rsidRPr="006E5DEF">
              <w:t>9</w:t>
            </w:r>
          </w:p>
        </w:tc>
        <w:tc>
          <w:tcPr>
            <w:tcW w:w="2268" w:type="dxa"/>
            <w:shd w:val="clear" w:color="auto" w:fill="auto"/>
          </w:tcPr>
          <w:p w:rsidR="00751A4A" w:rsidRPr="006E5DEF" w:rsidRDefault="00187494" w:rsidP="0010095E">
            <w:pPr>
              <w:pStyle w:val="EPLogo"/>
            </w:pPr>
            <w:r w:rsidRPr="006E5D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E5DEF" w:rsidRDefault="00D058B8" w:rsidP="004C5D52">
      <w:pPr>
        <w:pStyle w:val="LineTop"/>
      </w:pPr>
    </w:p>
    <w:p w:rsidR="00680577" w:rsidRPr="006E5DEF" w:rsidRDefault="00A90697" w:rsidP="00680577">
      <w:pPr>
        <w:pStyle w:val="EPBodyTA1"/>
      </w:pPr>
      <w:r w:rsidRPr="006E5DEF">
        <w:t>ΚΕΙΜΕΝΑ ΠΟΥ ΕΓΚΡΙΘΗΚΑΝ</w:t>
      </w:r>
    </w:p>
    <w:p w:rsidR="00D058B8" w:rsidRPr="006E5DEF" w:rsidRDefault="00D058B8" w:rsidP="00D058B8">
      <w:pPr>
        <w:pStyle w:val="LineBottom"/>
      </w:pPr>
    </w:p>
    <w:p w:rsidR="00A90697" w:rsidRPr="006E5DEF" w:rsidRDefault="00A90697" w:rsidP="00A90697">
      <w:pPr>
        <w:pStyle w:val="ATHeading1"/>
      </w:pPr>
      <w:bookmarkStart w:id="0" w:name="TANumber"/>
      <w:r w:rsidRPr="006E5DEF">
        <w:t>P10_TA(2025)0</w:t>
      </w:r>
      <w:r w:rsidR="006E5DEF" w:rsidRPr="006E5DEF">
        <w:t>15</w:t>
      </w:r>
      <w:r w:rsidR="00910AD9">
        <w:t>1</w:t>
      </w:r>
      <w:bookmarkStart w:id="1" w:name="_GoBack"/>
      <w:bookmarkEnd w:id="0"/>
      <w:bookmarkEnd w:id="1"/>
    </w:p>
    <w:p w:rsidR="00A90697" w:rsidRPr="006E5DEF" w:rsidRDefault="00011F25" w:rsidP="00011F25">
      <w:pPr>
        <w:pStyle w:val="ATHeading2"/>
      </w:pPr>
      <w:bookmarkStart w:id="2" w:name="title"/>
      <w:r w:rsidRPr="006E5DEF">
        <w:t>Σχέδιο διορθωτικού προϋπολογισμού αριθ. 1/2025: Εγγραφή του πλεονάσματος του οικονομικού έτους 2024</w:t>
      </w:r>
      <w:bookmarkEnd w:id="2"/>
    </w:p>
    <w:p w:rsidR="00A90697" w:rsidRPr="006E5DEF" w:rsidRDefault="00A90697" w:rsidP="00A90697">
      <w:pPr>
        <w:rPr>
          <w:i/>
          <w:vanish/>
        </w:rPr>
      </w:pPr>
      <w:r w:rsidRPr="006E5DEF">
        <w:rPr>
          <w:i/>
        </w:rPr>
        <w:fldChar w:fldCharType="begin"/>
      </w:r>
      <w:r w:rsidRPr="006E5DEF">
        <w:rPr>
          <w:i/>
        </w:rPr>
        <w:instrText xml:space="preserve"> TC"(</w:instrText>
      </w:r>
      <w:bookmarkStart w:id="3" w:name="DocNumber"/>
      <w:r w:rsidRPr="006E5DEF">
        <w:rPr>
          <w:i/>
        </w:rPr>
        <w:instrText>A10-0116/2025</w:instrText>
      </w:r>
      <w:bookmarkEnd w:id="3"/>
      <w:r w:rsidRPr="006E5DEF">
        <w:rPr>
          <w:i/>
        </w:rPr>
        <w:instrText xml:space="preserve"> - Εισηγητής: Victor Negrescu)"\l3 \n&gt; \* MERGEFORMAT </w:instrText>
      </w:r>
      <w:r w:rsidRPr="006E5DEF">
        <w:rPr>
          <w:i/>
        </w:rPr>
        <w:fldChar w:fldCharType="end"/>
      </w:r>
    </w:p>
    <w:p w:rsidR="00A90697" w:rsidRPr="006E5DEF" w:rsidRDefault="00A90697" w:rsidP="00A90697">
      <w:pPr>
        <w:rPr>
          <w:vanish/>
        </w:rPr>
      </w:pPr>
      <w:bookmarkStart w:id="4" w:name="Commission"/>
      <w:r w:rsidRPr="006E5DEF">
        <w:rPr>
          <w:vanish/>
        </w:rPr>
        <w:t>Επιτροπή Προϋπολογισμών</w:t>
      </w:r>
      <w:bookmarkEnd w:id="4"/>
    </w:p>
    <w:p w:rsidR="00A90697" w:rsidRPr="006E5DEF" w:rsidRDefault="00A90697" w:rsidP="00A90697">
      <w:pPr>
        <w:rPr>
          <w:vanish/>
        </w:rPr>
      </w:pPr>
      <w:bookmarkStart w:id="5" w:name="PE"/>
      <w:r w:rsidRPr="006E5DEF">
        <w:rPr>
          <w:vanish/>
        </w:rPr>
        <w:t>PE773.098</w:t>
      </w:r>
      <w:bookmarkEnd w:id="5"/>
    </w:p>
    <w:p w:rsidR="00A90697" w:rsidRPr="006E5DEF" w:rsidRDefault="00A90697" w:rsidP="00A90697">
      <w:pPr>
        <w:pStyle w:val="ATHeading3"/>
      </w:pPr>
      <w:bookmarkStart w:id="6" w:name="Sujet"/>
      <w:r w:rsidRPr="006E5DEF">
        <w:t xml:space="preserve">Ψήφισμα του Ευρωπαϊκού Κοινοβουλίου </w:t>
      </w:r>
      <w:r w:rsidR="00011F25" w:rsidRPr="006E5DEF">
        <w:t xml:space="preserve">της 9ης Ιουλίου 2025 </w:t>
      </w:r>
      <w:r w:rsidRPr="006E5DEF">
        <w:t>σχετικά με τη θέση του Συμβουλίου επί του σχεδίου διορθωτικού προϋπολογισμού αριθ. 1/2025 της Ευρωπαϊκής Ένωσης για το οικονομικό έτος 2025 – Εγγραφή του πλεονάσματος του οικονομικού έτους 2024</w:t>
      </w:r>
      <w:bookmarkEnd w:id="6"/>
      <w:r w:rsidRPr="006E5DEF">
        <w:t xml:space="preserve"> </w:t>
      </w:r>
      <w:bookmarkStart w:id="7" w:name="References"/>
      <w:r w:rsidRPr="006E5DEF">
        <w:t>(09619/2025 – C10-0125/2025 – 2025/0091(BUD))</w:t>
      </w:r>
      <w:bookmarkEnd w:id="7"/>
    </w:p>
    <w:p w:rsidR="00446F77" w:rsidRPr="006E5DEF" w:rsidRDefault="00446F77" w:rsidP="00446F77">
      <w:pPr>
        <w:pStyle w:val="EPComma"/>
      </w:pPr>
      <w:bookmarkStart w:id="8" w:name="TextBodyBegin"/>
      <w:bookmarkEnd w:id="8"/>
      <w:r w:rsidRPr="006E5DEF">
        <w:rPr>
          <w:i/>
          <w:iCs/>
        </w:rPr>
        <w:t>Το Ευρωπαϊκό Κοινοβούλιο</w:t>
      </w:r>
      <w:r w:rsidRPr="006E5DEF">
        <w:t>,</w:t>
      </w:r>
    </w:p>
    <w:p w:rsidR="00446F77" w:rsidRPr="006E5DEF" w:rsidRDefault="00446F77" w:rsidP="001068D2">
      <w:pPr>
        <w:pStyle w:val="NormalHanging12a"/>
      </w:pPr>
      <w:r w:rsidRPr="006E5DEF">
        <w:t>–</w:t>
      </w:r>
      <w:r w:rsidRPr="006E5DEF">
        <w:tab/>
        <w:t>έχοντας υπόψη το άρθρο 314 της Συνθήκης για τη λειτουργία της Ευρωπαϊκής Ένωσης,</w:t>
      </w:r>
    </w:p>
    <w:p w:rsidR="00446F77" w:rsidRPr="006E5DEF" w:rsidRDefault="00446F77">
      <w:pPr>
        <w:pStyle w:val="NormalHanging12a"/>
      </w:pPr>
      <w:r w:rsidRPr="006E5DEF">
        <w:t>–</w:t>
      </w:r>
      <w:r w:rsidRPr="006E5DEF">
        <w:tab/>
        <w:t>έχοντας υπόψη το άρθρο 106α της Συνθήκης περί ιδρύσεως της Ευρωπαϊκής Κοινότητας Ατομικής Ενεργείας,</w:t>
      </w:r>
    </w:p>
    <w:p w:rsidR="00446F77" w:rsidRPr="006E5DEF" w:rsidRDefault="00446F77">
      <w:pPr>
        <w:pStyle w:val="NormalHanging12a"/>
      </w:pPr>
      <w:r w:rsidRPr="006E5DEF">
        <w:t>–</w:t>
      </w:r>
      <w:r w:rsidRPr="006E5DEF">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6E5DEF">
        <w:rPr>
          <w:rStyle w:val="FootnoteReference"/>
        </w:rPr>
        <w:footnoteReference w:id="1"/>
      </w:r>
      <w:r w:rsidRPr="006E5DEF">
        <w:t>, και ιδίως το άρθρο 44,</w:t>
      </w:r>
    </w:p>
    <w:p w:rsidR="00446F77" w:rsidRPr="006E5DEF" w:rsidRDefault="00446F77">
      <w:pPr>
        <w:pStyle w:val="NormalHanging12a"/>
      </w:pPr>
      <w:r w:rsidRPr="006E5DEF">
        <w:t>–</w:t>
      </w:r>
      <w:r w:rsidRPr="006E5DEF">
        <w:tab/>
        <w:t>έχοντας υπόψη τον γενικό προϋπολογισμό της Ευρωπαϊκής Ένωσης για το οικονομικό έτος 2025, που εκδόθηκε οριστικά στις 27 Νοεμβρίου 2024</w:t>
      </w:r>
      <w:r w:rsidRPr="006E5DEF">
        <w:rPr>
          <w:rStyle w:val="FootnoteReference"/>
        </w:rPr>
        <w:footnoteReference w:id="2"/>
      </w:r>
      <w:r w:rsidRPr="006E5DEF">
        <w:t>,</w:t>
      </w:r>
    </w:p>
    <w:p w:rsidR="00446F77" w:rsidRPr="006E5DEF" w:rsidRDefault="00446F77">
      <w:pPr>
        <w:pStyle w:val="NormalHanging12a"/>
      </w:pPr>
      <w:r w:rsidRPr="006E5DEF">
        <w:t>–</w:t>
      </w:r>
      <w:r w:rsidRPr="006E5DEF">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6E5DEF">
        <w:rPr>
          <w:rStyle w:val="FootnoteReference"/>
        </w:rPr>
        <w:footnoteReference w:id="3"/>
      </w:r>
      <w:r w:rsidRPr="006E5DEF">
        <w:t>,</w:t>
      </w:r>
    </w:p>
    <w:p w:rsidR="00446F77" w:rsidRPr="006E5DEF" w:rsidRDefault="00446F77">
      <w:pPr>
        <w:pStyle w:val="NormalHanging12a"/>
      </w:pPr>
      <w:r w:rsidRPr="006E5DEF">
        <w:t>–</w:t>
      </w:r>
      <w:r w:rsidRPr="006E5DEF">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6E5DEF">
        <w:rPr>
          <w:rStyle w:val="FootnoteReference"/>
        </w:rPr>
        <w:footnoteReference w:id="4"/>
      </w:r>
      <w:r w:rsidRPr="006E5DEF">
        <w:t xml:space="preserve"> (διοργανική συμφωνία της 16ης Δεκεμβρίου 2020),</w:t>
      </w:r>
    </w:p>
    <w:p w:rsidR="00446F77" w:rsidRPr="006E5DEF" w:rsidRDefault="00446F77">
      <w:pPr>
        <w:pStyle w:val="NormalHanging12a"/>
      </w:pPr>
      <w:r w:rsidRPr="006E5DEF">
        <w:lastRenderedPageBreak/>
        <w:t>–</w:t>
      </w:r>
      <w:r w:rsidRPr="006E5DEF">
        <w:tab/>
        <w:t>έχοντας υπόψη την απόφαση (ΕΕ, Ευρατόμ) 2020/2053/ΕΕ του Συμβουλίου, της 14ης Δεκεμβρίου 2020, για το σύστημα των ιδίων πόρων της Ευρωπαϊκής Ένωσης και για την κατάργηση της απόφασης 2014/335/ΕΕ, Ευρατόμ</w:t>
      </w:r>
      <w:r w:rsidRPr="006E5DEF">
        <w:rPr>
          <w:rStyle w:val="FootnoteReference"/>
        </w:rPr>
        <w:footnoteReference w:id="5"/>
      </w:r>
      <w:r w:rsidRPr="006E5DEF">
        <w:t>,</w:t>
      </w:r>
    </w:p>
    <w:p w:rsidR="00446F77" w:rsidRPr="006E5DEF" w:rsidRDefault="00446F77">
      <w:pPr>
        <w:pStyle w:val="NormalHanging12a"/>
      </w:pPr>
      <w:r w:rsidRPr="006E5DEF">
        <w:t>–</w:t>
      </w:r>
      <w:r w:rsidRPr="006E5DEF">
        <w:tab/>
        <w:t>έχοντας υπόψη το σχέδιο διορθωτικού προϋπολογισμού αριθ. 1/2025, που εγκρίθηκε από την Επιτροπή στις 9 Απριλίου 2025 (COM(2025)0350),</w:t>
      </w:r>
    </w:p>
    <w:p w:rsidR="00446F77" w:rsidRPr="006E5DEF" w:rsidRDefault="00446F77">
      <w:pPr>
        <w:pStyle w:val="NormalHanging12a"/>
      </w:pPr>
      <w:r w:rsidRPr="006E5DEF">
        <w:t>–</w:t>
      </w:r>
      <w:r w:rsidRPr="006E5DEF">
        <w:tab/>
        <w:t>έχοντας υπόψη τη θέση επί του σχεδίου διορθωτικού προϋπολογισμού αριθ. 1/2025, που εγκρίθηκε από το Συμβούλιο στις 16 Ιουνίου 2025 και διαβιβάστηκε στο Κοινοβούλιο στις 18 Ιουνίου 2025 (09619/2025 – C10-0125/2025),</w:t>
      </w:r>
    </w:p>
    <w:p w:rsidR="00446F77" w:rsidRPr="006E5DEF" w:rsidRDefault="00446F77">
      <w:pPr>
        <w:pStyle w:val="NormalHanging12a"/>
      </w:pPr>
      <w:r w:rsidRPr="006E5DEF">
        <w:t>–</w:t>
      </w:r>
      <w:r w:rsidRPr="006E5DEF">
        <w:tab/>
        <w:t>έχοντας υπόψη τα άρθρα 96 και 98 του Κανονισμού του,</w:t>
      </w:r>
    </w:p>
    <w:p w:rsidR="00446F77" w:rsidRPr="006E5DEF" w:rsidRDefault="00446F77">
      <w:pPr>
        <w:pStyle w:val="NormalHanging12a"/>
      </w:pPr>
      <w:r w:rsidRPr="006E5DEF">
        <w:t>–</w:t>
      </w:r>
      <w:r w:rsidRPr="006E5DEF">
        <w:tab/>
        <w:t>έχοντας υπόψη την έκθεση της Επιτροπής Προϋπολογισμών (A10-0116/2025),</w:t>
      </w:r>
    </w:p>
    <w:p w:rsidR="00446F77" w:rsidRPr="006E5DEF" w:rsidRDefault="00446F77">
      <w:pPr>
        <w:pStyle w:val="NormalHanging12a"/>
      </w:pPr>
      <w:r w:rsidRPr="006E5DEF">
        <w:t>Α.</w:t>
      </w:r>
      <w:r w:rsidRPr="006E5DEF">
        <w:tab/>
      </w:r>
      <w:r w:rsidRPr="006E5DEF">
        <w:rPr>
          <w:color w:val="000000"/>
        </w:rPr>
        <w:t>λαμβάνοντας υπόψη ότι σκοπός του σχεδίου διορθωτικού προϋπολογισμού αριθ. 1/2025 είναι να εγγράψει στον προϋπολογισμό του 2025 το πλεόνασμα που προκύπτει από την εκτέλεση του οικονομικού έτους 2024, το οποίο ανέρχεται σε 1</w:t>
      </w:r>
      <w:r w:rsidR="00011F25" w:rsidRPr="006E5DEF">
        <w:rPr>
          <w:color w:val="000000"/>
        </w:rPr>
        <w:t> </w:t>
      </w:r>
      <w:r w:rsidRPr="006E5DEF">
        <w:rPr>
          <w:color w:val="000000"/>
        </w:rPr>
        <w:t>345</w:t>
      </w:r>
      <w:r w:rsidR="00011F25" w:rsidRPr="006E5DEF">
        <w:rPr>
          <w:color w:val="000000"/>
        </w:rPr>
        <w:t> </w:t>
      </w:r>
      <w:r w:rsidRPr="006E5DEF">
        <w:rPr>
          <w:color w:val="000000"/>
        </w:rPr>
        <w:t>δισεκατομμύρια EUR·</w:t>
      </w:r>
    </w:p>
    <w:p w:rsidR="00446F77" w:rsidRPr="006E5DEF" w:rsidRDefault="00446F77">
      <w:pPr>
        <w:pStyle w:val="NormalHanging12a"/>
      </w:pPr>
      <w:r w:rsidRPr="006E5DEF">
        <w:t>Β.</w:t>
      </w:r>
      <w:r w:rsidRPr="006E5DEF">
        <w:tab/>
      </w:r>
      <w:r w:rsidRPr="006E5DEF">
        <w:rPr>
          <w:color w:val="000000"/>
        </w:rPr>
        <w:t>λαμβάνοντας υπόψη ότι οι κύριες συνιστώσες του εν λόγω πλεονάσματος είναι ένα θετικό αποτέλεσμα στα έσοδα ύψους 1</w:t>
      </w:r>
      <w:r w:rsidR="00011F25" w:rsidRPr="006E5DEF">
        <w:rPr>
          <w:color w:val="000000"/>
        </w:rPr>
        <w:t> </w:t>
      </w:r>
      <w:r w:rsidRPr="006E5DEF">
        <w:rPr>
          <w:color w:val="000000"/>
        </w:rPr>
        <w:t>072 δισεκατομμυρίων EUR και ένα μη δαπανηθέν ποσό ύψους 272,5 εκατομμυρίων EUR·</w:t>
      </w:r>
    </w:p>
    <w:p w:rsidR="00446F77" w:rsidRPr="006E5DEF" w:rsidRDefault="00446F77">
      <w:pPr>
        <w:pStyle w:val="NormalHanging12a"/>
      </w:pPr>
      <w:r w:rsidRPr="006E5DEF">
        <w:t>Γ.</w:t>
      </w:r>
      <w:r w:rsidRPr="006E5DEF">
        <w:tab/>
      </w:r>
      <w:r w:rsidRPr="006E5DEF">
        <w:rPr>
          <w:color w:val="000000"/>
        </w:rPr>
        <w:t>λαμβάνοντας υπόψη ότι, στο σκέλος των εσόδων, ο κύριος παράγοντας για τον όγκο του πλεονάσματος είναι ποσό ύψους 1</w:t>
      </w:r>
      <w:r w:rsidR="00011F25" w:rsidRPr="006E5DEF">
        <w:rPr>
          <w:color w:val="000000"/>
        </w:rPr>
        <w:t> </w:t>
      </w:r>
      <w:r w:rsidRPr="006E5DEF">
        <w:rPr>
          <w:color w:val="000000"/>
        </w:rPr>
        <w:t>211 δισεκατομμυρίων EUR σε χρηματοοικονομικά έσοδα, τόκους υπερημερίας και πρόστιμα· λαμβάνοντας υπόψη ότι η εκτέλεση των ιδίων πόρων στον τίτλο 1 παραμένει πολύ κοντά στα ποσά που έχουν εγγραφεί στον προϋπολογισμό του 2024 (συμπεριλαμβανομένων των διορθωτικών προϋπολογισμών αριθ. 1</w:t>
      </w:r>
      <w:r w:rsidR="00011F25" w:rsidRPr="006E5DEF">
        <w:rPr>
          <w:color w:val="000000"/>
        </w:rPr>
        <w:t xml:space="preserve"> έως </w:t>
      </w:r>
      <w:r w:rsidRPr="006E5DEF">
        <w:rPr>
          <w:color w:val="000000"/>
        </w:rPr>
        <w:t>5)·</w:t>
      </w:r>
    </w:p>
    <w:p w:rsidR="00446F77" w:rsidRPr="006E5DEF" w:rsidRDefault="00446F77">
      <w:pPr>
        <w:pStyle w:val="NormalHanging12a"/>
      </w:pPr>
      <w:r w:rsidRPr="006E5DEF">
        <w:t>Δ.</w:t>
      </w:r>
      <w:r w:rsidRPr="006E5DEF">
        <w:tab/>
      </w:r>
      <w:r w:rsidRPr="006E5DEF">
        <w:rPr>
          <w:color w:val="000000"/>
        </w:rPr>
        <w:t>λαμβάνοντας υπόψη ότι, από την πλευρά των δαπανών, η υστέρηση εκτέλεσης των πληρωμών από όλα τα θεσμικά όργανα, συμπεριλαμβανομένων των ακυρώσεων πιστώσεων που μεταφέρθηκαν, ανήλθε συνολικά σε 273 εκατομμύρια EUR (που αντιστοιχεί στο 0,02 % των εγκεκριμένων πιστώσεων πληρωμών)·</w:t>
      </w:r>
    </w:p>
    <w:p w:rsidR="00446F77" w:rsidRPr="006E5DEF" w:rsidRDefault="006E5DEF" w:rsidP="006E5DEF">
      <w:pPr>
        <w:pStyle w:val="NormalHanging12a"/>
        <w:ind w:left="570" w:hanging="570"/>
      </w:pPr>
      <w:r w:rsidRPr="006E5DEF">
        <w:t>1.</w:t>
      </w:r>
      <w:r w:rsidRPr="006E5DEF">
        <w:tab/>
      </w:r>
      <w:r w:rsidR="00446F77" w:rsidRPr="006E5DEF">
        <w:rPr>
          <w:color w:val="000000"/>
        </w:rPr>
        <w:t>λαμβάνει γνώση του σχεδίου διορθωτικού προϋπολογισμού αριθ. 1/2025, όπως υποβλήθηκε από την Επιτροπή, σκοπός του οποίου είναι η εγγραφή στον προϋπολογισμό του πλεονάσματος του 2024, δηλαδή ποσού 1</w:t>
      </w:r>
      <w:r w:rsidR="00011F25" w:rsidRPr="006E5DEF">
        <w:rPr>
          <w:color w:val="000000"/>
        </w:rPr>
        <w:t> </w:t>
      </w:r>
      <w:r w:rsidR="00446F77" w:rsidRPr="006E5DEF">
        <w:rPr>
          <w:color w:val="000000"/>
        </w:rPr>
        <w:t>345 δισεκατομμυρίων EUR, σύμφωνα με το άρθρο 18 παράγραφος 3 του δημοσιονομικού κανονισμού·</w:t>
      </w:r>
      <w:sdt>
        <w:sdtPr>
          <w:tag w:val="goog_rdk_0"/>
          <w:id w:val="1937094721"/>
        </w:sdtPr>
        <w:sdtEndPr/>
        <w:sdtContent/>
      </w:sdt>
    </w:p>
    <w:p w:rsidR="00446F77" w:rsidRPr="006E5DEF" w:rsidRDefault="006E5DEF" w:rsidP="006E5DEF">
      <w:pPr>
        <w:pStyle w:val="NormalHanging12a"/>
        <w:ind w:left="570" w:hanging="570"/>
      </w:pPr>
      <w:r w:rsidRPr="006E5DEF">
        <w:t>2.</w:t>
      </w:r>
      <w:r w:rsidRPr="006E5DEF">
        <w:tab/>
      </w:r>
      <w:r w:rsidR="00446F77" w:rsidRPr="006E5DEF">
        <w:rPr>
          <w:color w:val="000000"/>
        </w:rPr>
        <w:t xml:space="preserve">εκφράζει την ικανοποίησή του για το γεγονός ότι το πλεόνασμα του 2024 οφείλεται κυρίως στην αύξηση της διακύμανσης του τίτλου 4 (Χρηματοοικονομικά έσοδα, τόκοι υπερημερίας και πρόστιμα), ενώ το πλεόνασμα δαπανών παραμένει πολύ χαμηλό, ανερχόμενο σε 273 εκατομμύρια EUR· </w:t>
      </w:r>
    </w:p>
    <w:p w:rsidR="00446F77" w:rsidRPr="006E5DEF" w:rsidRDefault="006E5DEF" w:rsidP="006E5DEF">
      <w:pPr>
        <w:spacing w:after="240"/>
        <w:ind w:left="570" w:hanging="570"/>
        <w:rPr>
          <w:color w:val="000000"/>
        </w:rPr>
      </w:pPr>
      <w:r w:rsidRPr="006E5DEF">
        <w:rPr>
          <w:color w:val="000000"/>
        </w:rPr>
        <w:t>3.</w:t>
      </w:r>
      <w:r w:rsidRPr="006E5DEF">
        <w:rPr>
          <w:color w:val="000000"/>
        </w:rPr>
        <w:tab/>
      </w:r>
      <w:r w:rsidR="001068D2" w:rsidRPr="006E5DEF">
        <w:rPr>
          <w:color w:val="000000"/>
        </w:rPr>
        <w:t xml:space="preserve">εκφράζει τη λύπη του για το γεγονός ότι η εγγραφή του πλεονάσματος στον προϋπολογισμό </w:t>
      </w:r>
      <w:r w:rsidR="001068D2" w:rsidRPr="006E5DEF">
        <w:t>μειώνει κατά ανάλογο ποσό τη συνολική συνεισφορά των κρατών μελών σε ιδίους πόρους βάσει του ΑΕΕ στη χρηματοδότηση του προϋπολογισμού του 2025</w:t>
      </w:r>
      <w:r w:rsidR="001068D2" w:rsidRPr="006E5DEF">
        <w:rPr>
          <w:color w:val="000000"/>
        </w:rPr>
        <w:t xml:space="preserve">· τονίζει ότι, σε μια εποχή κατά την οποία οι χρηματοδοτικές ανάγκες παραμένουν </w:t>
      </w:r>
      <w:r w:rsidR="001068D2" w:rsidRPr="006E5DEF">
        <w:rPr>
          <w:color w:val="000000"/>
        </w:rPr>
        <w:lastRenderedPageBreak/>
        <w:t xml:space="preserve">υψηλές, ιδίως για το κόστος «υπέρβασης» του EURI, και τα περιθώρια ελιγμών εντός του προϋπολογισμού της Ένωσης παραμένουν εξαιρετικά περιορισμένα, ο προϋπολογισμός θα πρέπει να διατηρεί επαρκές επίπεδο ευελιξίας ώστε να μπορεί η Ένωση να αντιμετωπίζει απρόβλεπτα γεγονότα και νέες αναδυόμενες προτεραιότητες· υπογραμμίζει ότι η ευελιξία του προϋπολογισμού της Ένωσης είναι ένα από τα βασικά ζητήματα που πρέπει να εξεταστούν κατά τις διαπραγματεύσεις για το πολυετές δημοσιονομικό πλαίσιο μετά το 2027· </w:t>
      </w:r>
      <w:r w:rsidR="00446F77" w:rsidRPr="006E5DEF">
        <w:rPr>
          <w:color w:val="000000"/>
        </w:rPr>
        <w:t xml:space="preserve"> </w:t>
      </w:r>
    </w:p>
    <w:p w:rsidR="00446F77" w:rsidRPr="006E5DEF" w:rsidRDefault="006E5DEF" w:rsidP="006E5DEF">
      <w:pPr>
        <w:spacing w:after="240"/>
        <w:ind w:left="570" w:hanging="570"/>
        <w:rPr>
          <w:color w:val="000000"/>
        </w:rPr>
      </w:pPr>
      <w:r w:rsidRPr="006E5DEF">
        <w:rPr>
          <w:color w:val="000000"/>
        </w:rPr>
        <w:t>4.</w:t>
      </w:r>
      <w:r w:rsidRPr="006E5DEF">
        <w:rPr>
          <w:color w:val="000000"/>
        </w:rPr>
        <w:tab/>
      </w:r>
      <w:r w:rsidR="00446F77" w:rsidRPr="006E5DEF">
        <w:t>καλεί επίσης την Επιτροπή να σχεδιάσει μια άρτια και ανθεκτική αρχιτεκτονική για το επόμενο πολυετές δημοσιονομικό πλαίσιο που θα επιτρέπει τη βιώσιμη διαχείριση όλων των μη διακριτικών δαπανών και υποχρεώσεων, διατηρώντας πλήρως τα προγράμματα της Ένωσης και την ευελιξία και την ικανότητα αντίδρασης του προϋπολογισμού, ιδίως όσον αφορά τις φυσικές καταστροφές και τις καταστάσεις έκτακτης ανάγκης στον τομέα της υγείας, με σκοπό την πλήρη εφαρμογή της στρατηγικής ετοιμότητας της Ένωσης·</w:t>
      </w:r>
      <w:r w:rsidR="00446F77" w:rsidRPr="006E5DEF">
        <w:rPr>
          <w:color w:val="000000"/>
        </w:rPr>
        <w:t xml:space="preserve"> </w:t>
      </w:r>
    </w:p>
    <w:p w:rsidR="00446F77" w:rsidRPr="006E5DEF" w:rsidRDefault="006E5DEF" w:rsidP="006E5DEF">
      <w:pPr>
        <w:pStyle w:val="NormalHanging12a"/>
        <w:ind w:left="570" w:hanging="570"/>
      </w:pPr>
      <w:r w:rsidRPr="006E5DEF">
        <w:t>5.</w:t>
      </w:r>
      <w:r w:rsidRPr="006E5DEF">
        <w:tab/>
      </w:r>
      <w:r w:rsidR="00446F77" w:rsidRPr="006E5DEF">
        <w:rPr>
          <w:color w:val="000000"/>
        </w:rPr>
        <w:t>υπενθυμίζει την πάγια θέση του ότι τα έκτακτα έσοδα που προέρχονται από πρόστιμα και τέλη, ή ισοδύναμα ποσά, θα πρέπει να χρησιμοποιούνται ως συμπληρωματικά έσοδα για τον προϋπολογισμό της Ένωσης για σκοπούς αντιμετώπισης κρίσεων ή απρόβλεπτων αναγκών και δεν θα πρέπει να οδηγούν σε αντίστοιχη μείωση των συνεισφορών βάσει του ΑΕΕ·</w:t>
      </w:r>
    </w:p>
    <w:p w:rsidR="00446F77" w:rsidRPr="006E5DEF" w:rsidRDefault="006E5DEF" w:rsidP="006E5DEF">
      <w:pPr>
        <w:pStyle w:val="NormalHanging12a"/>
        <w:ind w:left="570" w:hanging="570"/>
      </w:pPr>
      <w:r w:rsidRPr="006E5DEF">
        <w:t>6.</w:t>
      </w:r>
      <w:r w:rsidRPr="006E5DEF">
        <w:tab/>
      </w:r>
      <w:r w:rsidR="00446F77" w:rsidRPr="006E5DEF">
        <w:t xml:space="preserve">λαμβάνει υπόψη τη θέση του προϋπολογισμού η οποία περιλαμβάνει τα αρνητικά έσοδα στο πλαίσιο του νέου άρθρου 425, που ανέρχεται σε 534 εκατομμύρια EUR, και εκφράζει την ικανοποίησή του για αυτή τη μέθοδο ενσωμάτωσης των δαπανών για τον προϋπολογισμό που προκύπτουν από πληρωμές οι οποίες πραγματοποιούνται στο πλαίσιο συμφωνίας διακανονισμού και συνεπάγονται αποζημίωση υπό μορφή αντισταθμιστικών τόκων και τόκων υπερημερίας που σχετίζονται με την επιστροφή ακυρωθέντων ή μειωμένων προστίμων στον τομέα του ανταγωνισμού σύμφωνα με τις σχετικές αποφάσεις του Δικαστηρίου· υπενθυμίζει ότι το Κοινοβούλιο, κατά τη διαπραγμάτευση της αναδιατύπωσης του δημοσιονομικού κανονισμού, επέμεινε στην εφαρμογή αυτής της προσέγγισης, δεδομένου ότι η εναλλακτική λύση θα ήταν οι πρόσθετες πιστώσεις δαπανών στον ήδη υπερβολικά επιβαρυμένο τομέα 7· υπενθυμίζει ότι η λύση αυτή παύει να ισχύει στις 31 Δεκεμβρίου 2027· καλεί την Επιτροπή να προτείνει οριστική λύση για το επόμενο </w:t>
      </w:r>
      <w:r w:rsidR="00011F25" w:rsidRPr="006E5DEF">
        <w:t xml:space="preserve">πολυετές δημοσιονομικό πλαίσιο </w:t>
      </w:r>
      <w:r w:rsidR="00446F77" w:rsidRPr="006E5DEF">
        <w:t>που θα επιτυγχάνει τον ίδιο στόχο της αποφυγής οποιουδήποτε αντίκτυπου στο σκέλος των δαπανών του προϋπολογισμού·</w:t>
      </w:r>
    </w:p>
    <w:p w:rsidR="00446F77" w:rsidRPr="006E5DEF" w:rsidRDefault="006E5DEF" w:rsidP="006E5DEF">
      <w:pPr>
        <w:pStyle w:val="NormalHanging12a"/>
        <w:ind w:left="570" w:hanging="570"/>
        <w:rPr>
          <w:color w:val="000000"/>
        </w:rPr>
      </w:pPr>
      <w:r w:rsidRPr="006E5DEF">
        <w:rPr>
          <w:color w:val="000000"/>
        </w:rPr>
        <w:t>7.</w:t>
      </w:r>
      <w:r w:rsidRPr="006E5DEF">
        <w:rPr>
          <w:color w:val="000000"/>
        </w:rPr>
        <w:tab/>
      </w:r>
      <w:r w:rsidR="00446F77" w:rsidRPr="006E5DEF">
        <w:rPr>
          <w:color w:val="000000"/>
        </w:rPr>
        <w:t xml:space="preserve">τονίζει την ανάγκη για βιώσιμα έσοδα για τον προϋπολογισμό της Ένωσης· </w:t>
      </w:r>
      <w:r w:rsidR="00446F77" w:rsidRPr="006E5DEF">
        <w:t>εκφράζει, επομένως, τη λύπη του για την παντελή απουσία προόδου στο Συμβούλιο όσον αφορά τη μεταρρύθμιση του συστήματος ιδίων πόρων σύμφωνα με το πνεύμα του νομικά δεσμευτικού οδικού χάρτη της διοργανικής συμφωνίας της 16ης Δεκεμβρίου 2020·</w:t>
      </w:r>
      <w:r w:rsidR="00446F77" w:rsidRPr="006E5DEF">
        <w:rPr>
          <w:color w:val="1E1E1F"/>
        </w:rPr>
        <w:t xml:space="preserve"> </w:t>
      </w:r>
      <w:r w:rsidR="00446F77" w:rsidRPr="006E5DEF">
        <w:t>υπενθυμίζει τη θέση του υπέρ των τροποποιημένων προτάσεων της Επιτροπής και παροτρύνει το Συμβούλιο να εγκρίνει επειγόντως τις προτάσεις αυτές προκειμένου να διαφοροποιηθούν και να παγιωθούν οι ίδιοι πόροι που είναι διαθέσιμοι για τον προϋπολογισμό της Ένωσης·</w:t>
      </w:r>
    </w:p>
    <w:p w:rsidR="00446F77" w:rsidRPr="006E5DEF" w:rsidRDefault="006E5DEF" w:rsidP="006E5DEF">
      <w:pPr>
        <w:pStyle w:val="NormalHanging12a"/>
        <w:ind w:left="570" w:hanging="570"/>
        <w:rPr>
          <w:color w:val="000000"/>
        </w:rPr>
      </w:pPr>
      <w:r w:rsidRPr="006E5DEF">
        <w:rPr>
          <w:color w:val="000000"/>
        </w:rPr>
        <w:t>8.</w:t>
      </w:r>
      <w:r w:rsidRPr="006E5DEF">
        <w:rPr>
          <w:color w:val="000000"/>
        </w:rPr>
        <w:tab/>
      </w:r>
      <w:r w:rsidR="00446F77" w:rsidRPr="006E5DEF">
        <w:t xml:space="preserve">καλεί, επιπλέον, την Επιτροπή να συνεχίσει τις προσπάθειες για τον εντοπισμό πρόσθετων καινοτόμων και γνήσιων νέων ιδίων πόρων και άλλων πηγών εσόδων πέραν εκείνων που ορίζονται στη διοργανική συμφωνία της 16ης Δεκεμβρίου 2020· τονίζει ότι οι νέοι ίδιοι πόροι είναι απαραίτητοι για την αποπληρωμή του δανεισμού του </w:t>
      </w:r>
      <w:proofErr w:type="spellStart"/>
      <w:r w:rsidR="00011F25" w:rsidRPr="006E5DEF">
        <w:lastRenderedPageBreak/>
        <w:t>NextGenerationEU</w:t>
      </w:r>
      <w:proofErr w:type="spellEnd"/>
      <w:r w:rsidR="00446F77" w:rsidRPr="006E5DEF">
        <w:t>, αλλά και για να διασφαλιστεί ότι η Ένωση δύναται να καλύψει τις υψηλότερες ανάγκες της σε δαπάνες, ιδίως στο πλαίσιο των πολλαπλών προκλήσεων που αντιμετωπίζει η Ένωση αυτή την περίοδο, συμπεριλαμβανομένου του νέου γεωπολιτικού πλαισίου· θεωρεί ότι όλες οι νέες ενωσιακές πολιτικές και προκλήσεις πρέπει να συνοδεύονται από νέα χρηματοδοτικά μέσα και πρόσθετους νέους πόρους·</w:t>
      </w:r>
    </w:p>
    <w:p w:rsidR="00446F77" w:rsidRPr="006E5DEF" w:rsidRDefault="006E5DEF" w:rsidP="006E5DEF">
      <w:pPr>
        <w:pStyle w:val="NormalHanging12a"/>
        <w:ind w:left="570" w:hanging="570"/>
      </w:pPr>
      <w:r w:rsidRPr="006E5DEF">
        <w:t>9.</w:t>
      </w:r>
      <w:r w:rsidRPr="006E5DEF">
        <w:tab/>
      </w:r>
      <w:r w:rsidR="00446F77" w:rsidRPr="006E5DEF">
        <w:t>εγκρίνει τη θέση του Συμβουλίου επί του σχεδίου διορθωτικού προϋπολογισμού αριθ. 1/2025·</w:t>
      </w:r>
    </w:p>
    <w:p w:rsidR="00446F77" w:rsidRPr="006E5DEF" w:rsidRDefault="006E5DEF" w:rsidP="006E5DEF">
      <w:pPr>
        <w:pStyle w:val="NormalHanging12a"/>
        <w:ind w:left="570" w:hanging="570"/>
      </w:pPr>
      <w:r w:rsidRPr="006E5DEF">
        <w:t>10.</w:t>
      </w:r>
      <w:r w:rsidRPr="006E5DEF">
        <w:tab/>
      </w:r>
      <w:r w:rsidR="00446F77" w:rsidRPr="006E5DEF">
        <w:t xml:space="preserve">αναθέτει στην Πρόεδρό του να διαπιστώσει την οριστική έκδοση του διορθωτικού προϋπολογισμού αριθ. 1/2025 και να μεριμνήσει για τη δημοσίευσή του στην </w:t>
      </w:r>
      <w:r w:rsidR="00446F77" w:rsidRPr="006E5DEF">
        <w:rPr>
          <w:i/>
          <w:iCs/>
        </w:rPr>
        <w:t>Επίσημη Εφημερίδα της Ευρωπαϊκής Ένωσης</w:t>
      </w:r>
      <w:r w:rsidR="00446F77" w:rsidRPr="006E5DEF">
        <w:t>·</w:t>
      </w:r>
    </w:p>
    <w:p w:rsidR="00621549" w:rsidRPr="006E5DEF" w:rsidRDefault="006E5DEF" w:rsidP="006E5DEF">
      <w:pPr>
        <w:pStyle w:val="NormalHanging12a"/>
        <w:ind w:left="570" w:hanging="570"/>
      </w:pPr>
      <w:r w:rsidRPr="006E5DEF">
        <w:t>11.</w:t>
      </w:r>
      <w:r w:rsidRPr="006E5DEF">
        <w:tab/>
      </w:r>
      <w:r w:rsidR="00446F77" w:rsidRPr="006E5DEF">
        <w:t>αναθέτει στην Πρόεδρό του να διαβιβάσει το παρόν ψήφισμα στο Συμβούλιο, στην Επιτροπή, στα λοιπά ενδιαφερόμενα θεσμικά όργανα και οργανισμούς, καθώς και στα εθνικά κοινοβούλια.</w:t>
      </w:r>
    </w:p>
    <w:p w:rsidR="00E365E1" w:rsidRPr="006E5DEF" w:rsidRDefault="00E365E1"/>
    <w:sectPr w:rsidR="00E365E1" w:rsidRPr="006E5DEF" w:rsidSect="006215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697" w:rsidRPr="00621549" w:rsidRDefault="00A90697">
      <w:r w:rsidRPr="00621549">
        <w:separator/>
      </w:r>
    </w:p>
  </w:endnote>
  <w:endnote w:type="continuationSeparator" w:id="0">
    <w:p w:rsidR="00A90697" w:rsidRPr="00621549" w:rsidRDefault="00A90697">
      <w:r w:rsidRPr="006215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15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15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15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697" w:rsidRPr="00621549" w:rsidRDefault="00A90697">
      <w:r w:rsidRPr="00621549">
        <w:separator/>
      </w:r>
    </w:p>
  </w:footnote>
  <w:footnote w:type="continuationSeparator" w:id="0">
    <w:p w:rsidR="00A90697" w:rsidRPr="00621549" w:rsidRDefault="00A90697">
      <w:r w:rsidRPr="00621549">
        <w:continuationSeparator/>
      </w:r>
    </w:p>
  </w:footnote>
  <w:footnote w:id="1">
    <w:p w:rsidR="00446F77" w:rsidRPr="00621549" w:rsidRDefault="00446F77" w:rsidP="00011F25">
      <w:pPr>
        <w:pStyle w:val="FootnoteText"/>
        <w:spacing w:line="240" w:lineRule="auto"/>
        <w:ind w:left="567" w:hanging="567"/>
        <w:rPr>
          <w:sz w:val="24"/>
          <w:lang w:val="el-GR"/>
        </w:rPr>
      </w:pPr>
      <w:r w:rsidRPr="00621549">
        <w:rPr>
          <w:rStyle w:val="FootnoteReference"/>
          <w:sz w:val="24"/>
          <w:lang w:val="el-GR"/>
        </w:rPr>
        <w:footnoteRef/>
      </w:r>
      <w:r w:rsidR="00621549" w:rsidRPr="00621549">
        <w:rPr>
          <w:sz w:val="24"/>
          <w:lang w:val="el-GR"/>
        </w:rPr>
        <w:t xml:space="preserve"> </w:t>
      </w:r>
      <w:r w:rsidR="00621549" w:rsidRPr="00621549">
        <w:rPr>
          <w:sz w:val="24"/>
          <w:lang w:val="el-GR"/>
        </w:rPr>
        <w:tab/>
      </w:r>
      <w:r w:rsidRPr="00621549">
        <w:rPr>
          <w:sz w:val="24"/>
          <w:lang w:val="el-GR"/>
        </w:rPr>
        <w:t xml:space="preserve">ΕΕ L, 2024/2509, 26.9.2024, </w:t>
      </w:r>
      <w:hyperlink r:id="rId1" w:history="1">
        <w:r w:rsidRPr="00621549">
          <w:rPr>
            <w:rStyle w:val="Hyperlink"/>
            <w:sz w:val="24"/>
            <w:lang w:val="el-GR"/>
          </w:rPr>
          <w:t>http://data.europa.eu/eli/reg/2024/2509/oj</w:t>
        </w:r>
      </w:hyperlink>
      <w:r w:rsidRPr="00621549">
        <w:rPr>
          <w:sz w:val="24"/>
          <w:lang w:val="el-GR"/>
        </w:rPr>
        <w:t>.</w:t>
      </w:r>
    </w:p>
  </w:footnote>
  <w:footnote w:id="2">
    <w:p w:rsidR="00446F77" w:rsidRPr="00621549" w:rsidRDefault="00446F77" w:rsidP="00011F25">
      <w:pPr>
        <w:pStyle w:val="FootnoteText"/>
        <w:spacing w:line="240" w:lineRule="auto"/>
        <w:ind w:left="567" w:hanging="567"/>
        <w:rPr>
          <w:sz w:val="24"/>
          <w:lang w:val="el-GR"/>
        </w:rPr>
      </w:pPr>
      <w:r w:rsidRPr="00621549">
        <w:rPr>
          <w:rStyle w:val="FootnoteReference"/>
          <w:sz w:val="24"/>
          <w:lang w:val="el-GR"/>
        </w:rPr>
        <w:footnoteRef/>
      </w:r>
      <w:r w:rsidR="00621549" w:rsidRPr="00621549">
        <w:rPr>
          <w:sz w:val="24"/>
          <w:lang w:val="el-GR"/>
        </w:rPr>
        <w:t xml:space="preserve"> </w:t>
      </w:r>
      <w:r w:rsidR="00621549" w:rsidRPr="00621549">
        <w:rPr>
          <w:sz w:val="24"/>
          <w:lang w:val="el-GR"/>
        </w:rPr>
        <w:tab/>
      </w:r>
      <w:r w:rsidRPr="00621549">
        <w:rPr>
          <w:sz w:val="24"/>
          <w:lang w:val="el-GR"/>
        </w:rPr>
        <w:t>ΕΕ L, 2025/31, 27.2.2025</w:t>
      </w:r>
      <w:r w:rsidRPr="00621549">
        <w:rPr>
          <w:i/>
          <w:sz w:val="24"/>
          <w:lang w:val="el-GR"/>
        </w:rPr>
        <w:t>,</w:t>
      </w:r>
      <w:r w:rsidRPr="00621549">
        <w:rPr>
          <w:sz w:val="24"/>
          <w:lang w:val="el-GR"/>
        </w:rPr>
        <w:t xml:space="preserve"> </w:t>
      </w:r>
      <w:r w:rsidR="00910AD9">
        <w:fldChar w:fldCharType="begin"/>
      </w:r>
      <w:r w:rsidR="00910AD9" w:rsidRPr="00910AD9">
        <w:rPr>
          <w:lang w:val="el-GR"/>
        </w:rPr>
        <w:instrText xml:space="preserve"> </w:instrText>
      </w:r>
      <w:r w:rsidR="00910AD9">
        <w:instrText>HYPERLINK</w:instrText>
      </w:r>
      <w:r w:rsidR="00910AD9" w:rsidRPr="00910AD9">
        <w:rPr>
          <w:lang w:val="el-GR"/>
        </w:rPr>
        <w:instrText xml:space="preserve"> "</w:instrText>
      </w:r>
      <w:r w:rsidR="00910AD9">
        <w:instrText>http</w:instrText>
      </w:r>
      <w:r w:rsidR="00910AD9" w:rsidRPr="00910AD9">
        <w:rPr>
          <w:lang w:val="el-GR"/>
        </w:rPr>
        <w:instrText>://</w:instrText>
      </w:r>
      <w:r w:rsidR="00910AD9">
        <w:instrText>data</w:instrText>
      </w:r>
      <w:r w:rsidR="00910AD9" w:rsidRPr="00910AD9">
        <w:rPr>
          <w:lang w:val="el-GR"/>
        </w:rPr>
        <w:instrText>.</w:instrText>
      </w:r>
      <w:r w:rsidR="00910AD9">
        <w:instrText>europa</w:instrText>
      </w:r>
      <w:r w:rsidR="00910AD9" w:rsidRPr="00910AD9">
        <w:rPr>
          <w:lang w:val="el-GR"/>
        </w:rPr>
        <w:instrText>.</w:instrText>
      </w:r>
      <w:r w:rsidR="00910AD9">
        <w:instrText>eu</w:instrText>
      </w:r>
      <w:r w:rsidR="00910AD9" w:rsidRPr="00910AD9">
        <w:rPr>
          <w:lang w:val="el-GR"/>
        </w:rPr>
        <w:instrText>/</w:instrText>
      </w:r>
      <w:r w:rsidR="00910AD9">
        <w:instrText>eli</w:instrText>
      </w:r>
      <w:r w:rsidR="00910AD9" w:rsidRPr="00910AD9">
        <w:rPr>
          <w:lang w:val="el-GR"/>
        </w:rPr>
        <w:instrText>/</w:instrText>
      </w:r>
      <w:r w:rsidR="00910AD9">
        <w:instrText>budget</w:instrText>
      </w:r>
      <w:r w:rsidR="00910AD9" w:rsidRPr="00910AD9">
        <w:rPr>
          <w:lang w:val="el-GR"/>
        </w:rPr>
        <w:instrText>/2025/31/</w:instrText>
      </w:r>
      <w:r w:rsidR="00910AD9">
        <w:instrText>oj</w:instrText>
      </w:r>
      <w:r w:rsidR="00910AD9" w:rsidRPr="00910AD9">
        <w:rPr>
          <w:lang w:val="el-GR"/>
        </w:rPr>
        <w:instrText xml:space="preserve">%20" </w:instrText>
      </w:r>
      <w:r w:rsidR="00910AD9">
        <w:fldChar w:fldCharType="separate"/>
      </w:r>
      <w:r w:rsidRPr="00621549">
        <w:rPr>
          <w:rStyle w:val="Hyperlink"/>
          <w:sz w:val="24"/>
          <w:lang w:val="el-GR"/>
        </w:rPr>
        <w:t>http://data.europa.eu/eli/budget/2025/31/oj</w:t>
      </w:r>
      <w:r w:rsidR="00910AD9">
        <w:rPr>
          <w:rStyle w:val="Hyperlink"/>
          <w:sz w:val="24"/>
          <w:lang w:val="el-GR"/>
        </w:rPr>
        <w:fldChar w:fldCharType="end"/>
      </w:r>
      <w:r w:rsidRPr="00621549">
        <w:rPr>
          <w:rStyle w:val="Hyperlink"/>
          <w:sz w:val="24"/>
          <w:lang w:val="el-GR"/>
        </w:rPr>
        <w:t>.</w:t>
      </w:r>
    </w:p>
  </w:footnote>
  <w:footnote w:id="3">
    <w:p w:rsidR="00446F77" w:rsidRPr="00621549" w:rsidRDefault="00446F77" w:rsidP="00011F25">
      <w:pPr>
        <w:pStyle w:val="FootnoteText"/>
        <w:spacing w:line="240" w:lineRule="auto"/>
        <w:ind w:left="567" w:hanging="567"/>
        <w:rPr>
          <w:sz w:val="24"/>
          <w:lang w:val="el-GR"/>
        </w:rPr>
      </w:pPr>
      <w:r w:rsidRPr="00621549">
        <w:rPr>
          <w:rStyle w:val="FootnoteReference"/>
          <w:sz w:val="24"/>
          <w:lang w:val="el-GR"/>
        </w:rPr>
        <w:footnoteRef/>
      </w:r>
      <w:r w:rsidR="00621549" w:rsidRPr="00621549">
        <w:rPr>
          <w:sz w:val="24"/>
          <w:lang w:val="el-GR"/>
        </w:rPr>
        <w:t xml:space="preserve"> </w:t>
      </w:r>
      <w:r w:rsidR="00621549" w:rsidRPr="00621549">
        <w:rPr>
          <w:sz w:val="24"/>
          <w:lang w:val="el-GR"/>
        </w:rPr>
        <w:tab/>
      </w:r>
      <w:r w:rsidRPr="00621549">
        <w:rPr>
          <w:sz w:val="24"/>
          <w:lang w:val="el-GR"/>
        </w:rPr>
        <w:t xml:space="preserve">ΕΕ L 433 I της 22.12.2020, σ. 11, ELI: </w:t>
      </w:r>
      <w:r w:rsidR="00910AD9">
        <w:fldChar w:fldCharType="begin"/>
      </w:r>
      <w:r w:rsidR="00910AD9" w:rsidRPr="00910AD9">
        <w:rPr>
          <w:lang w:val="el-GR"/>
        </w:rPr>
        <w:instrText xml:space="preserve"> </w:instrText>
      </w:r>
      <w:r w:rsidR="00910AD9">
        <w:instrText>HYPERLINK</w:instrText>
      </w:r>
      <w:r w:rsidR="00910AD9" w:rsidRPr="00910AD9">
        <w:rPr>
          <w:lang w:val="el-GR"/>
        </w:rPr>
        <w:instrText xml:space="preserve"> "</w:instrText>
      </w:r>
      <w:r w:rsidR="00910AD9">
        <w:instrText>http</w:instrText>
      </w:r>
      <w:r w:rsidR="00910AD9" w:rsidRPr="00910AD9">
        <w:rPr>
          <w:lang w:val="el-GR"/>
        </w:rPr>
        <w:instrText>://</w:instrText>
      </w:r>
      <w:r w:rsidR="00910AD9">
        <w:instrText>data</w:instrText>
      </w:r>
      <w:r w:rsidR="00910AD9" w:rsidRPr="00910AD9">
        <w:rPr>
          <w:lang w:val="el-GR"/>
        </w:rPr>
        <w:instrText>.</w:instrText>
      </w:r>
      <w:r w:rsidR="00910AD9">
        <w:instrText>europa</w:instrText>
      </w:r>
      <w:r w:rsidR="00910AD9" w:rsidRPr="00910AD9">
        <w:rPr>
          <w:lang w:val="el-GR"/>
        </w:rPr>
        <w:instrText>.</w:instrText>
      </w:r>
      <w:r w:rsidR="00910AD9">
        <w:instrText>eu</w:instrText>
      </w:r>
      <w:r w:rsidR="00910AD9" w:rsidRPr="00910AD9">
        <w:rPr>
          <w:lang w:val="el-GR"/>
        </w:rPr>
        <w:instrText>/</w:instrText>
      </w:r>
      <w:r w:rsidR="00910AD9">
        <w:instrText>eli</w:instrText>
      </w:r>
      <w:r w:rsidR="00910AD9" w:rsidRPr="00910AD9">
        <w:rPr>
          <w:lang w:val="el-GR"/>
        </w:rPr>
        <w:instrText>/</w:instrText>
      </w:r>
      <w:r w:rsidR="00910AD9">
        <w:instrText>reg</w:instrText>
      </w:r>
      <w:r w:rsidR="00910AD9" w:rsidRPr="00910AD9">
        <w:rPr>
          <w:lang w:val="el-GR"/>
        </w:rPr>
        <w:instrText>/2020/2093/</w:instrText>
      </w:r>
      <w:r w:rsidR="00910AD9">
        <w:instrText>oj</w:instrText>
      </w:r>
      <w:r w:rsidR="00910AD9" w:rsidRPr="00910AD9">
        <w:rPr>
          <w:lang w:val="el-GR"/>
        </w:rPr>
        <w:instrText xml:space="preserve">" </w:instrText>
      </w:r>
      <w:r w:rsidR="00910AD9">
        <w:fldChar w:fldCharType="separate"/>
      </w:r>
      <w:r w:rsidRPr="00621549">
        <w:rPr>
          <w:rStyle w:val="Hyperlink"/>
          <w:sz w:val="24"/>
          <w:lang w:val="el-GR"/>
        </w:rPr>
        <w:t>http://data.europa.eu/eli/reg/2020/2093/oj</w:t>
      </w:r>
      <w:r w:rsidR="00910AD9">
        <w:rPr>
          <w:rStyle w:val="Hyperlink"/>
          <w:sz w:val="24"/>
          <w:lang w:val="el-GR"/>
        </w:rPr>
        <w:fldChar w:fldCharType="end"/>
      </w:r>
      <w:r w:rsidRPr="00621549">
        <w:rPr>
          <w:sz w:val="24"/>
          <w:lang w:val="el-GR"/>
        </w:rPr>
        <w:t>.</w:t>
      </w:r>
    </w:p>
  </w:footnote>
  <w:footnote w:id="4">
    <w:p w:rsidR="00446F77" w:rsidRPr="00621549" w:rsidRDefault="00446F77" w:rsidP="00011F25">
      <w:pPr>
        <w:pStyle w:val="FootnoteText"/>
        <w:spacing w:line="240" w:lineRule="auto"/>
        <w:ind w:left="567" w:hanging="567"/>
        <w:rPr>
          <w:sz w:val="24"/>
          <w:lang w:val="el-GR"/>
        </w:rPr>
      </w:pPr>
      <w:r w:rsidRPr="00621549">
        <w:rPr>
          <w:rStyle w:val="FootnoteReference"/>
          <w:sz w:val="24"/>
          <w:lang w:val="el-GR"/>
        </w:rPr>
        <w:footnoteRef/>
      </w:r>
      <w:r w:rsidR="00621549" w:rsidRPr="00621549">
        <w:rPr>
          <w:sz w:val="24"/>
          <w:lang w:val="el-GR"/>
        </w:rPr>
        <w:t xml:space="preserve"> </w:t>
      </w:r>
      <w:r w:rsidR="00621549" w:rsidRPr="00621549">
        <w:rPr>
          <w:sz w:val="24"/>
          <w:lang w:val="el-GR"/>
        </w:rPr>
        <w:tab/>
      </w:r>
      <w:r w:rsidRPr="00621549">
        <w:rPr>
          <w:sz w:val="24"/>
          <w:lang w:val="el-GR"/>
        </w:rPr>
        <w:t xml:space="preserve">ΕΕ L 433 I της 22.12.2020, σ. 28, ELI: </w:t>
      </w:r>
      <w:r w:rsidR="00910AD9">
        <w:fldChar w:fldCharType="begin"/>
      </w:r>
      <w:r w:rsidR="00910AD9" w:rsidRPr="00910AD9">
        <w:rPr>
          <w:lang w:val="el-GR"/>
        </w:rPr>
        <w:instrText xml:space="preserve"> </w:instrText>
      </w:r>
      <w:r w:rsidR="00910AD9">
        <w:instrText>HYPERLINK</w:instrText>
      </w:r>
      <w:r w:rsidR="00910AD9" w:rsidRPr="00910AD9">
        <w:rPr>
          <w:lang w:val="el-GR"/>
        </w:rPr>
        <w:instrText xml:space="preserve"> "</w:instrText>
      </w:r>
      <w:r w:rsidR="00910AD9">
        <w:instrText>http</w:instrText>
      </w:r>
      <w:r w:rsidR="00910AD9" w:rsidRPr="00910AD9">
        <w:rPr>
          <w:lang w:val="el-GR"/>
        </w:rPr>
        <w:instrText>://</w:instrText>
      </w:r>
      <w:r w:rsidR="00910AD9">
        <w:instrText>data</w:instrText>
      </w:r>
      <w:r w:rsidR="00910AD9" w:rsidRPr="00910AD9">
        <w:rPr>
          <w:lang w:val="el-GR"/>
        </w:rPr>
        <w:instrText>.</w:instrText>
      </w:r>
      <w:r w:rsidR="00910AD9">
        <w:instrText>europa</w:instrText>
      </w:r>
      <w:r w:rsidR="00910AD9" w:rsidRPr="00910AD9">
        <w:rPr>
          <w:lang w:val="el-GR"/>
        </w:rPr>
        <w:instrText>.</w:instrText>
      </w:r>
      <w:r w:rsidR="00910AD9">
        <w:instrText>eu</w:instrText>
      </w:r>
      <w:r w:rsidR="00910AD9" w:rsidRPr="00910AD9">
        <w:rPr>
          <w:lang w:val="el-GR"/>
        </w:rPr>
        <w:instrText>/</w:instrText>
      </w:r>
      <w:r w:rsidR="00910AD9">
        <w:instrText>eli</w:instrText>
      </w:r>
      <w:r w:rsidR="00910AD9" w:rsidRPr="00910AD9">
        <w:rPr>
          <w:lang w:val="el-GR"/>
        </w:rPr>
        <w:instrText>/</w:instrText>
      </w:r>
      <w:r w:rsidR="00910AD9">
        <w:instrText>agree</w:instrText>
      </w:r>
      <w:r w:rsidR="00910AD9" w:rsidRPr="00910AD9">
        <w:rPr>
          <w:lang w:val="el-GR"/>
        </w:rPr>
        <w:instrText>_</w:instrText>
      </w:r>
      <w:r w:rsidR="00910AD9">
        <w:instrText>interinstit</w:instrText>
      </w:r>
      <w:r w:rsidR="00910AD9" w:rsidRPr="00910AD9">
        <w:rPr>
          <w:lang w:val="el-GR"/>
        </w:rPr>
        <w:instrText>/2020/1222/</w:instrText>
      </w:r>
      <w:r w:rsidR="00910AD9">
        <w:instrText>oj</w:instrText>
      </w:r>
      <w:r w:rsidR="00910AD9" w:rsidRPr="00910AD9">
        <w:rPr>
          <w:lang w:val="el-GR"/>
        </w:rPr>
        <w:instrText xml:space="preserve">" </w:instrText>
      </w:r>
      <w:r w:rsidR="00910AD9">
        <w:fldChar w:fldCharType="separate"/>
      </w:r>
      <w:r w:rsidRPr="00621549">
        <w:rPr>
          <w:rStyle w:val="Hyperlink"/>
          <w:sz w:val="24"/>
          <w:lang w:val="el-GR"/>
        </w:rPr>
        <w:t>http://data.europa.eu/eli/agree_interinstit/2020/1222/oj</w:t>
      </w:r>
      <w:r w:rsidR="00910AD9">
        <w:rPr>
          <w:rStyle w:val="Hyperlink"/>
          <w:sz w:val="24"/>
          <w:lang w:val="el-GR"/>
        </w:rPr>
        <w:fldChar w:fldCharType="end"/>
      </w:r>
      <w:r w:rsidRPr="00621549">
        <w:rPr>
          <w:rStyle w:val="Hyperlink"/>
          <w:sz w:val="24"/>
          <w:lang w:val="el-GR"/>
        </w:rPr>
        <w:t>.</w:t>
      </w:r>
    </w:p>
  </w:footnote>
  <w:footnote w:id="5">
    <w:p w:rsidR="00446F77" w:rsidRPr="00621549" w:rsidRDefault="00446F77" w:rsidP="00011F25">
      <w:pPr>
        <w:pStyle w:val="FootnoteText"/>
        <w:spacing w:line="240" w:lineRule="auto"/>
        <w:ind w:left="567" w:hanging="567"/>
        <w:rPr>
          <w:sz w:val="24"/>
          <w:lang w:val="el-GR"/>
        </w:rPr>
      </w:pPr>
      <w:r w:rsidRPr="00621549">
        <w:rPr>
          <w:rStyle w:val="FootnoteReference"/>
          <w:sz w:val="24"/>
          <w:lang w:val="el-GR"/>
        </w:rPr>
        <w:footnoteRef/>
      </w:r>
      <w:r w:rsidR="00621549" w:rsidRPr="00621549">
        <w:rPr>
          <w:sz w:val="24"/>
          <w:lang w:val="el-GR"/>
        </w:rPr>
        <w:t xml:space="preserve"> </w:t>
      </w:r>
      <w:r w:rsidR="00621549" w:rsidRPr="00621549">
        <w:rPr>
          <w:sz w:val="24"/>
          <w:lang w:val="el-GR"/>
        </w:rPr>
        <w:tab/>
      </w:r>
      <w:r w:rsidRPr="00621549">
        <w:rPr>
          <w:sz w:val="24"/>
          <w:lang w:val="el-GR"/>
        </w:rPr>
        <w:t xml:space="preserve">ΕΕ L 424 της 15.12.2020, σ. 1, ELI: </w:t>
      </w:r>
      <w:r w:rsidR="00910AD9">
        <w:fldChar w:fldCharType="begin"/>
      </w:r>
      <w:r w:rsidR="00910AD9" w:rsidRPr="00910AD9">
        <w:rPr>
          <w:lang w:val="el-GR"/>
        </w:rPr>
        <w:instrText xml:space="preserve"> </w:instrText>
      </w:r>
      <w:r w:rsidR="00910AD9">
        <w:instrText>HYPERLINK</w:instrText>
      </w:r>
      <w:r w:rsidR="00910AD9" w:rsidRPr="00910AD9">
        <w:rPr>
          <w:lang w:val="el-GR"/>
        </w:rPr>
        <w:instrText xml:space="preserve"> "</w:instrText>
      </w:r>
      <w:r w:rsidR="00910AD9">
        <w:instrText>http</w:instrText>
      </w:r>
      <w:r w:rsidR="00910AD9" w:rsidRPr="00910AD9">
        <w:rPr>
          <w:lang w:val="el-GR"/>
        </w:rPr>
        <w:instrText>://</w:instrText>
      </w:r>
      <w:r w:rsidR="00910AD9">
        <w:instrText>data</w:instrText>
      </w:r>
      <w:r w:rsidR="00910AD9" w:rsidRPr="00910AD9">
        <w:rPr>
          <w:lang w:val="el-GR"/>
        </w:rPr>
        <w:instrText>.</w:instrText>
      </w:r>
      <w:r w:rsidR="00910AD9">
        <w:instrText>europa</w:instrText>
      </w:r>
      <w:r w:rsidR="00910AD9" w:rsidRPr="00910AD9">
        <w:rPr>
          <w:lang w:val="el-GR"/>
        </w:rPr>
        <w:instrText>.</w:instrText>
      </w:r>
      <w:r w:rsidR="00910AD9">
        <w:instrText>eu</w:instrText>
      </w:r>
      <w:r w:rsidR="00910AD9" w:rsidRPr="00910AD9">
        <w:rPr>
          <w:lang w:val="el-GR"/>
        </w:rPr>
        <w:instrText>/</w:instrText>
      </w:r>
      <w:r w:rsidR="00910AD9">
        <w:instrText>eli</w:instrText>
      </w:r>
      <w:r w:rsidR="00910AD9" w:rsidRPr="00910AD9">
        <w:rPr>
          <w:lang w:val="el-GR"/>
        </w:rPr>
        <w:instrText>/</w:instrText>
      </w:r>
      <w:r w:rsidR="00910AD9">
        <w:instrText>dec</w:instrText>
      </w:r>
      <w:r w:rsidR="00910AD9" w:rsidRPr="00910AD9">
        <w:rPr>
          <w:lang w:val="el-GR"/>
        </w:rPr>
        <w:instrText>/2020/2053/</w:instrText>
      </w:r>
      <w:r w:rsidR="00910AD9">
        <w:instrText>oj</w:instrText>
      </w:r>
      <w:r w:rsidR="00910AD9" w:rsidRPr="00910AD9">
        <w:rPr>
          <w:lang w:val="el-GR"/>
        </w:rPr>
        <w:instrText xml:space="preserve">" </w:instrText>
      </w:r>
      <w:r w:rsidR="00910AD9">
        <w:fldChar w:fldCharType="separate"/>
      </w:r>
      <w:r w:rsidRPr="00621549">
        <w:rPr>
          <w:rStyle w:val="Hyperlink"/>
          <w:sz w:val="24"/>
          <w:lang w:val="el-GR"/>
        </w:rPr>
        <w:t>http://data.europa.eu/eli/dec/2020/2053/oj</w:t>
      </w:r>
      <w:r w:rsidR="00910AD9">
        <w:rPr>
          <w:rStyle w:val="Hyperlink"/>
          <w:sz w:val="24"/>
          <w:lang w:val="el-GR"/>
        </w:rPr>
        <w:fldChar w:fldCharType="end"/>
      </w:r>
      <w:r w:rsidRPr="0062154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15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15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15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48100E"/>
    <w:multiLevelType w:val="hybridMultilevel"/>
    <w:tmpl w:val="5D3AE7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08172D0"/>
    <w:multiLevelType w:val="hybridMultilevel"/>
    <w:tmpl w:val="B0E2583A"/>
    <w:lvl w:ilvl="0" w:tplc="8DE02B5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6/2025"/>
    <w:docVar w:name="dvlangue" w:val="EL"/>
    <w:docVar w:name="dvnumam" w:val="0"/>
    <w:docVar w:name="dvpe" w:val="773.098"/>
    <w:docVar w:name="dvrapporteur" w:val="Εισηγητής: "/>
    <w:docVar w:name="dvtitre" w:val="Ψήφισμα του Ευρωπαϊκού Κοινοβουλίου σχετικά με τη θέση του Συμβουλίου επί του σχεδίου διορθωτικού προϋπολογισμού αριθ. 1/2025 της Ευρωπαϊκής Ένωσης για το οικονομικό έτος 2025 – Εγγραφή του πλεονάσματος του οικονομικού έτους 2024(09619/2025 – C10-0125/2025 – 2025/0091(BUD))"/>
  </w:docVars>
  <w:rsids>
    <w:rsidRoot w:val="00A90697"/>
    <w:rsid w:val="00002272"/>
    <w:rsid w:val="00011F25"/>
    <w:rsid w:val="00064002"/>
    <w:rsid w:val="000677B9"/>
    <w:rsid w:val="000831BA"/>
    <w:rsid w:val="000A42CC"/>
    <w:rsid w:val="000E7DD9"/>
    <w:rsid w:val="0010095E"/>
    <w:rsid w:val="001068D2"/>
    <w:rsid w:val="00125B37"/>
    <w:rsid w:val="00187494"/>
    <w:rsid w:val="001F32AE"/>
    <w:rsid w:val="002767FF"/>
    <w:rsid w:val="002B18FE"/>
    <w:rsid w:val="002B5493"/>
    <w:rsid w:val="00343214"/>
    <w:rsid w:val="00361C00"/>
    <w:rsid w:val="00395FA1"/>
    <w:rsid w:val="003C0299"/>
    <w:rsid w:val="003E15D4"/>
    <w:rsid w:val="00411CCE"/>
    <w:rsid w:val="0041666E"/>
    <w:rsid w:val="00421060"/>
    <w:rsid w:val="00446F77"/>
    <w:rsid w:val="00471C19"/>
    <w:rsid w:val="004867E3"/>
    <w:rsid w:val="00494A28"/>
    <w:rsid w:val="004C0004"/>
    <w:rsid w:val="004C5D52"/>
    <w:rsid w:val="0050519A"/>
    <w:rsid w:val="005072A1"/>
    <w:rsid w:val="00514517"/>
    <w:rsid w:val="00545827"/>
    <w:rsid w:val="00560270"/>
    <w:rsid w:val="005C2568"/>
    <w:rsid w:val="005F1B17"/>
    <w:rsid w:val="006037C0"/>
    <w:rsid w:val="00621549"/>
    <w:rsid w:val="006631B6"/>
    <w:rsid w:val="00680577"/>
    <w:rsid w:val="006E5DE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AD9"/>
    <w:rsid w:val="00930C23"/>
    <w:rsid w:val="0093193B"/>
    <w:rsid w:val="009509D8"/>
    <w:rsid w:val="00950B64"/>
    <w:rsid w:val="00981893"/>
    <w:rsid w:val="00A1687D"/>
    <w:rsid w:val="00A43E52"/>
    <w:rsid w:val="00A4678D"/>
    <w:rsid w:val="00A778C7"/>
    <w:rsid w:val="00A9069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DA2CA4"/>
  <w15:chartTrackingRefBased/>
  <w15:docId w15:val="{0A7E28B9-4E49-42EF-9010-74FF4571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6F77"/>
    <w:pPr>
      <w:spacing w:before="480" w:after="240"/>
    </w:pPr>
  </w:style>
  <w:style w:type="paragraph" w:customStyle="1" w:styleId="NormalBold">
    <w:name w:val="NormalBold"/>
    <w:basedOn w:val="Normal"/>
    <w:rsid w:val="00446F77"/>
    <w:rPr>
      <w:b/>
    </w:rPr>
  </w:style>
  <w:style w:type="paragraph" w:customStyle="1" w:styleId="NormalHanging12a">
    <w:name w:val="NormalHanging12a"/>
    <w:basedOn w:val="Normal"/>
    <w:link w:val="NormalHanging12aChar"/>
    <w:rsid w:val="00446F77"/>
    <w:pPr>
      <w:spacing w:after="240"/>
      <w:ind w:left="567" w:hanging="567"/>
    </w:pPr>
  </w:style>
  <w:style w:type="character" w:styleId="Hyperlink">
    <w:name w:val="Hyperlink"/>
    <w:basedOn w:val="DefaultParagraphFont"/>
    <w:uiPriority w:val="99"/>
    <w:rsid w:val="00446F77"/>
    <w:rPr>
      <w:color w:val="0563C1" w:themeColor="hyperlink"/>
      <w:u w:val="single"/>
    </w:rPr>
  </w:style>
  <w:style w:type="character" w:customStyle="1" w:styleId="NormalHanging12aChar">
    <w:name w:val="NormalHanging12a Char"/>
    <w:basedOn w:val="DefaultParagraphFont"/>
    <w:link w:val="NormalHanging12a"/>
    <w:locked/>
    <w:rsid w:val="00446F77"/>
    <w:rPr>
      <w:sz w:val="24"/>
      <w:lang w:val="el-GR"/>
    </w:rPr>
  </w:style>
  <w:style w:type="paragraph" w:styleId="BalloonText">
    <w:name w:val="Balloon Text"/>
    <w:basedOn w:val="Normal"/>
    <w:link w:val="BalloonTextChar"/>
    <w:rsid w:val="00011F25"/>
    <w:rPr>
      <w:rFonts w:ascii="Segoe UI" w:hAnsi="Segoe UI" w:cs="Segoe UI"/>
      <w:sz w:val="18"/>
      <w:szCs w:val="18"/>
    </w:rPr>
  </w:style>
  <w:style w:type="character" w:customStyle="1" w:styleId="BalloonTextChar">
    <w:name w:val="Balloon Text Char"/>
    <w:basedOn w:val="DefaultParagraphFont"/>
    <w:link w:val="BalloonText"/>
    <w:rsid w:val="00011F25"/>
    <w:rPr>
      <w:rFonts w:ascii="Segoe UI" w:hAnsi="Segoe UI" w:cs="Segoe UI"/>
      <w:sz w:val="18"/>
      <w:szCs w:val="18"/>
      <w:lang w:val="el-GR"/>
    </w:rPr>
  </w:style>
  <w:style w:type="paragraph" w:styleId="ListParagraph">
    <w:name w:val="List Paragraph"/>
    <w:basedOn w:val="Normal"/>
    <w:uiPriority w:val="34"/>
    <w:qFormat/>
    <w:rsid w:val="00011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3E1C9-33A6-47F6-8787-73C2DD1AF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1246</Words>
  <Characters>7458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2025-07-09T11:11:00Z</dcterms:created>
  <dcterms:modified xsi:type="dcterms:W3CDTF">2025-07-09T11:11:00Z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A10-0116/2025</vt:lpwstr>
  </property>
  <property fmtid="{D5CDD505-2E9C-101B-9397-08002B2CF9AE}" pid="4" name="&lt;Type&gt;">
    <vt:lpwstr>RR</vt:lpwstr>
  </property>
</Properties>
</file>