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D1E8B" w14:paraId="2B8956D6" w14:textId="77777777" w:rsidTr="0010095E">
        <w:trPr>
          <w:trHeight w:hRule="exact" w:val="1418"/>
        </w:trPr>
        <w:tc>
          <w:tcPr>
            <w:tcW w:w="6804" w:type="dxa"/>
            <w:shd w:val="clear" w:color="auto" w:fill="auto"/>
            <w:vAlign w:val="center"/>
          </w:tcPr>
          <w:p w14:paraId="31881458" w14:textId="77777777" w:rsidR="00751A4A" w:rsidRPr="009D1E8B" w:rsidRDefault="00F551EE" w:rsidP="0010095E">
            <w:pPr>
              <w:pStyle w:val="EPName"/>
            </w:pPr>
            <w:r w:rsidRPr="009D1E8B">
              <w:t>Euroopa Parlament</w:t>
            </w:r>
          </w:p>
          <w:p w14:paraId="4C8148B6" w14:textId="77777777" w:rsidR="00751A4A" w:rsidRPr="009D1E8B" w:rsidRDefault="005F1B17" w:rsidP="005F1B17">
            <w:pPr>
              <w:pStyle w:val="EPTerm"/>
              <w:rPr>
                <w:rStyle w:val="HideTWBExt"/>
                <w:noProof w:val="0"/>
                <w:vanish w:val="0"/>
                <w:color w:val="auto"/>
              </w:rPr>
            </w:pPr>
            <w:r w:rsidRPr="009D1E8B">
              <w:t>2024</w:t>
            </w:r>
            <w:r w:rsidR="00817416" w:rsidRPr="009D1E8B">
              <w:t>-202</w:t>
            </w:r>
            <w:r w:rsidRPr="009D1E8B">
              <w:t>9</w:t>
            </w:r>
          </w:p>
        </w:tc>
        <w:tc>
          <w:tcPr>
            <w:tcW w:w="2268" w:type="dxa"/>
            <w:shd w:val="clear" w:color="auto" w:fill="auto"/>
          </w:tcPr>
          <w:p w14:paraId="16CF58AB" w14:textId="77777777" w:rsidR="00751A4A" w:rsidRPr="009D1E8B" w:rsidRDefault="00187494" w:rsidP="0010095E">
            <w:pPr>
              <w:pStyle w:val="EPLogo"/>
            </w:pPr>
            <w:r w:rsidRPr="009D1E8B">
              <w:rPr>
                <w:noProof/>
                <w:lang w:val="en-GB"/>
              </w:rPr>
              <w:drawing>
                <wp:inline distT="0" distB="0" distL="0" distR="0" wp14:anchorId="3E5AAEA9" wp14:editId="37EB529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ED52ADB" w14:textId="77777777" w:rsidR="00D058B8" w:rsidRPr="009D1E8B" w:rsidRDefault="00D058B8" w:rsidP="004C5D52">
      <w:pPr>
        <w:pStyle w:val="LineTop"/>
      </w:pPr>
    </w:p>
    <w:p w14:paraId="62D9E89A" w14:textId="77777777" w:rsidR="00680577" w:rsidRPr="009D1E8B" w:rsidRDefault="00F551EE" w:rsidP="00680577">
      <w:pPr>
        <w:pStyle w:val="EPBodyTA1"/>
      </w:pPr>
      <w:r w:rsidRPr="009D1E8B">
        <w:t>VASTUVÕETUD TEKSTID</w:t>
      </w:r>
    </w:p>
    <w:p w14:paraId="5CBD3C01" w14:textId="77777777" w:rsidR="00D058B8" w:rsidRPr="009D1E8B" w:rsidRDefault="00D058B8" w:rsidP="00D058B8">
      <w:pPr>
        <w:pStyle w:val="LineBottom"/>
      </w:pPr>
    </w:p>
    <w:p w14:paraId="62B3C6F5" w14:textId="77777777" w:rsidR="00F551EE" w:rsidRPr="009D1E8B" w:rsidRDefault="00F551EE" w:rsidP="00F551EE">
      <w:pPr>
        <w:pStyle w:val="ATHeading1"/>
      </w:pPr>
      <w:bookmarkStart w:id="0" w:name="TANumber"/>
      <w:r w:rsidRPr="009D1E8B">
        <w:t>P10_TA(2025)0</w:t>
      </w:r>
      <w:r w:rsidR="0058606D" w:rsidRPr="009D1E8B">
        <w:t>15</w:t>
      </w:r>
      <w:r w:rsidR="00CC402E" w:rsidRPr="009D1E8B">
        <w:t>1</w:t>
      </w:r>
      <w:bookmarkEnd w:id="0"/>
    </w:p>
    <w:p w14:paraId="25E4819E" w14:textId="05954B3E" w:rsidR="00F551EE" w:rsidRPr="009D1E8B" w:rsidRDefault="00E039A5" w:rsidP="00F551EE">
      <w:pPr>
        <w:pStyle w:val="ATHeading2"/>
      </w:pPr>
      <w:r w:rsidRPr="00E039A5">
        <w:t xml:space="preserve">2025. aasta </w:t>
      </w:r>
      <w:proofErr w:type="spellStart"/>
      <w:r w:rsidRPr="00E039A5">
        <w:t>üldeelarve</w:t>
      </w:r>
      <w:proofErr w:type="spellEnd"/>
      <w:r w:rsidRPr="00E039A5">
        <w:t xml:space="preserve"> paranduseelarve projekt nr 1/2025: 2024. aasta ülejäägi kandmine eelarvesse</w:t>
      </w:r>
    </w:p>
    <w:p w14:paraId="4A4D515B" w14:textId="77777777" w:rsidR="00F551EE" w:rsidRPr="009D1E8B" w:rsidRDefault="00F551EE" w:rsidP="00F551EE">
      <w:pPr>
        <w:rPr>
          <w:i/>
          <w:vanish/>
        </w:rPr>
      </w:pPr>
      <w:r w:rsidRPr="009D1E8B">
        <w:rPr>
          <w:i/>
        </w:rPr>
        <w:fldChar w:fldCharType="begin"/>
      </w:r>
      <w:r w:rsidRPr="009D1E8B">
        <w:rPr>
          <w:i/>
        </w:rPr>
        <w:instrText xml:space="preserve"> TC"(</w:instrText>
      </w:r>
      <w:bookmarkStart w:id="1" w:name="DocNumber"/>
      <w:r w:rsidRPr="009D1E8B">
        <w:rPr>
          <w:i/>
        </w:rPr>
        <w:instrText>A10-0116/2025</w:instrText>
      </w:r>
      <w:bookmarkEnd w:id="1"/>
      <w:r w:rsidRPr="009D1E8B">
        <w:rPr>
          <w:i/>
        </w:rPr>
        <w:instrText xml:space="preserve"> - Raportöör: Victor </w:instrText>
      </w:r>
      <w:proofErr w:type="spellStart"/>
      <w:r w:rsidRPr="009D1E8B">
        <w:rPr>
          <w:i/>
        </w:rPr>
        <w:instrText>Negrescu</w:instrText>
      </w:r>
      <w:proofErr w:type="spellEnd"/>
      <w:r w:rsidRPr="009D1E8B">
        <w:rPr>
          <w:i/>
        </w:rPr>
        <w:instrText xml:space="preserve">)"\l3 \n&gt; \* MERGEFORMAT </w:instrText>
      </w:r>
      <w:r w:rsidRPr="009D1E8B">
        <w:rPr>
          <w:i/>
        </w:rPr>
        <w:fldChar w:fldCharType="end"/>
      </w:r>
    </w:p>
    <w:p w14:paraId="1336EA6D" w14:textId="77777777" w:rsidR="00F551EE" w:rsidRPr="009D1E8B" w:rsidRDefault="00F551EE" w:rsidP="00F551EE">
      <w:pPr>
        <w:rPr>
          <w:vanish/>
        </w:rPr>
      </w:pPr>
      <w:bookmarkStart w:id="2" w:name="Commission"/>
      <w:r w:rsidRPr="009D1E8B">
        <w:rPr>
          <w:vanish/>
        </w:rPr>
        <w:t>Eelarvekomisjon</w:t>
      </w:r>
      <w:bookmarkEnd w:id="2"/>
    </w:p>
    <w:p w14:paraId="3CCC0D52" w14:textId="77777777" w:rsidR="00F551EE" w:rsidRPr="009D1E8B" w:rsidRDefault="00F551EE" w:rsidP="00F551EE">
      <w:pPr>
        <w:rPr>
          <w:vanish/>
        </w:rPr>
      </w:pPr>
      <w:bookmarkStart w:id="3" w:name="PE"/>
      <w:r w:rsidRPr="009D1E8B">
        <w:rPr>
          <w:vanish/>
        </w:rPr>
        <w:t>PE773.098</w:t>
      </w:r>
      <w:bookmarkEnd w:id="3"/>
    </w:p>
    <w:p w14:paraId="7B27E5B1" w14:textId="77777777" w:rsidR="00F551EE" w:rsidRPr="009D1E8B" w:rsidRDefault="0062251E" w:rsidP="00F551EE">
      <w:pPr>
        <w:pStyle w:val="ATHeading3"/>
      </w:pPr>
      <w:bookmarkStart w:id="4" w:name="Sujet"/>
      <w:r w:rsidRPr="009D1E8B">
        <w:t>Euroopa Parlamendi 9</w:t>
      </w:r>
      <w:r w:rsidR="00F551EE" w:rsidRPr="009D1E8B">
        <w:t>.</w:t>
      </w:r>
      <w:r w:rsidRPr="009D1E8B">
        <w:t> juuli 2025. </w:t>
      </w:r>
      <w:r w:rsidR="00F551EE" w:rsidRPr="009D1E8B">
        <w:t>aasta resolutsioon</w:t>
      </w:r>
      <w:r w:rsidRPr="009D1E8B">
        <w:t>,</w:t>
      </w:r>
      <w:r w:rsidR="00F551EE" w:rsidRPr="009D1E8B">
        <w:t xml:space="preserve"> mis käsitleb nõukogu seisukohta Euroopa Liidu 2025. aasta paranduseelarve projekti nr 1/2025 kohta – 2024. aasta ülejäägi kandmine eelarvesse</w:t>
      </w:r>
      <w:bookmarkEnd w:id="4"/>
      <w:r w:rsidR="00F551EE" w:rsidRPr="009D1E8B">
        <w:t xml:space="preserve"> </w:t>
      </w:r>
      <w:bookmarkStart w:id="5" w:name="References"/>
      <w:r w:rsidRPr="009D1E8B">
        <w:t>(09619/2025 – C10</w:t>
      </w:r>
      <w:r w:rsidRPr="009D1E8B">
        <w:noBreakHyphen/>
      </w:r>
      <w:r w:rsidR="00F551EE" w:rsidRPr="009D1E8B">
        <w:t>0125/2025 – 2025/0091(BUD))</w:t>
      </w:r>
      <w:bookmarkEnd w:id="5"/>
    </w:p>
    <w:p w14:paraId="44A3AE83" w14:textId="77777777" w:rsidR="0021318F" w:rsidRPr="009D1E8B" w:rsidRDefault="0021318F" w:rsidP="0021318F">
      <w:pPr>
        <w:pStyle w:val="EPComma"/>
      </w:pPr>
      <w:bookmarkStart w:id="6" w:name="TextBodyBegin"/>
      <w:bookmarkEnd w:id="6"/>
      <w:r w:rsidRPr="009D1E8B">
        <w:rPr>
          <w:i/>
        </w:rPr>
        <w:t>Euroopa Parlament</w:t>
      </w:r>
      <w:r w:rsidRPr="009D1E8B">
        <w:t>,</w:t>
      </w:r>
    </w:p>
    <w:p w14:paraId="566AB121" w14:textId="77777777" w:rsidR="0021318F" w:rsidRPr="009D1E8B" w:rsidRDefault="0021318F" w:rsidP="0021318F">
      <w:pPr>
        <w:pStyle w:val="NormalHanging12a"/>
      </w:pPr>
      <w:r w:rsidRPr="009D1E8B">
        <w:t>–</w:t>
      </w:r>
      <w:r w:rsidRPr="009D1E8B">
        <w:tab/>
        <w:t>võttes arvesse Euroopa Liidu toimimise lepingu artiklit 314,</w:t>
      </w:r>
    </w:p>
    <w:p w14:paraId="561A1B26" w14:textId="77777777" w:rsidR="0021318F" w:rsidRPr="009D1E8B" w:rsidRDefault="0021318F" w:rsidP="0021318F">
      <w:pPr>
        <w:pStyle w:val="NormalHanging12a"/>
      </w:pPr>
      <w:r w:rsidRPr="009D1E8B">
        <w:t>–</w:t>
      </w:r>
      <w:r w:rsidRPr="009D1E8B">
        <w:tab/>
        <w:t>võttes arvesse Euroopa Aatomienergiaühenduse asutamislepingu artiklit 106a,</w:t>
      </w:r>
    </w:p>
    <w:p w14:paraId="42906AAE" w14:textId="77777777" w:rsidR="0021318F" w:rsidRPr="009D1E8B" w:rsidRDefault="0021318F" w:rsidP="0021318F">
      <w:pPr>
        <w:pStyle w:val="NormalHanging12a"/>
      </w:pPr>
      <w:r w:rsidRPr="009D1E8B">
        <w:t>–</w:t>
      </w:r>
      <w:r w:rsidRPr="009D1E8B">
        <w:tab/>
        <w:t>võttes arvesse Euroopa Parlamendi ja nõukogu 23. septembri 20</w:t>
      </w:r>
      <w:r w:rsidR="0062251E" w:rsidRPr="009D1E8B">
        <w:t>24. aasta määrust (EL, Euratom) </w:t>
      </w:r>
      <w:r w:rsidRPr="009D1E8B">
        <w:t xml:space="preserve">2024/2509 (mis käsitleb liidu </w:t>
      </w:r>
      <w:proofErr w:type="spellStart"/>
      <w:r w:rsidRPr="009D1E8B">
        <w:t>üldeelarve</w:t>
      </w:r>
      <w:proofErr w:type="spellEnd"/>
      <w:r w:rsidRPr="009D1E8B">
        <w:t xml:space="preserve"> suhtes kohaldatavaid finantsreegleid)</w:t>
      </w:r>
      <w:r w:rsidRPr="009D1E8B">
        <w:rPr>
          <w:rStyle w:val="FootnoteReference"/>
        </w:rPr>
        <w:footnoteReference w:id="1"/>
      </w:r>
      <w:r w:rsidRPr="009D1E8B">
        <w:t>, eriti selle artiklit 44,</w:t>
      </w:r>
    </w:p>
    <w:p w14:paraId="395961F0" w14:textId="77777777" w:rsidR="0021318F" w:rsidRPr="009D1E8B" w:rsidRDefault="0021318F" w:rsidP="0021318F">
      <w:pPr>
        <w:pStyle w:val="NormalHanging12a"/>
      </w:pPr>
      <w:r w:rsidRPr="009D1E8B">
        <w:t>–</w:t>
      </w:r>
      <w:r w:rsidRPr="009D1E8B">
        <w:tab/>
        <w:t>võt</w:t>
      </w:r>
      <w:r w:rsidR="0062251E" w:rsidRPr="009D1E8B">
        <w:t>tes arvesse Euroopa Liidu 2025. </w:t>
      </w:r>
      <w:r w:rsidRPr="009D1E8B">
        <w:t xml:space="preserve">aasta </w:t>
      </w:r>
      <w:proofErr w:type="spellStart"/>
      <w:r w:rsidRPr="009D1E8B">
        <w:t>üldeelarvet</w:t>
      </w:r>
      <w:proofErr w:type="spellEnd"/>
      <w:r w:rsidRPr="009D1E8B">
        <w:t>, mis võeti lõplikult vastu 27. novembril 2024. aastal</w:t>
      </w:r>
      <w:r w:rsidRPr="009D1E8B">
        <w:rPr>
          <w:rStyle w:val="FootnoteReference"/>
        </w:rPr>
        <w:footnoteReference w:id="2"/>
      </w:r>
      <w:r w:rsidRPr="009D1E8B">
        <w:t>,</w:t>
      </w:r>
    </w:p>
    <w:p w14:paraId="350F0E07" w14:textId="77777777" w:rsidR="0021318F" w:rsidRPr="009D1E8B" w:rsidRDefault="0021318F" w:rsidP="0021318F">
      <w:pPr>
        <w:pStyle w:val="NormalHanging12a"/>
      </w:pPr>
      <w:r w:rsidRPr="009D1E8B">
        <w:t>–</w:t>
      </w:r>
      <w:r w:rsidRPr="009D1E8B">
        <w:tab/>
        <w:t>võttes arvesse nõukogu 17. detsembri 20</w:t>
      </w:r>
      <w:r w:rsidR="0062251E" w:rsidRPr="009D1E8B">
        <w:t>20. aasta määrust (EL, Euratom) </w:t>
      </w:r>
      <w:r w:rsidRPr="009D1E8B">
        <w:t>2020/2093, millega määratakse kindlaks mitmeaastane finantsraamistik aastateks 2021–2027</w:t>
      </w:r>
      <w:r w:rsidRPr="009D1E8B">
        <w:rPr>
          <w:rStyle w:val="FootnoteReference"/>
        </w:rPr>
        <w:footnoteReference w:id="3"/>
      </w:r>
      <w:r w:rsidRPr="009D1E8B">
        <w:t>,</w:t>
      </w:r>
    </w:p>
    <w:p w14:paraId="1D99F438" w14:textId="77777777" w:rsidR="0021318F" w:rsidRPr="009D1E8B" w:rsidRDefault="0021318F" w:rsidP="0021318F">
      <w:pPr>
        <w:pStyle w:val="NormalHanging12a"/>
      </w:pPr>
      <w:r w:rsidRPr="009D1E8B">
        <w:t>–</w:t>
      </w:r>
      <w:r w:rsidRPr="009D1E8B">
        <w:tab/>
        <w:t>võttes arvesse 16. detsembri 2020. aasta institutsioonidevahelist kokkulepet Euroopa Parlamendi, Euroopa Liidu Nõukogu ja Euroopa Komisjoni vahel, mis käsitleb eelarvedistsipliini, eelarvealast koostööd ning usaldusväärset finantsjuhtimist, samuti uusi omavahendeid, sealhulgas uute omavahendite kasutuselevõtmise suunas liikumise tegevuskava</w:t>
      </w:r>
      <w:r w:rsidRPr="009D1E8B">
        <w:rPr>
          <w:rStyle w:val="FootnoteReference"/>
        </w:rPr>
        <w:footnoteReference w:id="4"/>
      </w:r>
      <w:r w:rsidRPr="009D1E8B">
        <w:t xml:space="preserve"> (16. detsembri 2020. aasta institutsioonidevaheline kokkulepe),</w:t>
      </w:r>
    </w:p>
    <w:p w14:paraId="363ABB5F" w14:textId="77777777" w:rsidR="0021318F" w:rsidRPr="009D1E8B" w:rsidRDefault="0021318F" w:rsidP="0021318F">
      <w:pPr>
        <w:pStyle w:val="NormalHanging12a"/>
      </w:pPr>
      <w:r w:rsidRPr="009D1E8B">
        <w:t>–</w:t>
      </w:r>
      <w:r w:rsidRPr="009D1E8B">
        <w:tab/>
        <w:t xml:space="preserve">võttes arvesse nõukogu 14. detsembri 2020. aasta otsust (EL, Euratom) 2020/2053, mis käsitleb Euroopa Liidu omavahendite süsteemi ning millega tunnistatakse kehtetuks </w:t>
      </w:r>
      <w:r w:rsidR="0062251E" w:rsidRPr="009D1E8B">
        <w:lastRenderedPageBreak/>
        <w:t>otsus </w:t>
      </w:r>
      <w:r w:rsidRPr="009D1E8B">
        <w:t>2014/335/EL, Euratom</w:t>
      </w:r>
      <w:r w:rsidRPr="009D1E8B">
        <w:rPr>
          <w:rStyle w:val="FootnoteReference"/>
        </w:rPr>
        <w:footnoteReference w:id="5"/>
      </w:r>
      <w:r w:rsidRPr="009D1E8B">
        <w:t>,</w:t>
      </w:r>
    </w:p>
    <w:p w14:paraId="0632F9BE" w14:textId="77777777" w:rsidR="0021318F" w:rsidRPr="009D1E8B" w:rsidRDefault="0021318F" w:rsidP="0021318F">
      <w:pPr>
        <w:pStyle w:val="NormalHanging12a"/>
      </w:pPr>
      <w:r w:rsidRPr="009D1E8B">
        <w:t>–</w:t>
      </w:r>
      <w:r w:rsidRPr="009D1E8B">
        <w:tab/>
        <w:t>võttes arve</w:t>
      </w:r>
      <w:r w:rsidR="0062251E" w:rsidRPr="009D1E8B">
        <w:t>sse paranduseelarve projekti nr </w:t>
      </w:r>
      <w:r w:rsidRPr="009D1E8B">
        <w:t>1/2025, mille komisjon võttis vastu 9. aprillil 2025. aastal (COM(2025)0350),</w:t>
      </w:r>
    </w:p>
    <w:p w14:paraId="6CA39369" w14:textId="77777777" w:rsidR="0021318F" w:rsidRPr="009D1E8B" w:rsidRDefault="0062251E" w:rsidP="0021318F">
      <w:pPr>
        <w:pStyle w:val="NormalHanging12a"/>
      </w:pPr>
      <w:r w:rsidRPr="009D1E8B">
        <w:t>–</w:t>
      </w:r>
      <w:r w:rsidRPr="009D1E8B">
        <w:tab/>
        <w:t>võttes arvesse 16. juunil 2025. aastal vastu võetud ja 18. juunil 2025. </w:t>
      </w:r>
      <w:r w:rsidR="0021318F" w:rsidRPr="009D1E8B">
        <w:t>aastal Euroopa Parlamendile esitatud nõukogu seisuko</w:t>
      </w:r>
      <w:r w:rsidRPr="009D1E8B">
        <w:t>hta paranduseelarve projekti nr </w:t>
      </w:r>
      <w:r w:rsidR="0021318F" w:rsidRPr="009D1E8B">
        <w:t>1/2025 kohta (09619/2025 – C10-0125/2025),</w:t>
      </w:r>
    </w:p>
    <w:p w14:paraId="5A5B157C" w14:textId="77777777" w:rsidR="0021318F" w:rsidRPr="009D1E8B" w:rsidRDefault="0021318F" w:rsidP="0021318F">
      <w:pPr>
        <w:pStyle w:val="NormalHanging12a"/>
      </w:pPr>
      <w:r w:rsidRPr="009D1E8B">
        <w:t>–</w:t>
      </w:r>
      <w:r w:rsidRPr="009D1E8B">
        <w:tab/>
        <w:t>võttes arvesse kodukorra artikleid 96 ja 98,</w:t>
      </w:r>
    </w:p>
    <w:p w14:paraId="73541714" w14:textId="77777777" w:rsidR="0021318F" w:rsidRPr="009D1E8B" w:rsidRDefault="0021318F" w:rsidP="0021318F">
      <w:pPr>
        <w:pStyle w:val="NormalHanging12a"/>
      </w:pPr>
      <w:r w:rsidRPr="009D1E8B">
        <w:t>–</w:t>
      </w:r>
      <w:r w:rsidRPr="009D1E8B">
        <w:tab/>
        <w:t>võttes arvesse</w:t>
      </w:r>
      <w:r w:rsidR="0062251E" w:rsidRPr="009D1E8B">
        <w:t xml:space="preserve"> eelarvekomisjoni raportit (A10</w:t>
      </w:r>
      <w:r w:rsidR="0062251E" w:rsidRPr="009D1E8B">
        <w:noBreakHyphen/>
      </w:r>
      <w:r w:rsidRPr="009D1E8B">
        <w:t>0116/2025),</w:t>
      </w:r>
    </w:p>
    <w:p w14:paraId="7C063CB8" w14:textId="77777777" w:rsidR="0021318F" w:rsidRPr="009D1E8B" w:rsidRDefault="0021318F" w:rsidP="0021318F">
      <w:pPr>
        <w:pStyle w:val="NormalHanging12a"/>
      </w:pPr>
      <w:r w:rsidRPr="009D1E8B">
        <w:t>A.</w:t>
      </w:r>
      <w:r w:rsidRPr="009D1E8B">
        <w:tab/>
      </w:r>
      <w:r w:rsidRPr="009D1E8B">
        <w:rPr>
          <w:color w:val="000000"/>
        </w:rPr>
        <w:t>arvestades, et paranduseelarve projekti n</w:t>
      </w:r>
      <w:r w:rsidR="0062251E" w:rsidRPr="009D1E8B">
        <w:rPr>
          <w:color w:val="000000"/>
        </w:rPr>
        <w:t>r 1/2025 eesmärk on kanda 2025. aasta eelarvesse 2024. </w:t>
      </w:r>
      <w:r w:rsidRPr="009D1E8B">
        <w:rPr>
          <w:color w:val="000000"/>
        </w:rPr>
        <w:t>aasta täitmisest tulenev</w:t>
      </w:r>
      <w:r w:rsidR="0062251E" w:rsidRPr="009D1E8B">
        <w:rPr>
          <w:color w:val="000000"/>
        </w:rPr>
        <w:t xml:space="preserve"> ülejääk, mille suurus on 1 345 </w:t>
      </w:r>
      <w:r w:rsidRPr="009D1E8B">
        <w:rPr>
          <w:color w:val="000000"/>
        </w:rPr>
        <w:t>miljonit eurot;</w:t>
      </w:r>
    </w:p>
    <w:p w14:paraId="165452C3" w14:textId="77777777" w:rsidR="0021318F" w:rsidRPr="009D1E8B" w:rsidRDefault="0021318F" w:rsidP="0021318F">
      <w:pPr>
        <w:pStyle w:val="NormalHanging12a"/>
      </w:pPr>
      <w:r w:rsidRPr="009D1E8B">
        <w:t>B.</w:t>
      </w:r>
      <w:r w:rsidRPr="009D1E8B">
        <w:tab/>
      </w:r>
      <w:r w:rsidRPr="009D1E8B">
        <w:rPr>
          <w:color w:val="000000"/>
        </w:rPr>
        <w:t>arvestades, et selle ülejäägi põhielemendid on tulude positiivne saldo (1 072 miljonit eurot) ja kavandatust väiksemad kulud (272,5 miljonit eurot);</w:t>
      </w:r>
    </w:p>
    <w:p w14:paraId="3BF7B651" w14:textId="77777777" w:rsidR="0021318F" w:rsidRPr="009D1E8B" w:rsidRDefault="0021318F" w:rsidP="0021318F">
      <w:pPr>
        <w:pStyle w:val="NormalHanging12a"/>
      </w:pPr>
      <w:r w:rsidRPr="009D1E8B">
        <w:t>C.</w:t>
      </w:r>
      <w:r w:rsidRPr="009D1E8B">
        <w:tab/>
      </w:r>
      <w:r w:rsidRPr="009D1E8B">
        <w:rPr>
          <w:color w:val="000000"/>
        </w:rPr>
        <w:t xml:space="preserve">arvestades, et tulude poolel on ülejäägi mahu peamiseks põhjuseks 1 211 miljonit eurot finantstulusid, viiviseid ja trahve; arvestades, et jaotise 1 omavahendite </w:t>
      </w:r>
      <w:r w:rsidR="0062251E" w:rsidRPr="009D1E8B">
        <w:rPr>
          <w:color w:val="000000"/>
        </w:rPr>
        <w:t>laekumine on väga lähedal 2024. </w:t>
      </w:r>
      <w:r w:rsidRPr="009D1E8B">
        <w:rPr>
          <w:color w:val="000000"/>
        </w:rPr>
        <w:t>aasta eelarve summadele (sealhulgas paranduseelarved nr 1–5);</w:t>
      </w:r>
    </w:p>
    <w:p w14:paraId="291A1319" w14:textId="77777777" w:rsidR="0021318F" w:rsidRPr="009D1E8B" w:rsidRDefault="0021318F" w:rsidP="0021318F">
      <w:pPr>
        <w:pStyle w:val="NormalHanging12a"/>
      </w:pPr>
      <w:r w:rsidRPr="009D1E8B">
        <w:t>D.</w:t>
      </w:r>
      <w:r w:rsidRPr="009D1E8B">
        <w:tab/>
      </w:r>
      <w:r w:rsidRPr="009D1E8B">
        <w:rPr>
          <w:color w:val="000000"/>
        </w:rPr>
        <w:t>arvestades, et kulude poolel oli maksete assigneeringute alakasutamine kõigi institutsioonide poolt, sealhulgas ülekantud assigneeringute tühistamine, 273 miljonit eurot (mis moodustab heakskiidetud maksete assigneeringutest 0,02 %);</w:t>
      </w:r>
    </w:p>
    <w:p w14:paraId="685B7F78" w14:textId="77777777" w:rsidR="0021318F" w:rsidRPr="009D1E8B" w:rsidRDefault="0021318F" w:rsidP="0021318F">
      <w:pPr>
        <w:pStyle w:val="NormalHanging12a"/>
        <w:ind w:hanging="570"/>
      </w:pPr>
      <w:r w:rsidRPr="009D1E8B">
        <w:t>1.</w:t>
      </w:r>
      <w:r w:rsidRPr="009D1E8B">
        <w:tab/>
      </w:r>
      <w:r w:rsidRPr="009D1E8B">
        <w:rPr>
          <w:color w:val="000000"/>
        </w:rPr>
        <w:t>võtab teadmiseks komisjoni esitatud paranduseelarve projekti nr 1/2025, mis on mõeldud 2024. aasta ülejä</w:t>
      </w:r>
      <w:r w:rsidR="0062251E" w:rsidRPr="009D1E8B">
        <w:rPr>
          <w:color w:val="000000"/>
        </w:rPr>
        <w:t>ägi eelarvesse kandmiseks 1 345 </w:t>
      </w:r>
      <w:r w:rsidRPr="009D1E8B">
        <w:rPr>
          <w:color w:val="000000"/>
        </w:rPr>
        <w:t>miljoni euro suuruses summas vastavalt finantsmääruse artikli 18 lõikele 3;</w:t>
      </w:r>
      <w:sdt>
        <w:sdtPr>
          <w:tag w:val="goog_rdk_0"/>
          <w:id w:val="1937094721"/>
        </w:sdtPr>
        <w:sdtEndPr/>
        <w:sdtContent/>
      </w:sdt>
    </w:p>
    <w:p w14:paraId="1936132F" w14:textId="77777777" w:rsidR="0021318F" w:rsidRPr="009D1E8B" w:rsidRDefault="0021318F" w:rsidP="0021318F">
      <w:pPr>
        <w:pStyle w:val="NormalHanging12a"/>
        <w:ind w:hanging="570"/>
      </w:pPr>
      <w:r w:rsidRPr="009D1E8B">
        <w:t>2.</w:t>
      </w:r>
      <w:r w:rsidRPr="009D1E8B">
        <w:tab/>
      </w:r>
      <w:r w:rsidRPr="009D1E8B">
        <w:rPr>
          <w:color w:val="000000"/>
        </w:rPr>
        <w:t>väljendab heameelt asjaolu ü</w:t>
      </w:r>
      <w:r w:rsidR="0062251E" w:rsidRPr="009D1E8B">
        <w:rPr>
          <w:color w:val="000000"/>
        </w:rPr>
        <w:t>le, et 2024. </w:t>
      </w:r>
      <w:r w:rsidRPr="009D1E8B">
        <w:rPr>
          <w:color w:val="000000"/>
        </w:rPr>
        <w:t>aasta ülejääk on peamiselt tingitud jaotise 4 (finantstulu, viivised ja trahvid) muutuse suurenemisest, samas kui kulude ülejääk on e</w:t>
      </w:r>
      <w:r w:rsidR="0062251E" w:rsidRPr="009D1E8B">
        <w:rPr>
          <w:color w:val="000000"/>
        </w:rPr>
        <w:t>ndiselt väga tagasihoidlik (273 </w:t>
      </w:r>
      <w:r w:rsidRPr="009D1E8B">
        <w:rPr>
          <w:color w:val="000000"/>
        </w:rPr>
        <w:t xml:space="preserve">miljonit eurot); </w:t>
      </w:r>
    </w:p>
    <w:p w14:paraId="4A8ABDD4" w14:textId="77777777" w:rsidR="0021318F" w:rsidRPr="009D1E8B" w:rsidRDefault="0021318F" w:rsidP="0021318F">
      <w:pPr>
        <w:spacing w:after="240"/>
        <w:ind w:left="567" w:hanging="567"/>
        <w:rPr>
          <w:color w:val="000000"/>
        </w:rPr>
      </w:pPr>
      <w:r w:rsidRPr="009D1E8B">
        <w:rPr>
          <w:color w:val="000000"/>
        </w:rPr>
        <w:t>3.</w:t>
      </w:r>
      <w:r w:rsidRPr="009D1E8B">
        <w:rPr>
          <w:color w:val="000000"/>
        </w:rPr>
        <w:tab/>
        <w:t xml:space="preserve">peab kahetsusväärseks, et ülejäägi kandmine eelarvesse vähendab proportsionaalselt </w:t>
      </w:r>
      <w:r w:rsidR="0062251E" w:rsidRPr="009D1E8B">
        <w:rPr>
          <w:color w:val="000000"/>
        </w:rPr>
        <w:t>liikmesriikide kogupanust 2025. </w:t>
      </w:r>
      <w:r w:rsidRPr="009D1E8B">
        <w:rPr>
          <w:color w:val="000000"/>
        </w:rPr>
        <w:t>aasta eelarve rahastamisse kogurahvatulul põhinevate omavahendite osamaksete näol; rõhutab, et ajal, mil rahastamisvajadused on endiselt suured, eelkõige seoses taasterahastu ülekuludega, ja manööverdamisruum liidu eelarve raames on endiselt äärmiselt piiratud, tuleks eelarve puhul säilitada piisav paindlikkus, et võimaldada liidul tulla toime ettenägematute sündmuste ja uute esilekerkivate prioriteetidega; rõhutab, et liidu eelarve paindlikkus on üks peamis</w:t>
      </w:r>
      <w:r w:rsidR="0062251E" w:rsidRPr="009D1E8B">
        <w:rPr>
          <w:color w:val="000000"/>
        </w:rPr>
        <w:t>i küsimusi, millega tuleb 2027. </w:t>
      </w:r>
      <w:r w:rsidRPr="009D1E8B">
        <w:rPr>
          <w:color w:val="000000"/>
        </w:rPr>
        <w:t xml:space="preserve">aasta järgse mitmeaastase finantsraamistiku üle peetavatel läbirääkimistel tegeleda; </w:t>
      </w:r>
    </w:p>
    <w:p w14:paraId="47A139FE" w14:textId="77777777" w:rsidR="0021318F" w:rsidRPr="009D1E8B" w:rsidRDefault="0021318F" w:rsidP="0021318F">
      <w:pPr>
        <w:spacing w:after="240"/>
        <w:ind w:left="567" w:hanging="567"/>
        <w:rPr>
          <w:color w:val="000000"/>
        </w:rPr>
      </w:pPr>
      <w:r w:rsidRPr="009D1E8B">
        <w:rPr>
          <w:color w:val="000000"/>
        </w:rPr>
        <w:t>4.</w:t>
      </w:r>
      <w:r w:rsidRPr="009D1E8B">
        <w:rPr>
          <w:color w:val="000000"/>
        </w:rPr>
        <w:tab/>
      </w:r>
      <w:r w:rsidRPr="009D1E8B">
        <w:t xml:space="preserve">kutsub samuti komisjoni üles kavandama järgmise mitmeaastase finantsraamistiku jaoks usaldusväärset ja püsivat struktuuri, mis võimaldab kõigi kaalutlusõiguseta kulude ja kohustuste kestlikku haldamist, säilitades täielikult liidu programmid ning eelarve paindlikkuse ja reageerimisvõime, eelkõige seoses loodusõnnetuste ja rahvatervise </w:t>
      </w:r>
      <w:r w:rsidRPr="009D1E8B">
        <w:lastRenderedPageBreak/>
        <w:t>hädaolukordadega, et täielikult rakendada liidu kriisivalmiduse strateegiat;</w:t>
      </w:r>
      <w:r w:rsidRPr="009D1E8B">
        <w:rPr>
          <w:color w:val="000000"/>
        </w:rPr>
        <w:t xml:space="preserve"> </w:t>
      </w:r>
    </w:p>
    <w:p w14:paraId="0F3AA629" w14:textId="77777777" w:rsidR="0021318F" w:rsidRPr="009D1E8B" w:rsidRDefault="0021318F" w:rsidP="0021318F">
      <w:pPr>
        <w:pStyle w:val="NormalHanging12a"/>
      </w:pPr>
      <w:r w:rsidRPr="009D1E8B">
        <w:t>5.</w:t>
      </w:r>
      <w:r w:rsidRPr="009D1E8B">
        <w:tab/>
      </w:r>
      <w:r w:rsidRPr="009D1E8B">
        <w:rPr>
          <w:color w:val="000000"/>
        </w:rPr>
        <w:t>tuletab meelde oma pikaajalist seisukohta, et trahvidest ja tasudest või nendega samaväärsetest summadest tulenevat erakorralist tulu tuleks kasutada liidu eelarve lisatuluna kriisidele reageerimise või ootamatute vajaduste jaoks ning see ei tohiks kaasa tuua kogurahvatulul põhinevate osamaksete vastavat vähendamist;</w:t>
      </w:r>
    </w:p>
    <w:p w14:paraId="5805210D" w14:textId="77777777" w:rsidR="0021318F" w:rsidRPr="009D1E8B" w:rsidRDefault="0021318F" w:rsidP="0021318F">
      <w:pPr>
        <w:pStyle w:val="NormalHanging12a"/>
        <w:ind w:hanging="570"/>
      </w:pPr>
      <w:r w:rsidRPr="009D1E8B">
        <w:t>6.</w:t>
      </w:r>
      <w:r w:rsidRPr="009D1E8B">
        <w:tab/>
        <w:t>võtab teadmiseks uue artikli 425 negatiivse tuluartikli, mille summa on 534 miljonit eurot, ning väljendab heameelt selle meetodi üle, mille kohaselt kantakse eelarvesse kulud, mis tulenevad kokkuleppemenetluse tulemusel tehtud maksetest ning hõlmavad tasandusintressi ja viiviste hüvitamist seoses tühistatud või vähendatud konkurentsitrahvide tagasimaksmisega vastavalt Euroopa Kohtu asjakohastele otsustele; tuletab meelde, et finantsmääruse uuesti sõnastamise üle peetud läbirääkimistel nõudis parlament selle lähenemisviisi kohaldamist, kuna alternatiivne lahendus oleks olnud täiendavad kuluassigneeringud juba niigi ülekoormatud rubriigis 7; tuletab meelde, et seda lahendust ei saa kasutada pärast 31.</w:t>
      </w:r>
      <w:r w:rsidR="0062251E" w:rsidRPr="009D1E8B">
        <w:t> detsembrit </w:t>
      </w:r>
      <w:r w:rsidRPr="009D1E8B">
        <w:t>2027; kutsub komisjoni üles esitama järgmise mitmeaastase finantsraamistiku jaoks lõpliku lahenduse, millega saavutatakse sama eesmärk – hoida ära eelarve kulude poolele tekkivat mõju;</w:t>
      </w:r>
    </w:p>
    <w:p w14:paraId="57D1C55D" w14:textId="77777777" w:rsidR="0021318F" w:rsidRPr="009D1E8B" w:rsidRDefault="0021318F" w:rsidP="0021318F">
      <w:pPr>
        <w:pStyle w:val="NormalHanging12a"/>
        <w:ind w:hanging="570"/>
        <w:rPr>
          <w:color w:val="000000"/>
        </w:rPr>
      </w:pPr>
      <w:r w:rsidRPr="009D1E8B">
        <w:t>7.</w:t>
      </w:r>
      <w:r w:rsidRPr="009D1E8B">
        <w:tab/>
      </w:r>
      <w:r w:rsidRPr="009D1E8B">
        <w:rPr>
          <w:color w:val="000000"/>
        </w:rPr>
        <w:t xml:space="preserve">rõhutab, et liidu eelarve jaoks on vaja jätkusuutlikku tulu: </w:t>
      </w:r>
      <w:r w:rsidRPr="009D1E8B">
        <w:t>peab seetõttu kahetsusväärseks, et nõukogus ei ole tehtud mingeid edusamme omavahendite süsteemi reformimisel kooskõlas 16. detsembri 2020. aasta institutsioonidevahelise kokkuleppe õiguslikult siduva tegevuskava põhimõtetega;</w:t>
      </w:r>
      <w:r w:rsidRPr="009D1E8B">
        <w:rPr>
          <w:color w:val="1E1E1F"/>
        </w:rPr>
        <w:t xml:space="preserve"> </w:t>
      </w:r>
      <w:r w:rsidRPr="009D1E8B">
        <w:t>tuletab meelde oma seisukohta, mis toetab komisjoni muudetud ettepanekuid, ning nõuab tungivalt, et nõukogu võtaks need ettepanekud kiiremas korras vastu, et liidu eelarve jaoks kättesaadavaid omavahendeid mitmekesistada ja tugevdada;</w:t>
      </w:r>
    </w:p>
    <w:p w14:paraId="258D723B" w14:textId="77777777" w:rsidR="0021318F" w:rsidRPr="009D1E8B" w:rsidRDefault="0021318F" w:rsidP="0021318F">
      <w:pPr>
        <w:pStyle w:val="NormalHanging12a"/>
        <w:ind w:hanging="570"/>
        <w:rPr>
          <w:color w:val="000000"/>
        </w:rPr>
      </w:pPr>
      <w:r w:rsidRPr="009D1E8B">
        <w:t>8.</w:t>
      </w:r>
      <w:r w:rsidRPr="009D1E8B">
        <w:tab/>
        <w:t>kutsub lisaks komisjoni üles jätkama pingutusi, et leida täiendavaid uuenduslikke ja tõelisi uusi omavahendeid ja muid tuluallikaid lisa</w:t>
      </w:r>
      <w:r w:rsidR="0062251E" w:rsidRPr="009D1E8B">
        <w:t>ks neile, mis on sätestatud 16. detsembri 2020. </w:t>
      </w:r>
      <w:r w:rsidRPr="009D1E8B">
        <w:t xml:space="preserve">aasta institutsioonidevahelises kokkuleppes; rõhutab, et uued omavahendid on olulised mitte ainult </w:t>
      </w:r>
      <w:r w:rsidR="0062251E" w:rsidRPr="009D1E8B">
        <w:t>taasterahastu „</w:t>
      </w:r>
      <w:proofErr w:type="spellStart"/>
      <w:r w:rsidR="0062251E" w:rsidRPr="009D1E8B">
        <w:t>NextGenerationEU</w:t>
      </w:r>
      <w:proofErr w:type="spellEnd"/>
      <w:r w:rsidR="0062251E" w:rsidRPr="009D1E8B">
        <w:t xml:space="preserve">“ </w:t>
      </w:r>
      <w:r w:rsidRPr="009D1E8B">
        <w:t>laenude tagasimaksmise võimaldamiseks, vaid ka selleks, et tagada liidu vahendid suuremate kulutuste katmiseks, eelkõige seoses rohkete probleemidega, millega liit praegu silmitsi seisab, sealhulgas seoses uue geopoliitilise kontekstiga; on seisukohal, et kõigi uute liidu poliitikavaldkondade ja ülesannete jaoks tuleb eraldada uued rahalised vahendid ja täiendavad uued ressursid;</w:t>
      </w:r>
    </w:p>
    <w:p w14:paraId="3E63F50F" w14:textId="77777777" w:rsidR="0021318F" w:rsidRPr="009D1E8B" w:rsidRDefault="0021318F" w:rsidP="0021318F">
      <w:pPr>
        <w:pStyle w:val="NormalHanging12a"/>
        <w:ind w:hanging="570"/>
      </w:pPr>
      <w:r w:rsidRPr="009D1E8B">
        <w:t>9.</w:t>
      </w:r>
      <w:r w:rsidRPr="009D1E8B">
        <w:tab/>
        <w:t>kiidab nõukogu seisukoha paranduseelarve projekti nr 1/2025 kohta heaks;</w:t>
      </w:r>
    </w:p>
    <w:p w14:paraId="1BBD200F" w14:textId="77777777" w:rsidR="0021318F" w:rsidRPr="009D1E8B" w:rsidRDefault="0021318F" w:rsidP="0021318F">
      <w:pPr>
        <w:pStyle w:val="NormalHanging12a"/>
        <w:ind w:hanging="570"/>
      </w:pPr>
      <w:r w:rsidRPr="009D1E8B">
        <w:t>10.</w:t>
      </w:r>
      <w:r w:rsidRPr="009D1E8B">
        <w:tab/>
        <w:t xml:space="preserve">teeb presidendile ülesandeks kuulutada paranduseelarve nr 1/2025 lõplikult vastuvõetuks ja korraldada selle avaldamine </w:t>
      </w:r>
      <w:r w:rsidRPr="009D1E8B">
        <w:rPr>
          <w:i/>
        </w:rPr>
        <w:t>Euroopa Liidu Teatajas</w:t>
      </w:r>
      <w:r w:rsidRPr="009D1E8B">
        <w:t>;</w:t>
      </w:r>
    </w:p>
    <w:p w14:paraId="4183B099" w14:textId="77777777" w:rsidR="00904C1B" w:rsidRPr="009D1E8B" w:rsidRDefault="0021318F" w:rsidP="00904C1B">
      <w:pPr>
        <w:pStyle w:val="NormalHanging12a"/>
        <w:ind w:hanging="570"/>
      </w:pPr>
      <w:r w:rsidRPr="009D1E8B">
        <w:t>11.</w:t>
      </w:r>
      <w:r w:rsidRPr="009D1E8B">
        <w:tab/>
        <w:t>teeb presidendile ülesandeks edastada käesolev resolutsioon nõukogule, komisjonile, teistele asjaomastele institutsioonidele ja asutustele ning liikmesriikide parlamentidele.</w:t>
      </w:r>
    </w:p>
    <w:p w14:paraId="741AAC8E" w14:textId="77777777" w:rsidR="00E365E1" w:rsidRPr="009D1E8B" w:rsidRDefault="00E365E1" w:rsidP="00F551EE"/>
    <w:sectPr w:rsidR="00E365E1" w:rsidRPr="009D1E8B" w:rsidSect="00904C1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9DD6D2" w14:textId="77777777" w:rsidR="00F551EE" w:rsidRPr="00904C1B" w:rsidRDefault="00F551EE">
      <w:r w:rsidRPr="00904C1B">
        <w:separator/>
      </w:r>
    </w:p>
  </w:endnote>
  <w:endnote w:type="continuationSeparator" w:id="0">
    <w:p w14:paraId="581B860A" w14:textId="77777777" w:rsidR="00F551EE" w:rsidRPr="00904C1B" w:rsidRDefault="00F551EE">
      <w:r w:rsidRPr="00904C1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D6718" w14:textId="77777777" w:rsidR="00064002" w:rsidRPr="00904C1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401F4" w14:textId="77777777" w:rsidR="00064002" w:rsidRPr="00904C1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D84C3" w14:textId="77777777" w:rsidR="00064002" w:rsidRPr="00904C1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9CEF42" w14:textId="77777777" w:rsidR="00F551EE" w:rsidRPr="00904C1B" w:rsidRDefault="00F551EE">
      <w:r w:rsidRPr="00904C1B">
        <w:separator/>
      </w:r>
    </w:p>
  </w:footnote>
  <w:footnote w:type="continuationSeparator" w:id="0">
    <w:p w14:paraId="6272B2C3" w14:textId="77777777" w:rsidR="00F551EE" w:rsidRPr="00904C1B" w:rsidRDefault="00F551EE">
      <w:r w:rsidRPr="00904C1B">
        <w:continuationSeparator/>
      </w:r>
    </w:p>
  </w:footnote>
  <w:footnote w:id="1">
    <w:p w14:paraId="08D075CD" w14:textId="77777777" w:rsidR="0021318F" w:rsidRPr="00904C1B" w:rsidRDefault="0021318F" w:rsidP="00904C1B">
      <w:pPr>
        <w:pStyle w:val="FootnoteText"/>
        <w:ind w:left="567" w:hanging="567"/>
        <w:rPr>
          <w:sz w:val="24"/>
          <w:lang w:val="et-EE"/>
        </w:rPr>
      </w:pPr>
      <w:r w:rsidRPr="00904C1B">
        <w:rPr>
          <w:rStyle w:val="FootnoteReference"/>
          <w:sz w:val="24"/>
          <w:lang w:val="et-EE"/>
        </w:rPr>
        <w:footnoteRef/>
      </w:r>
      <w:r w:rsidR="00904C1B" w:rsidRPr="00904C1B">
        <w:rPr>
          <w:sz w:val="24"/>
          <w:lang w:val="et-EE"/>
        </w:rPr>
        <w:t xml:space="preserve"> </w:t>
      </w:r>
      <w:r w:rsidR="00904C1B" w:rsidRPr="00904C1B">
        <w:rPr>
          <w:sz w:val="24"/>
          <w:lang w:val="et-EE"/>
        </w:rPr>
        <w:tab/>
      </w:r>
      <w:r w:rsidRPr="00904C1B">
        <w:rPr>
          <w:sz w:val="24"/>
          <w:lang w:val="et-EE"/>
        </w:rPr>
        <w:t>ELT L, 2024/2509, 26.9.2024, ELI:</w:t>
      </w:r>
      <w:hyperlink r:id="rId1" w:history="1">
        <w:r w:rsidRPr="00904C1B">
          <w:rPr>
            <w:rStyle w:val="Hyperlink"/>
            <w:sz w:val="24"/>
            <w:lang w:val="et-EE"/>
          </w:rPr>
          <w:t xml:space="preserve"> http://data.europa.eu/eli/reg/2024/2509/oj</w:t>
        </w:r>
      </w:hyperlink>
      <w:r w:rsidRPr="00904C1B">
        <w:rPr>
          <w:sz w:val="24"/>
          <w:lang w:val="et-EE"/>
        </w:rPr>
        <w:t>.</w:t>
      </w:r>
    </w:p>
  </w:footnote>
  <w:footnote w:id="2">
    <w:p w14:paraId="4043ECA6" w14:textId="77777777" w:rsidR="0021318F" w:rsidRPr="00904C1B" w:rsidRDefault="0021318F" w:rsidP="00904C1B">
      <w:pPr>
        <w:pStyle w:val="FootnoteText"/>
        <w:ind w:left="567" w:hanging="567"/>
        <w:rPr>
          <w:sz w:val="24"/>
          <w:lang w:val="et-EE"/>
        </w:rPr>
      </w:pPr>
      <w:r w:rsidRPr="00904C1B">
        <w:rPr>
          <w:rStyle w:val="FootnoteReference"/>
          <w:sz w:val="24"/>
          <w:lang w:val="et-EE"/>
        </w:rPr>
        <w:footnoteRef/>
      </w:r>
      <w:r w:rsidR="00904C1B" w:rsidRPr="00904C1B">
        <w:rPr>
          <w:sz w:val="24"/>
          <w:lang w:val="et-EE"/>
        </w:rPr>
        <w:t xml:space="preserve"> </w:t>
      </w:r>
      <w:r w:rsidR="00904C1B" w:rsidRPr="00904C1B">
        <w:rPr>
          <w:sz w:val="24"/>
          <w:lang w:val="et-EE"/>
        </w:rPr>
        <w:tab/>
      </w:r>
      <w:r w:rsidR="0062251E">
        <w:rPr>
          <w:sz w:val="24"/>
          <w:lang w:val="et-EE"/>
        </w:rPr>
        <w:t>ELT </w:t>
      </w:r>
      <w:r w:rsidRPr="00904C1B">
        <w:rPr>
          <w:sz w:val="24"/>
          <w:lang w:val="et-EE"/>
        </w:rPr>
        <w:t xml:space="preserve">L, 2025/31, 27.2.2025, ELI: </w:t>
      </w:r>
      <w:hyperlink r:id="rId2" w:history="1">
        <w:r w:rsidRPr="00904C1B">
          <w:rPr>
            <w:rStyle w:val="Hyperlink"/>
            <w:sz w:val="24"/>
            <w:lang w:val="et-EE"/>
          </w:rPr>
          <w:t>http://data.europa.eu/eli/budget/2025/31/oj</w:t>
        </w:r>
      </w:hyperlink>
      <w:r w:rsidRPr="00904C1B">
        <w:rPr>
          <w:rStyle w:val="Hyperlink"/>
          <w:sz w:val="24"/>
          <w:lang w:val="et-EE"/>
        </w:rPr>
        <w:t>.</w:t>
      </w:r>
    </w:p>
  </w:footnote>
  <w:footnote w:id="3">
    <w:p w14:paraId="08DA7878" w14:textId="77777777" w:rsidR="0021318F" w:rsidRPr="00904C1B" w:rsidRDefault="0021318F" w:rsidP="00904C1B">
      <w:pPr>
        <w:pStyle w:val="FootnoteText"/>
        <w:ind w:left="567" w:hanging="567"/>
        <w:rPr>
          <w:sz w:val="24"/>
          <w:lang w:val="et-EE"/>
        </w:rPr>
      </w:pPr>
      <w:r w:rsidRPr="00904C1B">
        <w:rPr>
          <w:rStyle w:val="FootnoteReference"/>
          <w:sz w:val="24"/>
          <w:lang w:val="et-EE"/>
        </w:rPr>
        <w:footnoteRef/>
      </w:r>
      <w:r w:rsidR="00904C1B" w:rsidRPr="00904C1B">
        <w:rPr>
          <w:sz w:val="24"/>
          <w:lang w:val="et-EE"/>
        </w:rPr>
        <w:t xml:space="preserve"> </w:t>
      </w:r>
      <w:r w:rsidR="00904C1B" w:rsidRPr="00904C1B">
        <w:rPr>
          <w:sz w:val="24"/>
          <w:lang w:val="et-EE"/>
        </w:rPr>
        <w:tab/>
      </w:r>
      <w:r w:rsidR="0062251E">
        <w:rPr>
          <w:sz w:val="24"/>
          <w:lang w:val="et-EE"/>
        </w:rPr>
        <w:t>ELT L </w:t>
      </w:r>
      <w:r w:rsidRPr="00904C1B">
        <w:rPr>
          <w:sz w:val="24"/>
          <w:lang w:val="et-EE"/>
        </w:rPr>
        <w:t xml:space="preserve">433 I, 22.12.2020, lk 11, ELI: </w:t>
      </w:r>
      <w:hyperlink r:id="rId3" w:history="1">
        <w:r w:rsidRPr="00904C1B">
          <w:rPr>
            <w:rStyle w:val="Hyperlink"/>
            <w:sz w:val="24"/>
            <w:lang w:val="et-EE"/>
          </w:rPr>
          <w:t>http://data.europa.eu/eli/reg/2020/2093/oj</w:t>
        </w:r>
      </w:hyperlink>
      <w:r w:rsidRPr="00904C1B">
        <w:rPr>
          <w:sz w:val="24"/>
          <w:lang w:val="et-EE"/>
        </w:rPr>
        <w:t>.</w:t>
      </w:r>
    </w:p>
  </w:footnote>
  <w:footnote w:id="4">
    <w:p w14:paraId="404C571B" w14:textId="77777777" w:rsidR="0021318F" w:rsidRPr="00904C1B" w:rsidRDefault="0021318F" w:rsidP="00904C1B">
      <w:pPr>
        <w:pStyle w:val="FootnoteText"/>
        <w:ind w:left="567" w:hanging="567"/>
        <w:rPr>
          <w:sz w:val="24"/>
          <w:lang w:val="et-EE"/>
        </w:rPr>
      </w:pPr>
      <w:r w:rsidRPr="00904C1B">
        <w:rPr>
          <w:rStyle w:val="FootnoteReference"/>
          <w:sz w:val="24"/>
          <w:lang w:val="et-EE"/>
        </w:rPr>
        <w:footnoteRef/>
      </w:r>
      <w:r w:rsidR="00904C1B" w:rsidRPr="00904C1B">
        <w:rPr>
          <w:sz w:val="24"/>
          <w:lang w:val="et-EE"/>
        </w:rPr>
        <w:t xml:space="preserve"> </w:t>
      </w:r>
      <w:r w:rsidR="00904C1B" w:rsidRPr="00904C1B">
        <w:rPr>
          <w:sz w:val="24"/>
          <w:lang w:val="et-EE"/>
        </w:rPr>
        <w:tab/>
      </w:r>
      <w:r w:rsidR="0062251E">
        <w:rPr>
          <w:sz w:val="24"/>
          <w:lang w:val="et-EE"/>
        </w:rPr>
        <w:t>ELT L </w:t>
      </w:r>
      <w:r w:rsidRPr="00904C1B">
        <w:rPr>
          <w:sz w:val="24"/>
          <w:lang w:val="et-EE"/>
        </w:rPr>
        <w:t xml:space="preserve">433 I, 22.12.2020, lk 28, ELI: </w:t>
      </w:r>
      <w:hyperlink r:id="rId4" w:history="1">
        <w:r w:rsidRPr="00904C1B">
          <w:rPr>
            <w:rStyle w:val="Hyperlink"/>
            <w:sz w:val="24"/>
            <w:lang w:val="et-EE"/>
          </w:rPr>
          <w:t>http://data.europa.eu/eli/agree_interinstit/2020/1222/oj</w:t>
        </w:r>
      </w:hyperlink>
      <w:r w:rsidRPr="00904C1B">
        <w:rPr>
          <w:rStyle w:val="Hyperlink"/>
          <w:sz w:val="24"/>
          <w:lang w:val="et-EE"/>
        </w:rPr>
        <w:t>.</w:t>
      </w:r>
    </w:p>
  </w:footnote>
  <w:footnote w:id="5">
    <w:p w14:paraId="4BB67389" w14:textId="77777777" w:rsidR="0021318F" w:rsidRPr="00904C1B" w:rsidRDefault="0021318F" w:rsidP="00904C1B">
      <w:pPr>
        <w:pStyle w:val="FootnoteText"/>
        <w:ind w:left="567" w:hanging="567"/>
        <w:rPr>
          <w:sz w:val="24"/>
          <w:lang w:val="et-EE"/>
        </w:rPr>
      </w:pPr>
      <w:r w:rsidRPr="00904C1B">
        <w:rPr>
          <w:rStyle w:val="FootnoteReference"/>
          <w:sz w:val="24"/>
          <w:lang w:val="et-EE"/>
        </w:rPr>
        <w:footnoteRef/>
      </w:r>
      <w:r w:rsidR="00904C1B" w:rsidRPr="00904C1B">
        <w:rPr>
          <w:sz w:val="24"/>
          <w:lang w:val="et-EE"/>
        </w:rPr>
        <w:t xml:space="preserve"> </w:t>
      </w:r>
      <w:r w:rsidR="00904C1B" w:rsidRPr="00904C1B">
        <w:rPr>
          <w:sz w:val="24"/>
          <w:lang w:val="et-EE"/>
        </w:rPr>
        <w:tab/>
      </w:r>
      <w:r w:rsidR="0062251E">
        <w:rPr>
          <w:sz w:val="24"/>
          <w:lang w:val="et-EE"/>
        </w:rPr>
        <w:t>ELT L 424, 15.12.2020, lk </w:t>
      </w:r>
      <w:r w:rsidRPr="00904C1B">
        <w:rPr>
          <w:sz w:val="24"/>
          <w:lang w:val="et-EE"/>
        </w:rPr>
        <w:t xml:space="preserve">1, ELI: </w:t>
      </w:r>
      <w:hyperlink r:id="rId5" w:history="1">
        <w:r w:rsidRPr="00904C1B">
          <w:rPr>
            <w:rStyle w:val="Hyperlink"/>
            <w:sz w:val="24"/>
            <w:lang w:val="et-EE"/>
          </w:rPr>
          <w:t>http://data.europa.eu/eli/dec/2020/2053/oj</w:t>
        </w:r>
      </w:hyperlink>
      <w:r w:rsidRPr="00904C1B">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9C316" w14:textId="77777777" w:rsidR="00064002" w:rsidRPr="00904C1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7A426" w14:textId="77777777" w:rsidR="00064002" w:rsidRPr="00904C1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FFF7B" w14:textId="77777777" w:rsidR="00064002" w:rsidRPr="00904C1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32203328">
    <w:abstractNumId w:val="9"/>
  </w:num>
  <w:num w:numId="2" w16cid:durableId="361326636">
    <w:abstractNumId w:val="9"/>
  </w:num>
  <w:num w:numId="3" w16cid:durableId="275141034">
    <w:abstractNumId w:val="7"/>
  </w:num>
  <w:num w:numId="4" w16cid:durableId="116412178">
    <w:abstractNumId w:val="7"/>
  </w:num>
  <w:num w:numId="5" w16cid:durableId="1975401468">
    <w:abstractNumId w:val="6"/>
  </w:num>
  <w:num w:numId="6" w16cid:durableId="1763718706">
    <w:abstractNumId w:val="6"/>
  </w:num>
  <w:num w:numId="7" w16cid:durableId="548764658">
    <w:abstractNumId w:val="5"/>
  </w:num>
  <w:num w:numId="8" w16cid:durableId="1697344322">
    <w:abstractNumId w:val="5"/>
  </w:num>
  <w:num w:numId="9" w16cid:durableId="1472749468">
    <w:abstractNumId w:val="4"/>
  </w:num>
  <w:num w:numId="10" w16cid:durableId="103311596">
    <w:abstractNumId w:val="4"/>
  </w:num>
  <w:num w:numId="11" w16cid:durableId="1200313864">
    <w:abstractNumId w:val="8"/>
  </w:num>
  <w:num w:numId="12" w16cid:durableId="1080063576">
    <w:abstractNumId w:val="8"/>
  </w:num>
  <w:num w:numId="13" w16cid:durableId="1510558488">
    <w:abstractNumId w:val="3"/>
  </w:num>
  <w:num w:numId="14" w16cid:durableId="1803035154">
    <w:abstractNumId w:val="3"/>
  </w:num>
  <w:num w:numId="15" w16cid:durableId="1772624705">
    <w:abstractNumId w:val="2"/>
  </w:num>
  <w:num w:numId="16" w16cid:durableId="1893879780">
    <w:abstractNumId w:val="2"/>
  </w:num>
  <w:num w:numId="17" w16cid:durableId="770860429">
    <w:abstractNumId w:val="1"/>
  </w:num>
  <w:num w:numId="18" w16cid:durableId="569539207">
    <w:abstractNumId w:val="1"/>
  </w:num>
  <w:num w:numId="19" w16cid:durableId="1803887750">
    <w:abstractNumId w:val="0"/>
  </w:num>
  <w:num w:numId="20" w16cid:durableId="992680081">
    <w:abstractNumId w:val="0"/>
  </w:num>
  <w:num w:numId="21" w16cid:durableId="959844012">
    <w:abstractNumId w:val="9"/>
  </w:num>
  <w:num w:numId="22" w16cid:durableId="2024821381">
    <w:abstractNumId w:val="7"/>
  </w:num>
  <w:num w:numId="23" w16cid:durableId="2098864449">
    <w:abstractNumId w:val="6"/>
  </w:num>
  <w:num w:numId="24" w16cid:durableId="1484739242">
    <w:abstractNumId w:val="5"/>
  </w:num>
  <w:num w:numId="25" w16cid:durableId="273831261">
    <w:abstractNumId w:val="4"/>
  </w:num>
  <w:num w:numId="26" w16cid:durableId="1745683853">
    <w:abstractNumId w:val="8"/>
  </w:num>
  <w:num w:numId="27" w16cid:durableId="766734653">
    <w:abstractNumId w:val="3"/>
  </w:num>
  <w:num w:numId="28" w16cid:durableId="885411460">
    <w:abstractNumId w:val="2"/>
  </w:num>
  <w:num w:numId="29" w16cid:durableId="266474548">
    <w:abstractNumId w:val="1"/>
  </w:num>
  <w:num w:numId="30" w16cid:durableId="271909482">
    <w:abstractNumId w:val="0"/>
  </w:num>
  <w:num w:numId="31" w16cid:durableId="777792422">
    <w:abstractNumId w:val="9"/>
  </w:num>
  <w:num w:numId="32" w16cid:durableId="1176843815">
    <w:abstractNumId w:val="7"/>
  </w:num>
  <w:num w:numId="33" w16cid:durableId="73206387">
    <w:abstractNumId w:val="6"/>
  </w:num>
  <w:num w:numId="34" w16cid:durableId="1703019762">
    <w:abstractNumId w:val="5"/>
  </w:num>
  <w:num w:numId="35" w16cid:durableId="1041632393">
    <w:abstractNumId w:val="4"/>
  </w:num>
  <w:num w:numId="36" w16cid:durableId="1399935282">
    <w:abstractNumId w:val="8"/>
  </w:num>
  <w:num w:numId="37" w16cid:durableId="529949494">
    <w:abstractNumId w:val="3"/>
  </w:num>
  <w:num w:numId="38" w16cid:durableId="2107726743">
    <w:abstractNumId w:val="2"/>
  </w:num>
  <w:num w:numId="39" w16cid:durableId="496186466">
    <w:abstractNumId w:val="1"/>
  </w:num>
  <w:num w:numId="40" w16cid:durableId="1660042201">
    <w:abstractNumId w:val="0"/>
  </w:num>
  <w:num w:numId="41" w16cid:durableId="559440190">
    <w:abstractNumId w:val="10"/>
  </w:num>
  <w:num w:numId="42" w16cid:durableId="702753350">
    <w:abstractNumId w:val="10"/>
  </w:num>
  <w:num w:numId="43" w16cid:durableId="468592855">
    <w:abstractNumId w:val="10"/>
  </w:num>
  <w:num w:numId="44" w16cid:durableId="7449543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16/2025"/>
    <w:docVar w:name="dvlangue" w:val="ET"/>
    <w:docVar w:name="dvnumam" w:val="0"/>
    <w:docVar w:name="dvpe" w:val="773.098"/>
    <w:docVar w:name="dvrapporteur" w:val="Raportöör: "/>
    <w:docVar w:name="dvtitre" w:val="Euroopa Parlamendi .... 2025. aasta resolutsioon mis käsitleb nõukogu seisukohta Euroopa Liidu 2025. aasta paranduseelarve projekti nr 1/2025 kohta – 2024. aasta ülejäägi kandmine eelarvesse(09619/2025 – C10-0125/2025 – 2025/0091(BUD))"/>
  </w:docVars>
  <w:rsids>
    <w:rsidRoot w:val="00F551EE"/>
    <w:rsid w:val="00002272"/>
    <w:rsid w:val="00064002"/>
    <w:rsid w:val="000677B9"/>
    <w:rsid w:val="000831BA"/>
    <w:rsid w:val="000A42CC"/>
    <w:rsid w:val="000E7DD9"/>
    <w:rsid w:val="0010095E"/>
    <w:rsid w:val="00125B37"/>
    <w:rsid w:val="00187494"/>
    <w:rsid w:val="001F32AE"/>
    <w:rsid w:val="0021318F"/>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606D"/>
    <w:rsid w:val="005C2568"/>
    <w:rsid w:val="005F1B17"/>
    <w:rsid w:val="006037C0"/>
    <w:rsid w:val="0062251E"/>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4C1B"/>
    <w:rsid w:val="00930C23"/>
    <w:rsid w:val="0093193B"/>
    <w:rsid w:val="009509D8"/>
    <w:rsid w:val="00950B64"/>
    <w:rsid w:val="00981893"/>
    <w:rsid w:val="009D1E8B"/>
    <w:rsid w:val="00A1687D"/>
    <w:rsid w:val="00A43E52"/>
    <w:rsid w:val="00A4678D"/>
    <w:rsid w:val="00A778C7"/>
    <w:rsid w:val="00AB441E"/>
    <w:rsid w:val="00AB6293"/>
    <w:rsid w:val="00AE0928"/>
    <w:rsid w:val="00AF3B82"/>
    <w:rsid w:val="00B12E95"/>
    <w:rsid w:val="00B22876"/>
    <w:rsid w:val="00B558F0"/>
    <w:rsid w:val="00BA768B"/>
    <w:rsid w:val="00BD48FE"/>
    <w:rsid w:val="00BD7BD8"/>
    <w:rsid w:val="00BE6ADC"/>
    <w:rsid w:val="00C05BFE"/>
    <w:rsid w:val="00C23CD4"/>
    <w:rsid w:val="00C61C0C"/>
    <w:rsid w:val="00C941CB"/>
    <w:rsid w:val="00CC2357"/>
    <w:rsid w:val="00CC402E"/>
    <w:rsid w:val="00CF071A"/>
    <w:rsid w:val="00D058B8"/>
    <w:rsid w:val="00D27369"/>
    <w:rsid w:val="00D56C11"/>
    <w:rsid w:val="00D834A0"/>
    <w:rsid w:val="00D872DF"/>
    <w:rsid w:val="00D91E21"/>
    <w:rsid w:val="00DA7FCD"/>
    <w:rsid w:val="00E039A5"/>
    <w:rsid w:val="00E365E1"/>
    <w:rsid w:val="00E820A4"/>
    <w:rsid w:val="00EB006A"/>
    <w:rsid w:val="00EB4772"/>
    <w:rsid w:val="00ED169E"/>
    <w:rsid w:val="00ED4235"/>
    <w:rsid w:val="00F04346"/>
    <w:rsid w:val="00F075DC"/>
    <w:rsid w:val="00F149E9"/>
    <w:rsid w:val="00F5134D"/>
    <w:rsid w:val="00F551EE"/>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E69B5B"/>
  <w15:chartTrackingRefBased/>
  <w15:docId w15:val="{6D76338A-8B30-47A2-BAA7-4ABF91437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1318F"/>
    <w:pPr>
      <w:spacing w:before="480" w:after="240"/>
    </w:pPr>
  </w:style>
  <w:style w:type="paragraph" w:customStyle="1" w:styleId="NormalHanging12a">
    <w:name w:val="NormalHanging12a"/>
    <w:basedOn w:val="Normal"/>
    <w:link w:val="NormalHanging12aChar"/>
    <w:rsid w:val="0021318F"/>
    <w:pPr>
      <w:spacing w:after="240"/>
      <w:ind w:left="567" w:hanging="567"/>
    </w:pPr>
  </w:style>
  <w:style w:type="character" w:styleId="Hyperlink">
    <w:name w:val="Hyperlink"/>
    <w:basedOn w:val="DefaultParagraphFont"/>
    <w:uiPriority w:val="99"/>
    <w:rsid w:val="0021318F"/>
    <w:rPr>
      <w:color w:val="0563C1" w:themeColor="hyperlink"/>
      <w:u w:val="single"/>
    </w:rPr>
  </w:style>
  <w:style w:type="character" w:customStyle="1" w:styleId="NormalHanging12aChar">
    <w:name w:val="NormalHanging12a Char"/>
    <w:basedOn w:val="DefaultParagraphFont"/>
    <w:link w:val="NormalHanging12a"/>
    <w:locked/>
    <w:rsid w:val="0021318F"/>
    <w:rPr>
      <w:sz w:val="24"/>
      <w:lang w:val="et-EE"/>
    </w:rPr>
  </w:style>
  <w:style w:type="paragraph" w:styleId="BalloonText">
    <w:name w:val="Balloon Text"/>
    <w:basedOn w:val="Normal"/>
    <w:link w:val="BalloonTextChar"/>
    <w:rsid w:val="0062251E"/>
    <w:rPr>
      <w:rFonts w:ascii="Segoe UI" w:hAnsi="Segoe UI" w:cs="Segoe UI"/>
      <w:sz w:val="18"/>
      <w:szCs w:val="18"/>
    </w:rPr>
  </w:style>
  <w:style w:type="character" w:customStyle="1" w:styleId="BalloonTextChar">
    <w:name w:val="Balloon Text Char"/>
    <w:basedOn w:val="DefaultParagraphFont"/>
    <w:link w:val="BalloonText"/>
    <w:rsid w:val="0062251E"/>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0/2093/oj" TargetMode="External"/><Relationship Id="rId2" Type="http://schemas.openxmlformats.org/officeDocument/2006/relationships/hyperlink" Target="http://data.europa.eu/eli/budget/2025/31/oj%20" TargetMode="External"/><Relationship Id="rId1" Type="http://schemas.openxmlformats.org/officeDocument/2006/relationships/hyperlink" Target="http://data.europa.eu/eli/reg/2024/2509/oj" TargetMode="External"/><Relationship Id="rId5" Type="http://schemas.openxmlformats.org/officeDocument/2006/relationships/hyperlink" Target="http://data.europa.eu/eli/dec/2020/2053/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B3C2CB-1F69-4303-B813-25925C30E0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871</Words>
  <Characters>6557</Characters>
  <Application>Microsoft Office Word</Application>
  <DocSecurity>0</DocSecurity>
  <Lines>54</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SEMEDO Teresa</cp:lastModifiedBy>
  <cp:revision>3</cp:revision>
  <cp:lastPrinted>2004-11-19T15:42:00Z</cp:lastPrinted>
  <dcterms:created xsi:type="dcterms:W3CDTF">2025-07-09T15:38:00Z</dcterms:created>
  <dcterms:modified xsi:type="dcterms:W3CDTF">2026-02-23T08:16:00Z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A10-0116/2025</vt:lpwstr>
  </property>
  <property fmtid="{D5CDD505-2E9C-101B-9397-08002B2CF9AE}" pid="4" name="&lt;Type&gt;">
    <vt:lpwstr>RR</vt:lpwstr>
  </property>
</Properties>
</file>