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465" w14:paraId="4528BB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768C1C" w14:textId="77777777" w:rsidR="00751A4A" w:rsidRPr="00601465" w:rsidRDefault="002A2569" w:rsidP="0010095E">
            <w:pPr>
              <w:pStyle w:val="EPName"/>
            </w:pPr>
            <w:r w:rsidRPr="00601465">
              <w:t>Europski parlament</w:t>
            </w:r>
          </w:p>
          <w:p w14:paraId="6AEA1B42" w14:textId="77777777" w:rsidR="00751A4A" w:rsidRPr="006014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465">
              <w:t>2024</w:t>
            </w:r>
            <w:r w:rsidR="00817416" w:rsidRPr="00601465">
              <w:t>-202</w:t>
            </w:r>
            <w:r w:rsidRPr="00601465">
              <w:t>9</w:t>
            </w:r>
          </w:p>
        </w:tc>
        <w:tc>
          <w:tcPr>
            <w:tcW w:w="2268" w:type="dxa"/>
            <w:shd w:val="clear" w:color="auto" w:fill="auto"/>
          </w:tcPr>
          <w:p w14:paraId="3224B461" w14:textId="77777777" w:rsidR="00751A4A" w:rsidRPr="00601465" w:rsidRDefault="00187494" w:rsidP="0010095E">
            <w:pPr>
              <w:pStyle w:val="EPLogo"/>
            </w:pPr>
            <w:r w:rsidRPr="00601465">
              <w:rPr>
                <w:noProof/>
                <w:lang w:val="en-GB"/>
              </w:rPr>
              <w:drawing>
                <wp:inline distT="0" distB="0" distL="0" distR="0" wp14:anchorId="7DB83165" wp14:editId="1E4BF5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9B01D" w14:textId="77777777" w:rsidR="00D058B8" w:rsidRPr="00601465" w:rsidRDefault="00D058B8" w:rsidP="004C5D52">
      <w:pPr>
        <w:pStyle w:val="LineTop"/>
      </w:pPr>
    </w:p>
    <w:p w14:paraId="76D618A1" w14:textId="77777777" w:rsidR="00680577" w:rsidRPr="00601465" w:rsidRDefault="002A2569" w:rsidP="00680577">
      <w:pPr>
        <w:pStyle w:val="EPBodyTA1"/>
      </w:pPr>
      <w:r w:rsidRPr="00601465">
        <w:t>USVOJENI TEKSTOVI</w:t>
      </w:r>
    </w:p>
    <w:p w14:paraId="0E7BDF5D" w14:textId="77777777" w:rsidR="00D058B8" w:rsidRPr="00601465" w:rsidRDefault="00D058B8" w:rsidP="00D058B8">
      <w:pPr>
        <w:pStyle w:val="LineBottom"/>
      </w:pPr>
    </w:p>
    <w:p w14:paraId="4134A476" w14:textId="46610069" w:rsidR="002A2569" w:rsidRPr="00601465" w:rsidRDefault="002A2569" w:rsidP="002A2569">
      <w:pPr>
        <w:pStyle w:val="ATHeading1"/>
      </w:pPr>
      <w:bookmarkStart w:id="0" w:name="TANumber"/>
      <w:r w:rsidRPr="00601465">
        <w:t>P10_TA(2025)0</w:t>
      </w:r>
      <w:r w:rsidR="0035742C">
        <w:t>151</w:t>
      </w:r>
      <w:bookmarkEnd w:id="0"/>
    </w:p>
    <w:p w14:paraId="1B962D1E" w14:textId="77777777" w:rsidR="002A2569" w:rsidRPr="00601465" w:rsidRDefault="002A2569" w:rsidP="002A2569">
      <w:pPr>
        <w:pStyle w:val="ATHeading2"/>
      </w:pPr>
      <w:bookmarkStart w:id="1" w:name="title"/>
      <w:r w:rsidRPr="00601465">
        <w:t>Nacrt izmjene proračuna br. 1/2025 – Unošenje viška iz financijske godine 2024.</w:t>
      </w:r>
      <w:bookmarkEnd w:id="1"/>
    </w:p>
    <w:p w14:paraId="6B4DA11A" w14:textId="77777777" w:rsidR="002A2569" w:rsidRPr="00601465" w:rsidRDefault="002A2569" w:rsidP="002A2569">
      <w:pPr>
        <w:rPr>
          <w:i/>
          <w:vanish/>
        </w:rPr>
      </w:pPr>
      <w:r w:rsidRPr="00601465">
        <w:rPr>
          <w:i/>
        </w:rPr>
        <w:fldChar w:fldCharType="begin"/>
      </w:r>
      <w:r w:rsidRPr="00601465">
        <w:rPr>
          <w:i/>
        </w:rPr>
        <w:instrText xml:space="preserve"> TC"(</w:instrText>
      </w:r>
      <w:bookmarkStart w:id="2" w:name="DocNumber"/>
      <w:r w:rsidRPr="00601465">
        <w:rPr>
          <w:i/>
        </w:rPr>
        <w:instrText>A10-0116/2025</w:instrText>
      </w:r>
      <w:bookmarkEnd w:id="2"/>
      <w:r w:rsidRPr="00601465">
        <w:rPr>
          <w:i/>
        </w:rPr>
        <w:instrText xml:space="preserve"> - Izvjestitelj: Victor Negrescu)"\l3 \n&gt; \* MERGEFORMAT </w:instrText>
      </w:r>
      <w:r w:rsidRPr="00601465">
        <w:rPr>
          <w:i/>
        </w:rPr>
        <w:fldChar w:fldCharType="end"/>
      </w:r>
    </w:p>
    <w:p w14:paraId="1C2A4E0B" w14:textId="77777777" w:rsidR="002A2569" w:rsidRPr="00601465" w:rsidRDefault="002A2569" w:rsidP="002A2569">
      <w:pPr>
        <w:rPr>
          <w:vanish/>
        </w:rPr>
      </w:pPr>
      <w:bookmarkStart w:id="3" w:name="Commission"/>
      <w:r w:rsidRPr="00601465">
        <w:rPr>
          <w:vanish/>
        </w:rPr>
        <w:t>Odbor za proračune</w:t>
      </w:r>
      <w:bookmarkEnd w:id="3"/>
    </w:p>
    <w:p w14:paraId="1E00CF8B" w14:textId="77777777" w:rsidR="002A2569" w:rsidRPr="00601465" w:rsidRDefault="002A2569" w:rsidP="002A2569">
      <w:pPr>
        <w:rPr>
          <w:vanish/>
        </w:rPr>
      </w:pPr>
      <w:bookmarkStart w:id="4" w:name="PE"/>
      <w:r w:rsidRPr="00601465">
        <w:rPr>
          <w:vanish/>
        </w:rPr>
        <w:t>PE773.098</w:t>
      </w:r>
      <w:bookmarkEnd w:id="4"/>
    </w:p>
    <w:p w14:paraId="2026CF48" w14:textId="59A75B8A" w:rsidR="002A2569" w:rsidRPr="00601465" w:rsidRDefault="002A2569" w:rsidP="002A2569">
      <w:pPr>
        <w:pStyle w:val="ATHeading3"/>
      </w:pPr>
      <w:bookmarkStart w:id="5" w:name="Sujet"/>
      <w:r w:rsidRPr="00601465">
        <w:t xml:space="preserve">Rezolucija Europskog parlamenta od </w:t>
      </w:r>
      <w:r w:rsidR="00601465">
        <w:t>9</w:t>
      </w:r>
      <w:r w:rsidRPr="00601465">
        <w:t xml:space="preserve">. </w:t>
      </w:r>
      <w:r w:rsidR="00601465">
        <w:t xml:space="preserve">srpnja </w:t>
      </w:r>
      <w:r w:rsidRPr="00601465">
        <w:t>2025. o stajalištu Vijeća o Nacrtu izmjene proračuna br. 1/2025 Europske unije za financijsku godinu 2025. – Unošenje viška iz financijske godine 2024.</w:t>
      </w:r>
      <w:bookmarkEnd w:id="5"/>
      <w:r w:rsidRPr="00601465">
        <w:t xml:space="preserve"> </w:t>
      </w:r>
      <w:bookmarkStart w:id="6" w:name="References"/>
      <w:r w:rsidRPr="00601465">
        <w:t>(09619/2025 – C10-0125/2025 – 2025/0091(BUD))</w:t>
      </w:r>
      <w:bookmarkEnd w:id="6"/>
    </w:p>
    <w:p w14:paraId="21D2A26D" w14:textId="77777777" w:rsidR="00360182" w:rsidRPr="00601465" w:rsidRDefault="00360182" w:rsidP="00360182">
      <w:pPr>
        <w:pStyle w:val="EPComma"/>
      </w:pPr>
      <w:bookmarkStart w:id="7" w:name="TextBodyBegin"/>
      <w:bookmarkEnd w:id="7"/>
      <w:r w:rsidRPr="00601465">
        <w:rPr>
          <w:i/>
        </w:rPr>
        <w:t>Europski parlament</w:t>
      </w:r>
      <w:r w:rsidRPr="00601465">
        <w:t>,</w:t>
      </w:r>
    </w:p>
    <w:p w14:paraId="28ADE6F9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članak 314. Ugovora o funkcioniranju Europske unije,</w:t>
      </w:r>
    </w:p>
    <w:p w14:paraId="32829ADA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članak 106.a Ugovora o osnivanju Europske zajednice za atomsku energiju,</w:t>
      </w:r>
    </w:p>
    <w:p w14:paraId="577B601B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Uredbu (EU, Euratom) 2024/2509 Europskog parlamenta i Vijeća od 23. rujna 2024. o financijskim pravilima koja se primjenjuju na opći proračun Unije</w:t>
      </w:r>
      <w:r w:rsidRPr="00601465">
        <w:rPr>
          <w:rStyle w:val="FootnoteReference"/>
        </w:rPr>
        <w:footnoteReference w:id="1"/>
      </w:r>
      <w:r w:rsidRPr="00601465">
        <w:t>, a posebno njezin članak 44.,</w:t>
      </w:r>
    </w:p>
    <w:p w14:paraId="3322CD84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opći proračun Europske unije za financijsku godinu 2025., konačno donesen 27. studenoga 2024.</w:t>
      </w:r>
      <w:r w:rsidRPr="00601465">
        <w:rPr>
          <w:rStyle w:val="FootnoteReference"/>
        </w:rPr>
        <w:footnoteReference w:id="2"/>
      </w:r>
      <w:r w:rsidRPr="00601465">
        <w:t>,</w:t>
      </w:r>
    </w:p>
    <w:p w14:paraId="59331565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Uredbu Vijeća (EU, Euratom) 2020/2093 od 17. prosinca 2020. kojom se utvrđuje višegodišnji financijski okvir za razdoblje 2021. – 2027.</w:t>
      </w:r>
      <w:r w:rsidRPr="00601465">
        <w:rPr>
          <w:rStyle w:val="FootnoteReference"/>
        </w:rPr>
        <w:footnoteReference w:id="3"/>
      </w:r>
      <w:r w:rsidRPr="00601465">
        <w:t>,</w:t>
      </w:r>
    </w:p>
    <w:p w14:paraId="17C8B8BB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 xml:space="preserve">uzimajući u obzir </w:t>
      </w:r>
      <w:proofErr w:type="spellStart"/>
      <w:r w:rsidRPr="00601465">
        <w:t>Međuinstitucijski</w:t>
      </w:r>
      <w:proofErr w:type="spellEnd"/>
      <w:r w:rsidRPr="00601465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601465">
        <w:rPr>
          <w:rStyle w:val="FootnoteReference"/>
        </w:rPr>
        <w:footnoteReference w:id="4"/>
      </w:r>
      <w:r w:rsidRPr="00601465">
        <w:t xml:space="preserve"> (</w:t>
      </w:r>
      <w:proofErr w:type="spellStart"/>
      <w:r w:rsidRPr="00601465">
        <w:t>Međuinstitucijski</w:t>
      </w:r>
      <w:proofErr w:type="spellEnd"/>
      <w:r w:rsidRPr="00601465">
        <w:t xml:space="preserve"> sporazum od 16. prosinca 2020.),</w:t>
      </w:r>
    </w:p>
    <w:p w14:paraId="0A63AD23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 xml:space="preserve">uzimajući u obzir Odluku Vijeća (EU, Euratom) 2020/2053 od 14. prosinca 2020. o </w:t>
      </w:r>
      <w:r w:rsidRPr="00601465">
        <w:lastRenderedPageBreak/>
        <w:t>sustavu vlastitih sredstava Europske unije te o stavljanju izvan snage Odluke 2014/335/EU, Euratom</w:t>
      </w:r>
      <w:r w:rsidRPr="00601465">
        <w:rPr>
          <w:rStyle w:val="FootnoteReference"/>
        </w:rPr>
        <w:footnoteReference w:id="5"/>
      </w:r>
      <w:r w:rsidRPr="00601465">
        <w:t>,</w:t>
      </w:r>
    </w:p>
    <w:p w14:paraId="2CF5CAF8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Nacrt izmjene proračuna br. 1/2025 koji je Komisija usvojila 9. travnja 2025. (COM(2025)0350),</w:t>
      </w:r>
    </w:p>
    <w:p w14:paraId="6C7848DC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stajalište o Nacrtu izmjene proračuna br. 1/2025 koje je Vijeće usvojilo 16. lipnja 2025. i proslijedilo Europskom parlamentu 18. lipnja 2025. (09619/2025 – C10-0125/2025),</w:t>
      </w:r>
    </w:p>
    <w:p w14:paraId="5D9005AC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članke 96. i 98. Poslovnika,</w:t>
      </w:r>
    </w:p>
    <w:p w14:paraId="79368B18" w14:textId="77777777" w:rsidR="00360182" w:rsidRPr="00601465" w:rsidRDefault="00360182" w:rsidP="00360182">
      <w:pPr>
        <w:pStyle w:val="NormalHanging12a"/>
      </w:pPr>
      <w:r w:rsidRPr="00601465">
        <w:t>–</w:t>
      </w:r>
      <w:r w:rsidRPr="00601465">
        <w:tab/>
        <w:t>uzimajući u obzir izvješće Odbora za proračune (A10</w:t>
      </w:r>
      <w:r w:rsidRPr="00601465">
        <w:noBreakHyphen/>
        <w:t>0116/2025),</w:t>
      </w:r>
    </w:p>
    <w:p w14:paraId="3C832256" w14:textId="5F1166FD" w:rsidR="00360182" w:rsidRPr="00601465" w:rsidRDefault="00360182" w:rsidP="00360182">
      <w:pPr>
        <w:pStyle w:val="NormalHanging12a"/>
      </w:pPr>
      <w:r w:rsidRPr="00601465">
        <w:t>A.</w:t>
      </w:r>
      <w:r w:rsidRPr="00601465">
        <w:tab/>
      </w:r>
      <w:r w:rsidRPr="00601465">
        <w:rPr>
          <w:color w:val="000000"/>
        </w:rPr>
        <w:t>budući da je svrha Nacrta izmjene proračuna br.</w:t>
      </w:r>
      <w:r w:rsidR="00805BE7" w:rsidRPr="00601465">
        <w:rPr>
          <w:color w:val="000000"/>
        </w:rPr>
        <w:t> </w:t>
      </w:r>
      <w:r w:rsidRPr="00601465">
        <w:rPr>
          <w:color w:val="000000"/>
        </w:rPr>
        <w:t>1/2025 unijeti u proračun za 2025. višak koji proizlazi iz izvršenja proračuna za financijsku godinu 2024., a koji iznosi 1 345 milijuna EUR;</w:t>
      </w:r>
    </w:p>
    <w:p w14:paraId="0DC91895" w14:textId="77777777" w:rsidR="00360182" w:rsidRPr="00601465" w:rsidRDefault="00360182" w:rsidP="00360182">
      <w:pPr>
        <w:pStyle w:val="NormalHanging12a"/>
      </w:pPr>
      <w:r w:rsidRPr="00601465">
        <w:t>B.</w:t>
      </w:r>
      <w:r w:rsidRPr="00601465">
        <w:tab/>
      </w:r>
      <w:r w:rsidRPr="00601465">
        <w:rPr>
          <w:color w:val="000000"/>
        </w:rPr>
        <w:t>budući da taj višak najvećim dijelom proizlazi iz ostvarenja viška prihoda u iznosu od 1 072 milijuna EUR te iz neutrošenih sredstava u iznosu od 272,5 milijuna EUR;</w:t>
      </w:r>
    </w:p>
    <w:p w14:paraId="76C0CFB6" w14:textId="77777777" w:rsidR="00360182" w:rsidRPr="00601465" w:rsidRDefault="00360182" w:rsidP="00360182">
      <w:pPr>
        <w:pStyle w:val="NormalHanging12a"/>
      </w:pPr>
      <w:r w:rsidRPr="00601465">
        <w:t>C.</w:t>
      </w:r>
      <w:r w:rsidRPr="00601465">
        <w:tab/>
      </w:r>
      <w:r w:rsidRPr="00601465">
        <w:rPr>
          <w:color w:val="000000"/>
        </w:rPr>
        <w:t>budući da, na prihodovnoj strani, taj višak uglavnom proizlazi iz iznosa od 1 211 milijuna EUR financijskih prihoda, zateznih kamata i novčanih kazni; budući da je realizacija vlastitih sredstava u glavi 1. i dalje vrlo blizu proračunskim iznosima iz proračuna za 2024. (uključujući izmjene proračuna od 1. do 5.);</w:t>
      </w:r>
    </w:p>
    <w:p w14:paraId="5DED732D" w14:textId="77777777" w:rsidR="00360182" w:rsidRPr="00601465" w:rsidRDefault="00360182" w:rsidP="00360182">
      <w:pPr>
        <w:pStyle w:val="NormalHanging12a"/>
      </w:pPr>
      <w:r w:rsidRPr="00601465">
        <w:t>D.</w:t>
      </w:r>
      <w:r w:rsidRPr="00601465">
        <w:tab/>
      </w:r>
      <w:r w:rsidRPr="00601465">
        <w:rPr>
          <w:color w:val="000000"/>
        </w:rPr>
        <w:t>budući da je na rashodovnoj strani nedovoljno izvršavanje plaćanja u svim institucijama, uključujući ukidanje prenesenih odobrenih sredstava, iznosilo ukupno 273 milijuna EUR (što čini 0,02 % odobrenih sredstava za plaćanje);</w:t>
      </w:r>
    </w:p>
    <w:p w14:paraId="79685B23" w14:textId="39A8D44C" w:rsidR="00360182" w:rsidRPr="00601465" w:rsidRDefault="00360182" w:rsidP="00360182">
      <w:pPr>
        <w:pStyle w:val="NormalHanging12a"/>
        <w:ind w:hanging="570"/>
      </w:pPr>
      <w:r w:rsidRPr="00601465">
        <w:t>1.</w:t>
      </w:r>
      <w:r w:rsidRPr="00601465">
        <w:tab/>
      </w:r>
      <w:r w:rsidRPr="00601465">
        <w:rPr>
          <w:color w:val="000000"/>
        </w:rPr>
        <w:t>prima na znanje Nacrt izmjene proračuna br.</w:t>
      </w:r>
      <w:r w:rsidR="00805BE7" w:rsidRPr="00601465">
        <w:rPr>
          <w:color w:val="000000"/>
        </w:rPr>
        <w:t> </w:t>
      </w:r>
      <w:r w:rsidRPr="00601465">
        <w:rPr>
          <w:color w:val="000000"/>
        </w:rPr>
        <w:t>1/2025 koji je podnijela Komisija i čija je svrha unošenje viška iz 2024. u iznosu od 1 345 milijuna EUR u proračun, u skladu s člankom 18. stavkom 3. Financijske uredbe;</w:t>
      </w:r>
      <w:sdt>
        <w:sdtPr>
          <w:tag w:val="goog_rdk_0"/>
          <w:id w:val="1937094721"/>
        </w:sdtPr>
        <w:sdtEndPr/>
        <w:sdtContent/>
      </w:sdt>
    </w:p>
    <w:p w14:paraId="337D4D18" w14:textId="77777777" w:rsidR="00360182" w:rsidRPr="00601465" w:rsidRDefault="00360182" w:rsidP="00360182">
      <w:pPr>
        <w:pStyle w:val="NormalHanging12a"/>
        <w:ind w:hanging="570"/>
      </w:pPr>
      <w:r w:rsidRPr="00601465">
        <w:t>2.</w:t>
      </w:r>
      <w:r w:rsidRPr="00601465">
        <w:tab/>
      </w:r>
      <w:r w:rsidRPr="00601465">
        <w:rPr>
          <w:color w:val="000000"/>
        </w:rPr>
        <w:t xml:space="preserve">pozdravlja činjenicu da je višak iz 2024. prvenstveno potaknut povećanjem razlika u glavi 4. (Financijski prihodi, zatezne kamate i novčane kazne), dok je višak rashoda i dalje vrlo skroman i iznosi 273 milijuna EUR; </w:t>
      </w:r>
    </w:p>
    <w:p w14:paraId="69036377" w14:textId="77777777" w:rsidR="00360182" w:rsidRPr="00601465" w:rsidRDefault="00360182" w:rsidP="00360182">
      <w:pPr>
        <w:spacing w:after="240"/>
        <w:ind w:left="567" w:hanging="567"/>
        <w:rPr>
          <w:color w:val="000000"/>
        </w:rPr>
      </w:pPr>
      <w:r w:rsidRPr="00601465">
        <w:rPr>
          <w:color w:val="000000"/>
        </w:rPr>
        <w:t>3.</w:t>
      </w:r>
      <w:r w:rsidRPr="00601465">
        <w:rPr>
          <w:color w:val="000000"/>
        </w:rPr>
        <w:tab/>
        <w:t xml:space="preserve">izražava žaljenje zbog toga što se unosom viška u proračun ukupni doprinos država članica u vidu vlastitih sredstava na temelju BND-a za financiranje proračuna za 2025. smanjuje za razmjeran iznos; naglašava da bi u vrijeme kada su potrebe za financiranjem i dalje velike, posebno za „prekomjerne” troškove EURI-ja, a manevarski prostor unutar proračuna Unije i dalje iznimno ograničen, proračun trebao zadržati dovoljnu razinu fleksibilnosti kako bi se Uniji omogućilo da se nosi s nepredviđenim događajima i novim prioritetima; ističe da je fleksibilnost proračuna Unije jedno od ključnih pitanja koje treba riješiti u pregovorima o višegodišnjem financijskom okviru za razdoblje nakon 2027.; </w:t>
      </w:r>
    </w:p>
    <w:p w14:paraId="420BAC97" w14:textId="57DC2F54" w:rsidR="00360182" w:rsidRPr="00601465" w:rsidRDefault="00360182" w:rsidP="00360182">
      <w:pPr>
        <w:spacing w:after="240"/>
        <w:ind w:left="567" w:hanging="567"/>
        <w:rPr>
          <w:color w:val="000000"/>
        </w:rPr>
      </w:pPr>
      <w:r w:rsidRPr="00601465">
        <w:rPr>
          <w:color w:val="000000"/>
        </w:rPr>
        <w:t>4.</w:t>
      </w:r>
      <w:r w:rsidRPr="00601465">
        <w:rPr>
          <w:color w:val="000000"/>
        </w:rPr>
        <w:tab/>
      </w:r>
      <w:r w:rsidRPr="00601465">
        <w:t xml:space="preserve">također poziva Komisiju da osmisli pouzdanu i trajnu strukturu za sljedeći višegodišnji financijski okvir kojom se omogućuje održivo upravljanje svim </w:t>
      </w:r>
      <w:proofErr w:type="spellStart"/>
      <w:r w:rsidRPr="00601465">
        <w:t>nediskrecijskim</w:t>
      </w:r>
      <w:proofErr w:type="spellEnd"/>
      <w:r w:rsidRPr="00601465">
        <w:t xml:space="preserve"> </w:t>
      </w:r>
      <w:r w:rsidRPr="00601465">
        <w:lastRenderedPageBreak/>
        <w:t xml:space="preserve">troškovima i obvezama, uz potpuno očuvanje programa Unije te fleksibilnosti i kapaciteta proračuna za odgovor, posebno na prirodne katastrofe i zdravstvene krize, u cilju potpune provedbe </w:t>
      </w:r>
      <w:proofErr w:type="spellStart"/>
      <w:r w:rsidR="00D47C69">
        <w:t>Unijine</w:t>
      </w:r>
      <w:proofErr w:type="spellEnd"/>
      <w:r w:rsidR="00D47C69">
        <w:t xml:space="preserve"> </w:t>
      </w:r>
      <w:r w:rsidRPr="00601465">
        <w:t>Strategije za pripravnost;</w:t>
      </w:r>
      <w:r w:rsidRPr="00601465">
        <w:rPr>
          <w:color w:val="000000"/>
        </w:rPr>
        <w:t xml:space="preserve"> </w:t>
      </w:r>
    </w:p>
    <w:p w14:paraId="54E8E6F5" w14:textId="77777777" w:rsidR="00360182" w:rsidRPr="00601465" w:rsidRDefault="00360182" w:rsidP="00360182">
      <w:pPr>
        <w:pStyle w:val="NormalHanging12a"/>
      </w:pPr>
      <w:r w:rsidRPr="00601465">
        <w:t>5.</w:t>
      </w:r>
      <w:r w:rsidRPr="00601465">
        <w:tab/>
      </w:r>
      <w:r w:rsidRPr="00601465">
        <w:rPr>
          <w:color w:val="000000"/>
        </w:rPr>
        <w:t>podsjeća na svoje dugogodišnje stajalište da bi se neočekivani prihodi koji proizlaze iz novčanih kazni i naknada ili njima jednakovrijedni iznosi trebali koristiti kao dodatni prihod za proračun Unije za potrebe reagiranja na krizu ili neočekivane potrebe i da ne bi trebali biti razlog da se za odgovarajući iznos smanje doprinosi na temelju BND-a;</w:t>
      </w:r>
    </w:p>
    <w:p w14:paraId="05F13780" w14:textId="3510933E" w:rsidR="00360182" w:rsidRPr="00601465" w:rsidRDefault="00360182" w:rsidP="00360182">
      <w:pPr>
        <w:pStyle w:val="NormalHanging12a"/>
        <w:ind w:hanging="570"/>
      </w:pPr>
      <w:r w:rsidRPr="00601465">
        <w:t>6.</w:t>
      </w:r>
      <w:r w:rsidRPr="00601465">
        <w:tab/>
        <w:t xml:space="preserve">prima na znanje negativnu stavku prihoda u skladu s novim člankom 425. u iznosu od 534 milijuna EUR i pozdravlja taj način uključivanja troškova za proračun koji proizlaze iz plaćanja izvršenih na temelju sporazuma o nagodbi koji uključuje kompenzacijske kamate i naknadu zateznih kamata povezane s povratom poništenih ili smanjenih novčanih kazni zbog kršenja pravila tržišnog natjecanja u skladu s relevantnim presudama Suda Europske unije; podsjeća da je Parlament tijekom pregovora o preinaci Financijske uredbe ustrajao u primjeni tog pristupa jer bi alternativno rješenje bila dodatna odobrena sredstva za rashode u već preopterećenom naslovu 7.; podsjeća da to rješenje istječe 31. prosinca 2027.; poziva Komisiju da predloži konačno rješenje za sljedeći </w:t>
      </w:r>
      <w:r w:rsidR="00805BE7">
        <w:t>višegodišnji financijski okvir</w:t>
      </w:r>
      <w:r w:rsidRPr="00601465">
        <w:t xml:space="preserve"> kojim bi se postigao isti cilj izbjegavanja svakog učinka na rashodovnu stranu proračuna;</w:t>
      </w:r>
    </w:p>
    <w:p w14:paraId="11EACB98" w14:textId="77777777" w:rsidR="00360182" w:rsidRPr="00601465" w:rsidRDefault="00360182" w:rsidP="00360182">
      <w:pPr>
        <w:pStyle w:val="NormalHanging12a"/>
        <w:ind w:hanging="570"/>
        <w:rPr>
          <w:color w:val="000000"/>
        </w:rPr>
      </w:pPr>
      <w:r w:rsidRPr="00601465">
        <w:t>7.</w:t>
      </w:r>
      <w:r w:rsidRPr="00601465">
        <w:tab/>
      </w:r>
      <w:r w:rsidRPr="00601465">
        <w:rPr>
          <w:color w:val="000000"/>
        </w:rPr>
        <w:t xml:space="preserve">naglašava potrebu za održivim prihodima za proračun Unije; </w:t>
      </w:r>
      <w:r w:rsidRPr="00601465">
        <w:t xml:space="preserve">stoga izražava snažno neodobravanje zbog izostanka napretka u Vijeću u pogledu reforme sustava vlastitih sredstava u skladu s duhom pravno obvezujućeg plana iz </w:t>
      </w:r>
      <w:proofErr w:type="spellStart"/>
      <w:r w:rsidRPr="00601465">
        <w:t>Međuinstitucijskog</w:t>
      </w:r>
      <w:proofErr w:type="spellEnd"/>
      <w:r w:rsidRPr="00601465">
        <w:t xml:space="preserve"> sporazuma od 16. prosinca 2020.;</w:t>
      </w:r>
      <w:r w:rsidRPr="00601465">
        <w:rPr>
          <w:color w:val="1E1E1F"/>
        </w:rPr>
        <w:t xml:space="preserve"> </w:t>
      </w:r>
      <w:r w:rsidRPr="00601465">
        <w:t>podsjeća na svoje stajalište kojim podupire izmijenjene prijedloge Komisije te potiče Vijeće da hitno usvoji spomenute prijedloge kako bi se diversificirala i konsolidirala vlastita sredstva dostupna za proračun Unije;</w:t>
      </w:r>
    </w:p>
    <w:p w14:paraId="7791527E" w14:textId="09524F5E" w:rsidR="00360182" w:rsidRPr="00601465" w:rsidRDefault="00360182" w:rsidP="00360182">
      <w:pPr>
        <w:pStyle w:val="NormalHanging12a"/>
        <w:ind w:hanging="570"/>
        <w:rPr>
          <w:color w:val="000000"/>
        </w:rPr>
      </w:pPr>
      <w:r w:rsidRPr="00601465">
        <w:t>8.</w:t>
      </w:r>
      <w:r w:rsidRPr="00601465">
        <w:tab/>
        <w:t xml:space="preserve">nadalje, poziva Komisiju da nastavi ulagati napore u utvrđivanje dodatnih inovativnih i istinski novih vlastitih sredstava i drugih izvora prihoda osim onih navedenih u Međuinstitucijskom sporazumu od 16. prosinca 2020.; naglašava da su nova vlastita sredstva ključna ne samo kako bi se omogućila otplata zaduživanja u okviru instrumenta </w:t>
      </w:r>
      <w:proofErr w:type="spellStart"/>
      <w:r w:rsidRPr="0035742C">
        <w:t>NextGenerationEU</w:t>
      </w:r>
      <w:proofErr w:type="spellEnd"/>
      <w:r w:rsidRPr="00601465">
        <w:t xml:space="preserve"> već i kako bi se osiguralo da je Unija opremljena za pokrivanje svojih većih potreba za potrošnjom, naročito u kontekstu višestrukih izazova s kojima se </w:t>
      </w:r>
      <w:r w:rsidR="00D47C69">
        <w:t>Unija</w:t>
      </w:r>
      <w:r w:rsidR="00D47C69" w:rsidRPr="00601465">
        <w:t xml:space="preserve"> </w:t>
      </w:r>
      <w:r w:rsidRPr="00601465">
        <w:t>trenutačno suočava, uključujući novi geopolitički kontekst; smatra da sve nove politike i izazovi Unije moraju uključivati nova financijska sredstva i dodatne nove resurse;</w:t>
      </w:r>
    </w:p>
    <w:p w14:paraId="1D16A888" w14:textId="35BB8338" w:rsidR="00360182" w:rsidRPr="00601465" w:rsidRDefault="00360182" w:rsidP="00360182">
      <w:pPr>
        <w:pStyle w:val="NormalHanging12a"/>
        <w:ind w:hanging="570"/>
      </w:pPr>
      <w:r w:rsidRPr="00601465">
        <w:t>9.</w:t>
      </w:r>
      <w:r w:rsidRPr="00601465">
        <w:tab/>
        <w:t>prihvaća stajalište Vijeća o Nacrtu izmjene proračuna br.</w:t>
      </w:r>
      <w:r w:rsidR="00805BE7" w:rsidRPr="00601465">
        <w:t> </w:t>
      </w:r>
      <w:r w:rsidRPr="00601465">
        <w:t>1/2025;</w:t>
      </w:r>
    </w:p>
    <w:p w14:paraId="094C2D85" w14:textId="77777777" w:rsidR="00360182" w:rsidRPr="00601465" w:rsidRDefault="00360182" w:rsidP="00360182">
      <w:pPr>
        <w:pStyle w:val="NormalHanging12a"/>
        <w:ind w:hanging="570"/>
      </w:pPr>
      <w:r w:rsidRPr="00601465">
        <w:t>10.</w:t>
      </w:r>
      <w:r w:rsidRPr="00601465">
        <w:tab/>
        <w:t xml:space="preserve">nalaže svojoj predsjednici da proglasi izmjenu proračuna br. 1/2025 konačno donesenom i da je da na objavu u </w:t>
      </w:r>
      <w:r w:rsidRPr="00601465">
        <w:rPr>
          <w:i/>
        </w:rPr>
        <w:t>Službenom listu Europske unije</w:t>
      </w:r>
      <w:r w:rsidRPr="00601465">
        <w:t>;</w:t>
      </w:r>
    </w:p>
    <w:p w14:paraId="7E055169" w14:textId="4B11A0A1" w:rsidR="00E365E1" w:rsidRPr="00601465" w:rsidRDefault="00360182" w:rsidP="00601465">
      <w:pPr>
        <w:ind w:left="567" w:hanging="567"/>
      </w:pPr>
      <w:r w:rsidRPr="00601465">
        <w:t>11.</w:t>
      </w:r>
      <w:r w:rsidRPr="00601465">
        <w:tab/>
        <w:t>nalaže svojoj predsjednici da ovu Rezoluciju proslijedi Vijeću, Komisiji, drugim relevantnim institucijama i tijelima te nacionalnim parlamentima.</w:t>
      </w:r>
    </w:p>
    <w:sectPr w:rsidR="00E365E1" w:rsidRPr="00601465" w:rsidSect="009901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FD441" w14:textId="77777777" w:rsidR="002A2569" w:rsidRPr="009901EA" w:rsidRDefault="002A2569">
      <w:r w:rsidRPr="009901EA">
        <w:separator/>
      </w:r>
    </w:p>
  </w:endnote>
  <w:endnote w:type="continuationSeparator" w:id="0">
    <w:p w14:paraId="3676C101" w14:textId="77777777" w:rsidR="002A2569" w:rsidRPr="009901EA" w:rsidRDefault="002A2569">
      <w:r w:rsidRPr="009901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2ED9" w14:textId="77777777" w:rsidR="00064002" w:rsidRPr="009901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0AB7" w14:textId="77777777" w:rsidR="00064002" w:rsidRPr="009901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51ED" w14:textId="77777777" w:rsidR="00064002" w:rsidRPr="009901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5483C" w14:textId="77777777" w:rsidR="002A2569" w:rsidRPr="009901EA" w:rsidRDefault="002A2569">
      <w:r w:rsidRPr="009901EA">
        <w:separator/>
      </w:r>
    </w:p>
  </w:footnote>
  <w:footnote w:type="continuationSeparator" w:id="0">
    <w:p w14:paraId="4C048BE7" w14:textId="77777777" w:rsidR="002A2569" w:rsidRPr="009901EA" w:rsidRDefault="002A2569">
      <w:r w:rsidRPr="009901EA">
        <w:continuationSeparator/>
      </w:r>
    </w:p>
  </w:footnote>
  <w:footnote w:id="1">
    <w:p w14:paraId="6B97E80B" w14:textId="68AF3E52" w:rsidR="00360182" w:rsidRPr="009901EA" w:rsidRDefault="00360182" w:rsidP="009901EA">
      <w:pPr>
        <w:pStyle w:val="FootnoteText"/>
        <w:ind w:left="567" w:hanging="567"/>
        <w:rPr>
          <w:sz w:val="24"/>
          <w:lang w:val="hr-HR"/>
        </w:rPr>
      </w:pPr>
      <w:r w:rsidRPr="009901EA">
        <w:rPr>
          <w:rStyle w:val="FootnoteReference"/>
          <w:sz w:val="24"/>
          <w:lang w:val="hr-HR"/>
        </w:rPr>
        <w:footnoteRef/>
      </w:r>
      <w:r w:rsidR="009901EA" w:rsidRPr="009901EA">
        <w:rPr>
          <w:sz w:val="24"/>
          <w:lang w:val="hr-HR"/>
        </w:rPr>
        <w:t xml:space="preserve"> </w:t>
      </w:r>
      <w:r w:rsidR="009901EA" w:rsidRPr="009901EA">
        <w:rPr>
          <w:sz w:val="24"/>
          <w:lang w:val="hr-HR"/>
        </w:rPr>
        <w:tab/>
      </w:r>
      <w:r w:rsidRPr="009901EA">
        <w:rPr>
          <w:sz w:val="24"/>
          <w:lang w:val="hr-HR"/>
        </w:rPr>
        <w:t xml:space="preserve">SL L, 2024/2509, 26.9.2024., ELI: </w:t>
      </w:r>
      <w:hyperlink r:id="rId1" w:history="1">
        <w:r w:rsidRPr="009901EA">
          <w:rPr>
            <w:rStyle w:val="Hyperlink"/>
            <w:sz w:val="24"/>
            <w:lang w:val="hr-HR"/>
          </w:rPr>
          <w:t>http://data.europa.eu/eli/reg/2024/2509/oj</w:t>
        </w:r>
      </w:hyperlink>
      <w:r w:rsidRPr="009901EA">
        <w:rPr>
          <w:sz w:val="24"/>
          <w:lang w:val="hr-HR"/>
        </w:rPr>
        <w:t>.</w:t>
      </w:r>
    </w:p>
  </w:footnote>
  <w:footnote w:id="2">
    <w:p w14:paraId="3DADE907" w14:textId="07BE7EA6" w:rsidR="00360182" w:rsidRPr="009901EA" w:rsidRDefault="00360182" w:rsidP="009901EA">
      <w:pPr>
        <w:pStyle w:val="FootnoteText"/>
        <w:ind w:left="567" w:hanging="567"/>
        <w:rPr>
          <w:sz w:val="24"/>
          <w:lang w:val="hr-HR"/>
        </w:rPr>
      </w:pPr>
      <w:r w:rsidRPr="009901EA">
        <w:rPr>
          <w:rStyle w:val="FootnoteReference"/>
          <w:sz w:val="24"/>
          <w:lang w:val="hr-HR"/>
        </w:rPr>
        <w:footnoteRef/>
      </w:r>
      <w:r w:rsidR="009901EA" w:rsidRPr="009901EA">
        <w:rPr>
          <w:sz w:val="24"/>
          <w:lang w:val="hr-HR"/>
        </w:rPr>
        <w:t xml:space="preserve"> </w:t>
      </w:r>
      <w:r w:rsidR="009901EA" w:rsidRPr="009901EA">
        <w:rPr>
          <w:sz w:val="24"/>
          <w:lang w:val="hr-HR"/>
        </w:rPr>
        <w:tab/>
      </w:r>
      <w:r w:rsidRPr="009901EA">
        <w:rPr>
          <w:sz w:val="24"/>
          <w:lang w:val="hr-HR"/>
        </w:rPr>
        <w:t xml:space="preserve">SL L, 2025/31, 27.2.2025., ELI: </w:t>
      </w:r>
      <w:hyperlink r:id="rId2" w:history="1">
        <w:r w:rsidRPr="009901EA">
          <w:rPr>
            <w:rStyle w:val="Hyperlink"/>
            <w:sz w:val="24"/>
            <w:lang w:val="hr-HR"/>
          </w:rPr>
          <w:t>http://data.europa.eu/eli/budget/2025/31/oj</w:t>
        </w:r>
      </w:hyperlink>
      <w:r w:rsidRPr="009901EA">
        <w:rPr>
          <w:sz w:val="24"/>
          <w:lang w:val="hr-HR"/>
        </w:rPr>
        <w:t>.</w:t>
      </w:r>
    </w:p>
  </w:footnote>
  <w:footnote w:id="3">
    <w:p w14:paraId="53D19546" w14:textId="457C3C5B" w:rsidR="00360182" w:rsidRPr="009901EA" w:rsidRDefault="00360182" w:rsidP="009901EA">
      <w:pPr>
        <w:pStyle w:val="FootnoteText"/>
        <w:ind w:left="567" w:hanging="567"/>
        <w:rPr>
          <w:sz w:val="24"/>
          <w:lang w:val="hr-HR"/>
        </w:rPr>
      </w:pPr>
      <w:r w:rsidRPr="009901EA">
        <w:rPr>
          <w:rStyle w:val="FootnoteReference"/>
          <w:sz w:val="24"/>
          <w:lang w:val="hr-HR"/>
        </w:rPr>
        <w:footnoteRef/>
      </w:r>
      <w:r w:rsidR="009901EA" w:rsidRPr="009901EA">
        <w:rPr>
          <w:sz w:val="24"/>
          <w:lang w:val="hr-HR"/>
        </w:rPr>
        <w:t xml:space="preserve"> </w:t>
      </w:r>
      <w:r w:rsidR="009901EA" w:rsidRPr="009901EA">
        <w:rPr>
          <w:sz w:val="24"/>
          <w:lang w:val="hr-HR"/>
        </w:rPr>
        <w:tab/>
      </w:r>
      <w:r w:rsidRPr="009901EA">
        <w:rPr>
          <w:sz w:val="24"/>
          <w:lang w:val="hr-HR"/>
        </w:rPr>
        <w:t xml:space="preserve">SL L 433 I, 22.12.2020., str. </w:t>
      </w:r>
      <w:r w:rsidRPr="009901EA">
        <w:rPr>
          <w:sz w:val="24"/>
          <w:lang w:val="hr-HR"/>
        </w:rPr>
        <w:t xml:space="preserve">11., ELI: </w:t>
      </w:r>
      <w:hyperlink r:id="rId3" w:history="1">
        <w:r w:rsidRPr="009901EA">
          <w:rPr>
            <w:rStyle w:val="Hyperlink"/>
            <w:sz w:val="24"/>
            <w:lang w:val="hr-HR"/>
          </w:rPr>
          <w:t>http://data.europa.eu/eli/reg/2020/2093/oj</w:t>
        </w:r>
      </w:hyperlink>
      <w:r w:rsidRPr="009901EA">
        <w:rPr>
          <w:sz w:val="24"/>
          <w:lang w:val="hr-HR"/>
        </w:rPr>
        <w:t>.</w:t>
      </w:r>
    </w:p>
  </w:footnote>
  <w:footnote w:id="4">
    <w:p w14:paraId="2A586F34" w14:textId="6A47712B" w:rsidR="00360182" w:rsidRPr="009901EA" w:rsidRDefault="00360182" w:rsidP="009901EA">
      <w:pPr>
        <w:pStyle w:val="FootnoteText"/>
        <w:ind w:left="567" w:hanging="567"/>
        <w:rPr>
          <w:sz w:val="24"/>
          <w:lang w:val="hr-HR"/>
        </w:rPr>
      </w:pPr>
      <w:r w:rsidRPr="009901EA">
        <w:rPr>
          <w:rStyle w:val="FootnoteReference"/>
          <w:sz w:val="24"/>
          <w:lang w:val="hr-HR"/>
        </w:rPr>
        <w:footnoteRef/>
      </w:r>
      <w:r w:rsidR="009901EA" w:rsidRPr="009901EA">
        <w:rPr>
          <w:sz w:val="24"/>
          <w:lang w:val="hr-HR"/>
        </w:rPr>
        <w:t xml:space="preserve"> </w:t>
      </w:r>
      <w:r w:rsidR="009901EA" w:rsidRPr="009901EA">
        <w:rPr>
          <w:sz w:val="24"/>
          <w:lang w:val="hr-HR"/>
        </w:rPr>
        <w:tab/>
      </w:r>
      <w:r w:rsidRPr="009901EA">
        <w:rPr>
          <w:sz w:val="24"/>
          <w:lang w:val="hr-HR"/>
        </w:rPr>
        <w:t xml:space="preserve">SL L 433 I, 22.12.2020., str. </w:t>
      </w:r>
      <w:r w:rsidRPr="009901EA">
        <w:rPr>
          <w:sz w:val="24"/>
          <w:lang w:val="hr-HR"/>
        </w:rPr>
        <w:t xml:space="preserve">28., ELI: </w:t>
      </w:r>
      <w:hyperlink r:id="rId4" w:history="1">
        <w:r w:rsidRPr="009901EA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9901EA">
        <w:rPr>
          <w:sz w:val="24"/>
          <w:lang w:val="hr-HR"/>
        </w:rPr>
        <w:t>.</w:t>
      </w:r>
    </w:p>
  </w:footnote>
  <w:footnote w:id="5">
    <w:p w14:paraId="1DAEF064" w14:textId="50C6F602" w:rsidR="00360182" w:rsidRPr="009901EA" w:rsidRDefault="00360182" w:rsidP="009901EA">
      <w:pPr>
        <w:pStyle w:val="FootnoteText"/>
        <w:ind w:left="567" w:hanging="567"/>
        <w:rPr>
          <w:sz w:val="24"/>
          <w:lang w:val="hr-HR"/>
        </w:rPr>
      </w:pPr>
      <w:r w:rsidRPr="009901EA">
        <w:rPr>
          <w:rStyle w:val="FootnoteReference"/>
          <w:sz w:val="24"/>
          <w:lang w:val="hr-HR"/>
        </w:rPr>
        <w:footnoteRef/>
      </w:r>
      <w:r w:rsidR="009901EA" w:rsidRPr="009901EA">
        <w:rPr>
          <w:sz w:val="24"/>
          <w:lang w:val="hr-HR"/>
        </w:rPr>
        <w:t xml:space="preserve"> </w:t>
      </w:r>
      <w:r w:rsidR="009901EA" w:rsidRPr="009901EA">
        <w:rPr>
          <w:sz w:val="24"/>
          <w:lang w:val="hr-HR"/>
        </w:rPr>
        <w:tab/>
      </w:r>
      <w:r w:rsidRPr="009901EA">
        <w:rPr>
          <w:sz w:val="24"/>
          <w:lang w:val="hr-HR"/>
        </w:rPr>
        <w:t xml:space="preserve">SL L 424, 15.12.2020., str. </w:t>
      </w:r>
      <w:r w:rsidRPr="009901EA">
        <w:rPr>
          <w:sz w:val="24"/>
          <w:lang w:val="hr-HR"/>
        </w:rPr>
        <w:t xml:space="preserve">1., ELI: </w:t>
      </w:r>
      <w:hyperlink r:id="rId5" w:history="1">
        <w:r w:rsidRPr="009901EA">
          <w:rPr>
            <w:rStyle w:val="Hyperlink"/>
            <w:sz w:val="24"/>
            <w:lang w:val="hr-HR"/>
          </w:rPr>
          <w:t>http://data.europa.eu/eli/dec/2020/2053/oj</w:t>
        </w:r>
      </w:hyperlink>
      <w:r w:rsidRPr="009901E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147B4" w14:textId="77777777" w:rsidR="00064002" w:rsidRPr="009901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B817" w14:textId="77777777" w:rsidR="00064002" w:rsidRPr="009901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39F8" w14:textId="77777777" w:rsidR="00064002" w:rsidRPr="009901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2765101">
    <w:abstractNumId w:val="9"/>
  </w:num>
  <w:num w:numId="2" w16cid:durableId="2074963248">
    <w:abstractNumId w:val="9"/>
  </w:num>
  <w:num w:numId="3" w16cid:durableId="1867402539">
    <w:abstractNumId w:val="7"/>
  </w:num>
  <w:num w:numId="4" w16cid:durableId="1936286001">
    <w:abstractNumId w:val="7"/>
  </w:num>
  <w:num w:numId="5" w16cid:durableId="840197005">
    <w:abstractNumId w:val="6"/>
  </w:num>
  <w:num w:numId="6" w16cid:durableId="1654066176">
    <w:abstractNumId w:val="6"/>
  </w:num>
  <w:num w:numId="7" w16cid:durableId="1837376325">
    <w:abstractNumId w:val="5"/>
  </w:num>
  <w:num w:numId="8" w16cid:durableId="1565607844">
    <w:abstractNumId w:val="5"/>
  </w:num>
  <w:num w:numId="9" w16cid:durableId="1477838919">
    <w:abstractNumId w:val="4"/>
  </w:num>
  <w:num w:numId="10" w16cid:durableId="1991783585">
    <w:abstractNumId w:val="4"/>
  </w:num>
  <w:num w:numId="11" w16cid:durableId="1703896290">
    <w:abstractNumId w:val="8"/>
  </w:num>
  <w:num w:numId="12" w16cid:durableId="1999184645">
    <w:abstractNumId w:val="8"/>
  </w:num>
  <w:num w:numId="13" w16cid:durableId="685643760">
    <w:abstractNumId w:val="3"/>
  </w:num>
  <w:num w:numId="14" w16cid:durableId="1751927293">
    <w:abstractNumId w:val="3"/>
  </w:num>
  <w:num w:numId="15" w16cid:durableId="1837961677">
    <w:abstractNumId w:val="2"/>
  </w:num>
  <w:num w:numId="16" w16cid:durableId="1242639270">
    <w:abstractNumId w:val="2"/>
  </w:num>
  <w:num w:numId="17" w16cid:durableId="194580529">
    <w:abstractNumId w:val="1"/>
  </w:num>
  <w:num w:numId="18" w16cid:durableId="42877139">
    <w:abstractNumId w:val="1"/>
  </w:num>
  <w:num w:numId="19" w16cid:durableId="2084332359">
    <w:abstractNumId w:val="0"/>
  </w:num>
  <w:num w:numId="20" w16cid:durableId="1885678064">
    <w:abstractNumId w:val="0"/>
  </w:num>
  <w:num w:numId="21" w16cid:durableId="1066759272">
    <w:abstractNumId w:val="9"/>
  </w:num>
  <w:num w:numId="22" w16cid:durableId="1324704733">
    <w:abstractNumId w:val="7"/>
  </w:num>
  <w:num w:numId="23" w16cid:durableId="1133405269">
    <w:abstractNumId w:val="6"/>
  </w:num>
  <w:num w:numId="24" w16cid:durableId="1309821932">
    <w:abstractNumId w:val="5"/>
  </w:num>
  <w:num w:numId="25" w16cid:durableId="1128354963">
    <w:abstractNumId w:val="4"/>
  </w:num>
  <w:num w:numId="26" w16cid:durableId="2017883277">
    <w:abstractNumId w:val="8"/>
  </w:num>
  <w:num w:numId="27" w16cid:durableId="388572052">
    <w:abstractNumId w:val="3"/>
  </w:num>
  <w:num w:numId="28" w16cid:durableId="989865128">
    <w:abstractNumId w:val="2"/>
  </w:num>
  <w:num w:numId="29" w16cid:durableId="1108231008">
    <w:abstractNumId w:val="1"/>
  </w:num>
  <w:num w:numId="30" w16cid:durableId="1714958700">
    <w:abstractNumId w:val="0"/>
  </w:num>
  <w:num w:numId="31" w16cid:durableId="1372803628">
    <w:abstractNumId w:val="9"/>
  </w:num>
  <w:num w:numId="32" w16cid:durableId="1452164005">
    <w:abstractNumId w:val="7"/>
  </w:num>
  <w:num w:numId="33" w16cid:durableId="722751889">
    <w:abstractNumId w:val="6"/>
  </w:num>
  <w:num w:numId="34" w16cid:durableId="1333945103">
    <w:abstractNumId w:val="5"/>
  </w:num>
  <w:num w:numId="35" w16cid:durableId="630788966">
    <w:abstractNumId w:val="4"/>
  </w:num>
  <w:num w:numId="36" w16cid:durableId="1417244777">
    <w:abstractNumId w:val="8"/>
  </w:num>
  <w:num w:numId="37" w16cid:durableId="734662385">
    <w:abstractNumId w:val="3"/>
  </w:num>
  <w:num w:numId="38" w16cid:durableId="1539514809">
    <w:abstractNumId w:val="2"/>
  </w:num>
  <w:num w:numId="39" w16cid:durableId="1777747859">
    <w:abstractNumId w:val="1"/>
  </w:num>
  <w:num w:numId="40" w16cid:durableId="1364208767">
    <w:abstractNumId w:val="0"/>
  </w:num>
  <w:num w:numId="41" w16cid:durableId="705713029">
    <w:abstractNumId w:val="10"/>
  </w:num>
  <w:num w:numId="42" w16cid:durableId="129903722">
    <w:abstractNumId w:val="10"/>
  </w:num>
  <w:num w:numId="43" w16cid:durableId="1241721639">
    <w:abstractNumId w:val="10"/>
  </w:num>
  <w:num w:numId="44" w16cid:durableId="509878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6/2025"/>
    <w:docVar w:name="dvlangue" w:val="HR"/>
    <w:docVar w:name="dvnumam" w:val="0"/>
    <w:docVar w:name="dvpe" w:val="773.098"/>
    <w:docVar w:name="dvrapporteur" w:val="Izvjestitelj: "/>
    <w:docVar w:name="dvtitre" w:val="Rezolucija Europskog parlamenta od .... 2025. o stajalištu Vijeća o Nacrtu izmjene proračuna br. 1/2025 Europske unije za financijsku godinu 2025. – Unošenje viška iz financijske godine 2024.(09619/2025 – C10-0125/2025 – 2025/0091(BUD))"/>
  </w:docVars>
  <w:rsids>
    <w:rsidRoot w:val="002A2569"/>
    <w:rsid w:val="00002272"/>
    <w:rsid w:val="00064002"/>
    <w:rsid w:val="000677B9"/>
    <w:rsid w:val="000831BA"/>
    <w:rsid w:val="000A42CC"/>
    <w:rsid w:val="000E7DD9"/>
    <w:rsid w:val="0010095E"/>
    <w:rsid w:val="00111C2B"/>
    <w:rsid w:val="00125B37"/>
    <w:rsid w:val="00187494"/>
    <w:rsid w:val="001F32AE"/>
    <w:rsid w:val="002767FF"/>
    <w:rsid w:val="002A2569"/>
    <w:rsid w:val="002B18FE"/>
    <w:rsid w:val="002B5493"/>
    <w:rsid w:val="00343214"/>
    <w:rsid w:val="0035742C"/>
    <w:rsid w:val="0036018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465"/>
    <w:rsid w:val="006037C0"/>
    <w:rsid w:val="006631B6"/>
    <w:rsid w:val="00664FC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BE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1E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F7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C6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ADF2C"/>
  <w15:chartTrackingRefBased/>
  <w15:docId w15:val="{2E01B9A7-8931-4737-85D8-294881D2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0182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360182"/>
    <w:pPr>
      <w:spacing w:after="240"/>
      <w:ind w:left="567" w:hanging="567"/>
    </w:pPr>
  </w:style>
  <w:style w:type="character" w:styleId="Hyperlink">
    <w:name w:val="Hyperlink"/>
    <w:basedOn w:val="DefaultParagraphFont"/>
    <w:rsid w:val="0036018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60182"/>
    <w:rPr>
      <w:sz w:val="24"/>
      <w:lang w:val="hr-HR"/>
    </w:rPr>
  </w:style>
  <w:style w:type="paragraph" w:styleId="Revision">
    <w:name w:val="Revision"/>
    <w:hidden/>
    <w:uiPriority w:val="99"/>
    <w:semiHidden/>
    <w:rsid w:val="00805BE7"/>
    <w:rPr>
      <w:sz w:val="24"/>
      <w:lang w:val="hr-HR"/>
    </w:rPr>
  </w:style>
  <w:style w:type="paragraph" w:styleId="BalloonText">
    <w:name w:val="Balloon Text"/>
    <w:basedOn w:val="Normal"/>
    <w:link w:val="BalloonTextChar"/>
    <w:rsid w:val="00D47C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7C6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D728-E2D7-4478-B6A4-A2BB785DA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1045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2025-07-09T12:00:00Z</dcterms:created>
  <dcterms:modified xsi:type="dcterms:W3CDTF">2025-07-09T12:00:00Z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A10-0116/2025</vt:lpwstr>
  </property>
  <property fmtid="{D5CDD505-2E9C-101B-9397-08002B2CF9AE}" pid="4" name="&lt;Type&gt;">
    <vt:lpwstr>RR</vt:lpwstr>
  </property>
</Properties>
</file>