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05B2" w:rsidTr="0010095E">
        <w:trPr>
          <w:trHeight w:hRule="exact" w:val="1418"/>
        </w:trPr>
        <w:tc>
          <w:tcPr>
            <w:tcW w:w="6804" w:type="dxa"/>
            <w:shd w:val="clear" w:color="auto" w:fill="auto"/>
            <w:vAlign w:val="center"/>
          </w:tcPr>
          <w:p w:rsidR="00751A4A" w:rsidRPr="005805B2" w:rsidRDefault="00D8704E" w:rsidP="0010095E">
            <w:pPr>
              <w:pStyle w:val="EPName"/>
            </w:pPr>
            <w:r w:rsidRPr="005805B2">
              <w:t>Europos Parlamentas</w:t>
            </w:r>
          </w:p>
          <w:p w:rsidR="00751A4A" w:rsidRPr="005805B2" w:rsidRDefault="005F1B17" w:rsidP="005F1B17">
            <w:pPr>
              <w:pStyle w:val="EPTerm"/>
              <w:rPr>
                <w:rStyle w:val="HideTWBExt"/>
                <w:noProof w:val="0"/>
                <w:vanish w:val="0"/>
                <w:color w:val="auto"/>
              </w:rPr>
            </w:pPr>
            <w:r w:rsidRPr="005805B2">
              <w:t>2024</w:t>
            </w:r>
            <w:r w:rsidR="00817416" w:rsidRPr="005805B2">
              <w:t>-202</w:t>
            </w:r>
            <w:r w:rsidRPr="005805B2">
              <w:t>9</w:t>
            </w:r>
          </w:p>
        </w:tc>
        <w:tc>
          <w:tcPr>
            <w:tcW w:w="2268" w:type="dxa"/>
            <w:shd w:val="clear" w:color="auto" w:fill="auto"/>
          </w:tcPr>
          <w:p w:rsidR="00751A4A" w:rsidRPr="005805B2" w:rsidRDefault="00187494" w:rsidP="0010095E">
            <w:pPr>
              <w:pStyle w:val="EPLogo"/>
            </w:pPr>
            <w:r w:rsidRPr="005805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05B2" w:rsidRDefault="00D058B8" w:rsidP="004C5D52">
      <w:pPr>
        <w:pStyle w:val="LineTop"/>
      </w:pPr>
    </w:p>
    <w:p w:rsidR="00680577" w:rsidRPr="005805B2" w:rsidRDefault="00D8704E" w:rsidP="00680577">
      <w:pPr>
        <w:pStyle w:val="EPBodyTA1"/>
      </w:pPr>
      <w:r w:rsidRPr="005805B2">
        <w:t>PRIIMTI TEKSTAI</w:t>
      </w:r>
    </w:p>
    <w:p w:rsidR="00D058B8" w:rsidRPr="005805B2" w:rsidRDefault="00D058B8" w:rsidP="00D058B8">
      <w:pPr>
        <w:pStyle w:val="LineBottom"/>
      </w:pPr>
    </w:p>
    <w:p w:rsidR="00D8704E" w:rsidRPr="005805B2" w:rsidRDefault="00D8704E" w:rsidP="00D8704E">
      <w:pPr>
        <w:pStyle w:val="ATHeading1"/>
      </w:pPr>
      <w:bookmarkStart w:id="0" w:name="TANumber"/>
      <w:r w:rsidRPr="005805B2">
        <w:t>P10_TA(2025)0</w:t>
      </w:r>
      <w:r w:rsidR="001104E2">
        <w:t>15</w:t>
      </w:r>
      <w:r w:rsidR="004A2508">
        <w:t>1</w:t>
      </w:r>
      <w:bookmarkStart w:id="1" w:name="_GoBack"/>
      <w:bookmarkEnd w:id="0"/>
      <w:bookmarkEnd w:id="1"/>
    </w:p>
    <w:p w:rsidR="00D8704E" w:rsidRPr="005805B2" w:rsidRDefault="00D8704E" w:rsidP="00D8704E">
      <w:pPr>
        <w:pStyle w:val="ATHeading2"/>
      </w:pPr>
      <w:bookmarkStart w:id="2" w:name="title"/>
      <w:r w:rsidRPr="005805B2">
        <w:t>Taisomojo biudžeto Nr. 1/2025 projektas: 2024 finansinių metų pertekliaus įrašymas į biudžetą</w:t>
      </w:r>
      <w:bookmarkEnd w:id="2"/>
    </w:p>
    <w:p w:rsidR="00D8704E" w:rsidRPr="005805B2" w:rsidRDefault="00D8704E" w:rsidP="00D8704E">
      <w:pPr>
        <w:rPr>
          <w:i/>
          <w:vanish/>
        </w:rPr>
      </w:pPr>
      <w:r w:rsidRPr="005805B2">
        <w:rPr>
          <w:i/>
        </w:rPr>
        <w:fldChar w:fldCharType="begin"/>
      </w:r>
      <w:r w:rsidRPr="005805B2">
        <w:rPr>
          <w:i/>
        </w:rPr>
        <w:instrText xml:space="preserve"> TC"(</w:instrText>
      </w:r>
      <w:bookmarkStart w:id="3" w:name="DocNumber"/>
      <w:r w:rsidRPr="005805B2">
        <w:rPr>
          <w:i/>
        </w:rPr>
        <w:instrText>A10-0116/2025</w:instrText>
      </w:r>
      <w:bookmarkEnd w:id="3"/>
      <w:r w:rsidRPr="005805B2">
        <w:rPr>
          <w:i/>
        </w:rPr>
        <w:instrText xml:space="preserve"> - Pranešėjas: Victor Negrescu)"\l3 \n&gt; \* MERGEFORMAT </w:instrText>
      </w:r>
      <w:r w:rsidRPr="005805B2">
        <w:rPr>
          <w:i/>
        </w:rPr>
        <w:fldChar w:fldCharType="end"/>
      </w:r>
    </w:p>
    <w:p w:rsidR="00D8704E" w:rsidRPr="005805B2" w:rsidRDefault="00D8704E" w:rsidP="00D8704E">
      <w:pPr>
        <w:rPr>
          <w:vanish/>
        </w:rPr>
      </w:pPr>
      <w:bookmarkStart w:id="4" w:name="Commission"/>
      <w:r w:rsidRPr="005805B2">
        <w:rPr>
          <w:vanish/>
        </w:rPr>
        <w:t>Biudžeto komitetas</w:t>
      </w:r>
      <w:bookmarkEnd w:id="4"/>
    </w:p>
    <w:p w:rsidR="00D8704E" w:rsidRPr="005805B2" w:rsidRDefault="00D8704E" w:rsidP="00D8704E">
      <w:pPr>
        <w:rPr>
          <w:vanish/>
        </w:rPr>
      </w:pPr>
      <w:bookmarkStart w:id="5" w:name="PE"/>
      <w:r w:rsidRPr="005805B2">
        <w:rPr>
          <w:vanish/>
        </w:rPr>
        <w:t>PE773.098</w:t>
      </w:r>
      <w:bookmarkEnd w:id="5"/>
    </w:p>
    <w:p w:rsidR="00D8704E" w:rsidRPr="005805B2" w:rsidRDefault="00D8704E" w:rsidP="001104E2">
      <w:pPr>
        <w:pStyle w:val="ATHeading3"/>
      </w:pPr>
      <w:bookmarkStart w:id="6" w:name="Sujet"/>
      <w:r w:rsidRPr="005805B2">
        <w:t>2025 m. liepos 9 d. Europos Parlamento rezoliucija dėl Tarybos pozicijos dėl 2025 finansinių metų Europos Sąjungos taisomojo biudžeto Nr. 1/2025 projekto dėl 2024 finansinių metų pertekliaus įrašymo į biudžetą</w:t>
      </w:r>
      <w:bookmarkEnd w:id="6"/>
      <w:r w:rsidRPr="005805B2">
        <w:t xml:space="preserve"> </w:t>
      </w:r>
      <w:bookmarkStart w:id="7" w:name="References"/>
      <w:r w:rsidRPr="005805B2">
        <w:t>(09619/2025 – C10-0125/2025 – 2025/0091(BUD))</w:t>
      </w:r>
      <w:bookmarkEnd w:id="7"/>
    </w:p>
    <w:p w:rsidR="001E5958" w:rsidRPr="005805B2" w:rsidRDefault="001E5958" w:rsidP="001E5958">
      <w:pPr>
        <w:pStyle w:val="EPComma"/>
      </w:pPr>
      <w:bookmarkStart w:id="8" w:name="TextBodyBegin"/>
      <w:bookmarkEnd w:id="8"/>
      <w:r w:rsidRPr="005805B2">
        <w:rPr>
          <w:i/>
        </w:rPr>
        <w:t>Europos Parlamentas</w:t>
      </w:r>
      <w:r w:rsidRPr="005805B2">
        <w:t>,</w:t>
      </w:r>
    </w:p>
    <w:p w:rsidR="001E5958" w:rsidRPr="005805B2" w:rsidRDefault="001E5958" w:rsidP="001E5958">
      <w:pPr>
        <w:pStyle w:val="NormalHanging12a"/>
      </w:pPr>
      <w:r w:rsidRPr="005805B2">
        <w:t>–</w:t>
      </w:r>
      <w:r w:rsidRPr="005805B2">
        <w:tab/>
        <w:t>atsižvelgdamas į Sutarties dėl Europos Sąjungos veikimo 314 straipsnį,</w:t>
      </w:r>
    </w:p>
    <w:p w:rsidR="001E5958" w:rsidRPr="005805B2" w:rsidRDefault="001E5958" w:rsidP="001E5958">
      <w:pPr>
        <w:pStyle w:val="NormalHanging12a"/>
      </w:pPr>
      <w:r w:rsidRPr="005805B2">
        <w:t>–</w:t>
      </w:r>
      <w:r w:rsidRPr="005805B2">
        <w:tab/>
        <w:t>atsižvelgdamas į Europos atominės energijos bendrijos steigimo sutarties 106a straipsnį,</w:t>
      </w:r>
    </w:p>
    <w:p w:rsidR="001E5958" w:rsidRPr="005805B2" w:rsidRDefault="001E5958" w:rsidP="001E5958">
      <w:pPr>
        <w:pStyle w:val="NormalHanging12a"/>
      </w:pPr>
      <w:r w:rsidRPr="005805B2">
        <w:t>–</w:t>
      </w:r>
      <w:r w:rsidRPr="005805B2">
        <w:tab/>
        <w:t>atsižvelgdamas į 2024 m. rugsėjo 23 d. Europos Parlamento ir Tarybos reglamentą (ES, Euratomas) 2024/2509 dėl Sąjungos bendrajam biudžetui taikomų finansinių taisyklių</w:t>
      </w:r>
      <w:r w:rsidRPr="005805B2">
        <w:rPr>
          <w:rStyle w:val="FootnoteReference"/>
        </w:rPr>
        <w:footnoteReference w:id="1"/>
      </w:r>
      <w:r w:rsidRPr="005805B2">
        <w:t>, ypač į jo 44 straipsnį,</w:t>
      </w:r>
    </w:p>
    <w:p w:rsidR="001E5958" w:rsidRPr="005805B2" w:rsidRDefault="001E5958" w:rsidP="001E5958">
      <w:pPr>
        <w:pStyle w:val="NormalHanging12a"/>
      </w:pPr>
      <w:r w:rsidRPr="005805B2">
        <w:t>–</w:t>
      </w:r>
      <w:r w:rsidRPr="005805B2">
        <w:tab/>
        <w:t>atsižvelgdamas į 2025 finansinių metų Europos Sąjungos bendrąjį biudžetą, kuris buvo galutinai priimtas 2024 m. lapkričio 27 d.</w:t>
      </w:r>
      <w:r w:rsidRPr="005805B2">
        <w:rPr>
          <w:rStyle w:val="FootnoteReference"/>
        </w:rPr>
        <w:footnoteReference w:id="2"/>
      </w:r>
      <w:r w:rsidRPr="005805B2">
        <w:t>,</w:t>
      </w:r>
    </w:p>
    <w:p w:rsidR="001E5958" w:rsidRPr="005805B2" w:rsidRDefault="001E5958" w:rsidP="001E5958">
      <w:pPr>
        <w:pStyle w:val="NormalHanging12a"/>
      </w:pPr>
      <w:r w:rsidRPr="005805B2">
        <w:t>–</w:t>
      </w:r>
      <w:r w:rsidRPr="005805B2">
        <w:tab/>
        <w:t>atsižvelgdamas į 2020 m. gruodžio 17 d. Tarybos reglamentą (ES, Euratomas) 2020/2093, kuriuo nustatoma 2021–2027 m. daugiametė finansinė programa</w:t>
      </w:r>
      <w:r w:rsidRPr="005805B2">
        <w:rPr>
          <w:rStyle w:val="FootnoteReference"/>
        </w:rPr>
        <w:footnoteReference w:id="3"/>
      </w:r>
      <w:r w:rsidRPr="005805B2">
        <w:t>,</w:t>
      </w:r>
    </w:p>
    <w:p w:rsidR="001E5958" w:rsidRPr="005805B2" w:rsidRDefault="001E5958" w:rsidP="001E5958">
      <w:pPr>
        <w:pStyle w:val="NormalHanging12a"/>
      </w:pPr>
      <w:r w:rsidRPr="005805B2">
        <w:t>–</w:t>
      </w:r>
      <w:r w:rsidRPr="005805B2">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5805B2">
        <w:rPr>
          <w:rStyle w:val="FootnoteReference"/>
        </w:rPr>
        <w:footnoteReference w:id="4"/>
      </w:r>
      <w:r w:rsidRPr="005805B2">
        <w:t xml:space="preserve"> (toliau – 2020 m. gruodžio 16 d. Tarpinstitucinis susitarimas),</w:t>
      </w:r>
    </w:p>
    <w:p w:rsidR="001E5958" w:rsidRPr="005805B2" w:rsidRDefault="001E5958" w:rsidP="001E5958">
      <w:pPr>
        <w:pStyle w:val="NormalHanging12a"/>
      </w:pPr>
      <w:r w:rsidRPr="005805B2">
        <w:t>–</w:t>
      </w:r>
      <w:r w:rsidRPr="005805B2">
        <w:tab/>
        <w:t xml:space="preserve">atsižvelgdamas į 2020 m. gruodžio 14 d. Tarybos sprendimą (ES, Euratomas) </w:t>
      </w:r>
      <w:r w:rsidRPr="005805B2">
        <w:lastRenderedPageBreak/>
        <w:t>2020/2053 ES dėl Europos Sąjungos nuosavų išteklių sistemos, kuriuo panaikinamas Sprendimas 2014/335/ES, Euratomas</w:t>
      </w:r>
      <w:r w:rsidRPr="005805B2">
        <w:rPr>
          <w:rStyle w:val="FootnoteReference"/>
        </w:rPr>
        <w:footnoteReference w:id="5"/>
      </w:r>
      <w:r w:rsidRPr="005805B2">
        <w:t>,</w:t>
      </w:r>
    </w:p>
    <w:p w:rsidR="001E5958" w:rsidRPr="005805B2" w:rsidRDefault="001E5958" w:rsidP="001E5958">
      <w:pPr>
        <w:pStyle w:val="NormalHanging12a"/>
      </w:pPr>
      <w:r w:rsidRPr="005805B2">
        <w:t>–</w:t>
      </w:r>
      <w:r w:rsidRPr="005805B2">
        <w:tab/>
        <w:t>atsižvelgdamas į Taisomojo biudžeto Nr. 1/2025 projektą, kurį Komisija priėmė 2025 m. balandžio 9 d. (COM(2025)0350),</w:t>
      </w:r>
    </w:p>
    <w:p w:rsidR="001E5958" w:rsidRPr="005805B2" w:rsidRDefault="001E5958" w:rsidP="001E5958">
      <w:pPr>
        <w:pStyle w:val="NormalHanging12a"/>
      </w:pPr>
      <w:r w:rsidRPr="005805B2">
        <w:t>–</w:t>
      </w:r>
      <w:r w:rsidRPr="005805B2">
        <w:tab/>
        <w:t>atsižvelgdamas į 2025 m. birželio 16 d. priimtą ir 2025 m. birželio 18 d. Europos Parlamentui perduotą Tarybos poziciją dėl Taisomojo biudžeto Nr. 1/2025 projekto (09619/2025 – C10–0125/2025),</w:t>
      </w:r>
    </w:p>
    <w:p w:rsidR="001E5958" w:rsidRPr="005805B2" w:rsidRDefault="001E5958" w:rsidP="001E5958">
      <w:pPr>
        <w:pStyle w:val="NormalHanging12a"/>
      </w:pPr>
      <w:r w:rsidRPr="005805B2">
        <w:t>–</w:t>
      </w:r>
      <w:r w:rsidRPr="005805B2">
        <w:tab/>
        <w:t>atsižvelgdamas į Darbo tvarkos taisyklių 96 ir 98 straipsnius,</w:t>
      </w:r>
    </w:p>
    <w:p w:rsidR="001E5958" w:rsidRPr="005805B2" w:rsidRDefault="001E5958" w:rsidP="001E5958">
      <w:pPr>
        <w:pStyle w:val="NormalHanging12a"/>
      </w:pPr>
      <w:r w:rsidRPr="005805B2">
        <w:t>–</w:t>
      </w:r>
      <w:r w:rsidRPr="005805B2">
        <w:tab/>
        <w:t>atsižvelgdamas į Biudžeto komiteto pranešimą (A10-0116/2025),</w:t>
      </w:r>
    </w:p>
    <w:p w:rsidR="001E5958" w:rsidRPr="005805B2" w:rsidRDefault="001E5958" w:rsidP="001E5958">
      <w:pPr>
        <w:pStyle w:val="NormalHanging12a"/>
      </w:pPr>
      <w:r w:rsidRPr="005805B2">
        <w:t>A.</w:t>
      </w:r>
      <w:r w:rsidRPr="005805B2">
        <w:tab/>
      </w:r>
      <w:r w:rsidRPr="005805B2">
        <w:rPr>
          <w:color w:val="000000"/>
        </w:rPr>
        <w:t>kadangi Taisomojo biudžeto Nr. 1/2025 projekto tikslas – į 2025 m. biudžetą įtraukti vykdant 2024 finansinius metus susidariusį perteklių, kuris siekia 1 345 mln. EUR;</w:t>
      </w:r>
    </w:p>
    <w:p w:rsidR="001E5958" w:rsidRPr="005805B2" w:rsidRDefault="001E5958" w:rsidP="001E5958">
      <w:pPr>
        <w:pStyle w:val="NormalHanging12a"/>
      </w:pPr>
      <w:r w:rsidRPr="005805B2">
        <w:t>B.</w:t>
      </w:r>
      <w:r w:rsidRPr="005805B2">
        <w:tab/>
      </w:r>
      <w:r w:rsidRPr="005805B2">
        <w:rPr>
          <w:color w:val="000000"/>
        </w:rPr>
        <w:t>kadangi pagrindiniai šio pertekliaus komponentai yra teigiamas 1 072 mln. EUR rezultatas pajamų dalyje ir nepanaudota 272,5 mln. EUR suma;</w:t>
      </w:r>
    </w:p>
    <w:p w:rsidR="001E5958" w:rsidRPr="005805B2" w:rsidRDefault="001E5958" w:rsidP="001E5958">
      <w:pPr>
        <w:pStyle w:val="NormalHanging12a"/>
      </w:pPr>
      <w:r w:rsidRPr="005805B2">
        <w:t>C.</w:t>
      </w:r>
      <w:r w:rsidRPr="005805B2">
        <w:tab/>
      </w:r>
      <w:r w:rsidRPr="005805B2">
        <w:rPr>
          <w:color w:val="000000"/>
        </w:rPr>
        <w:t>kadangi pajamų srityje pagrindinis pertekliaus dydį lemiantis veiksnys yra 1 211 mln. EUR finansinių pajamų, delspinigių ir baudų; kadangi 1 antraštinės dalies nuosavų išteklių rezultatas tebėra labai artimas į 2024 m. biudžetą įtrauktoms sumoms (įskaitant taisomuosius biudžetus Nr. 1–5);</w:t>
      </w:r>
    </w:p>
    <w:p w:rsidR="001E5958" w:rsidRPr="005805B2" w:rsidRDefault="001E5958" w:rsidP="001E5958">
      <w:pPr>
        <w:pStyle w:val="NormalHanging12a"/>
      </w:pPr>
      <w:r w:rsidRPr="005805B2">
        <w:t>D.</w:t>
      </w:r>
      <w:r w:rsidRPr="005805B2">
        <w:tab/>
      </w:r>
      <w:r w:rsidRPr="005805B2">
        <w:rPr>
          <w:color w:val="000000"/>
        </w:rPr>
        <w:t>kadangi, kalbant apie išlaidas, nepakankamas visų institucijų mokėjimų asignavimų panaudojimas, įskaitant į kitą laikotarpį perkeltų asignavimų panaikinimą, iš viso sudarė 273 mln. EUR (t. y. 0,02 proc. patvirtintų mokėjimų asignavimų);</w:t>
      </w:r>
    </w:p>
    <w:p w:rsidR="001E5958" w:rsidRPr="005805B2" w:rsidRDefault="001E5958" w:rsidP="001E5958">
      <w:pPr>
        <w:pStyle w:val="NormalHanging12a"/>
        <w:ind w:hanging="570"/>
      </w:pPr>
      <w:r w:rsidRPr="005805B2">
        <w:t>1.</w:t>
      </w:r>
      <w:r w:rsidRPr="005805B2">
        <w:tab/>
      </w:r>
      <w:r w:rsidRPr="005805B2">
        <w:rPr>
          <w:color w:val="000000"/>
        </w:rPr>
        <w:t>atkreipia dėmesį į Komisijos pateiktą Taisomojo biudžeto Nr. 1/2025 projektą, kuris skirtas tam, kad, vadovaujantis Finansinio reglamento 18 straipsnio 3 dalimi, į biudžetą būtų įrašytas 2024 m. susidaręs 1 345 mln. EUR perteklius;</w:t>
      </w:r>
      <w:sdt>
        <w:sdtPr>
          <w:tag w:val="goog_rdk_0"/>
          <w:id w:val="1937094721"/>
        </w:sdtPr>
        <w:sdtEndPr/>
        <w:sdtContent/>
      </w:sdt>
    </w:p>
    <w:p w:rsidR="001E5958" w:rsidRPr="005805B2" w:rsidRDefault="001E5958" w:rsidP="001E5958">
      <w:pPr>
        <w:pStyle w:val="NormalHanging12a"/>
        <w:ind w:hanging="570"/>
      </w:pPr>
      <w:r w:rsidRPr="005805B2">
        <w:t>2.</w:t>
      </w:r>
      <w:r w:rsidRPr="005805B2">
        <w:tab/>
      </w:r>
      <w:r w:rsidRPr="005805B2">
        <w:rPr>
          <w:color w:val="000000"/>
        </w:rPr>
        <w:t xml:space="preserve">palankiai vertina tai, kad 2024 m. perteklių visų pirma lėmė padidėjusios 4 antraštinės dalies (Finansinės pajamos, delspinigiai ir baudos) kintamosios pajamos, kai tuo tarpu išlaidų perteklius tebėra labai nedidelis – 273 mln. EUR; </w:t>
      </w:r>
    </w:p>
    <w:p w:rsidR="001E5958" w:rsidRPr="005805B2" w:rsidRDefault="001E5958" w:rsidP="001E5958">
      <w:pPr>
        <w:spacing w:after="240"/>
        <w:ind w:left="567" w:hanging="567"/>
        <w:rPr>
          <w:color w:val="000000"/>
        </w:rPr>
      </w:pPr>
      <w:r w:rsidRPr="005805B2">
        <w:rPr>
          <w:color w:val="000000"/>
        </w:rPr>
        <w:t>3.</w:t>
      </w:r>
      <w:r w:rsidRPr="005805B2">
        <w:rPr>
          <w:color w:val="000000"/>
        </w:rPr>
        <w:tab/>
        <w:t xml:space="preserve">apgailestauja dėl to, kad į biudžetą įrašius perteklių atitinkama suma sumažinamas bendras valstybių narių BNP pagrįstų nuosavų išteklių įnašas į 2025 m. biudžeto finansavimą tokio paties dydžio suma; pabrėžia, kad laikotarpiu, kai finansavimo poreikiai, visų pirma susiję su EURI perviršinėmis išlaidomis, išlieka dideli ir veiksmų laisvė Sąjungos biudžete tebėra labai ribota, turėtų būti išlaikytas pakankamas biudžeto lankstumas, kad Sąjunga galėtų susidoroti su nenumatytais įvykiais ir atsirandančiais naujais prioritetais; atkreipia dėmesį į tai, kad Sąjungos biudžeto lankstumas yra vienas iš pagrindinių klausimų, kurį reikia spręsti derybose dėl daugiametės finansinės programos po 2027 m.; </w:t>
      </w:r>
    </w:p>
    <w:p w:rsidR="001E5958" w:rsidRPr="005805B2" w:rsidRDefault="001E5958" w:rsidP="001E5958">
      <w:pPr>
        <w:spacing w:after="240"/>
        <w:ind w:left="567" w:hanging="567"/>
        <w:rPr>
          <w:color w:val="000000"/>
        </w:rPr>
      </w:pPr>
      <w:r w:rsidRPr="005805B2">
        <w:rPr>
          <w:color w:val="000000"/>
        </w:rPr>
        <w:t>4.</w:t>
      </w:r>
      <w:r w:rsidRPr="005805B2">
        <w:rPr>
          <w:color w:val="000000"/>
        </w:rPr>
        <w:tab/>
      </w:r>
      <w:r w:rsidRPr="005805B2">
        <w:t xml:space="preserve">taip pat ragina Komisiją parengti patikimą ir ilgalaikę kitos daugiametės finansinės programos struktūrą, kuri sudarytų sąlygas tvariai valdyti visas nediskrecines išlaidas ir įsipareigojimus, visapusiškai išsaugant Sąjungos programas ir biudžeto lankstumą bei </w:t>
      </w:r>
      <w:r w:rsidRPr="005805B2">
        <w:lastRenderedPageBreak/>
        <w:t>reagavimo pajėgumus, visų pirma gaivalinių nelaimių ir ekstremaliųjų sveikatos situacijų atvejais, siekiant visiškai įgyvendinti Sąjungos pasirengimo krizėms strategiją;</w:t>
      </w:r>
      <w:r w:rsidRPr="005805B2">
        <w:rPr>
          <w:color w:val="000000"/>
        </w:rPr>
        <w:t xml:space="preserve"> </w:t>
      </w:r>
    </w:p>
    <w:p w:rsidR="001E5958" w:rsidRPr="005805B2" w:rsidRDefault="001E5958" w:rsidP="001E5958">
      <w:pPr>
        <w:pStyle w:val="NormalHanging12a"/>
      </w:pPr>
      <w:r w:rsidRPr="005805B2">
        <w:t>5.</w:t>
      </w:r>
      <w:r w:rsidRPr="005805B2">
        <w:tab/>
      </w:r>
      <w:r w:rsidRPr="005805B2">
        <w:rPr>
          <w:color w:val="000000"/>
        </w:rPr>
        <w:t>primena savo ilgalaikę poziciją, kad neplanuotos pajamos iš baudų ir mokesčių arba lygiavertės jų sumos turėtų būti naudojamos kaip papildomos Sąjungos biudžeto pajamos reagavimo į krizes ar nenumatytų poreikių tikslais ir dėl to atitinkamai neturėtų sumažėti BNP pagrįsti įnašai;</w:t>
      </w:r>
    </w:p>
    <w:p w:rsidR="001E5958" w:rsidRPr="005805B2" w:rsidRDefault="001E5958" w:rsidP="001E5958">
      <w:pPr>
        <w:pStyle w:val="NormalHanging12a"/>
        <w:ind w:hanging="570"/>
      </w:pPr>
      <w:r w:rsidRPr="005805B2">
        <w:t>6.</w:t>
      </w:r>
      <w:r w:rsidRPr="005805B2">
        <w:tab/>
        <w:t xml:space="preserve">atkreipia dėmesį į naujojo 4 2 5 straipsnio neigiamų pajamų punktą, kurio suma siekia 534 mln. EUR, ir palankiai vertina šį metodą, pagal kurį į biudžetą įtraukiamos išlaidos, atsirandančios dėl mokėjimų, atliktų pagal susitarimą dėl atsiskaitymo, įskaitant kompensacines palūkanas ir delspinigių kompensaciją, atsižvelgiant į panaikintų arba sumažintų baudų už konkurencijos pažeidimus grąžinimą vadovaujantis atitinkamais Teisingumo Teismo sprendimais; primena, kad Parlamentas, derėdamasis dėl Finansinio reglamento išdėstymo nauja redakcija, primygtinai reikalavo taikyti šį požiūrį, nes alternatyvus sprendimas būtų lėmęs papildomus išlaidų asignavimus pagal ir taip pernelyg išeikvotą 7 išlaidų kategoriją; primena, kad šis sprendimas nustoja galioti 2027 m. gruodžio 31 d.; ragina Komisiją pasiūlyti galutinį sprendimą dėl kitos </w:t>
      </w:r>
      <w:r w:rsidR="00573410">
        <w:t>d</w:t>
      </w:r>
      <w:r w:rsidR="00F85226" w:rsidRPr="00F85226">
        <w:t>augiametės finansinės programos</w:t>
      </w:r>
      <w:r w:rsidRPr="005805B2">
        <w:t>, kuriuo būtų pasiektas tas pats tikslas – išvengti bet kokio poveikio biudžeto išlaidoms;</w:t>
      </w:r>
    </w:p>
    <w:p w:rsidR="001E5958" w:rsidRPr="005805B2" w:rsidRDefault="001E5958" w:rsidP="001E5958">
      <w:pPr>
        <w:pStyle w:val="NormalHanging12a"/>
        <w:ind w:hanging="570"/>
        <w:rPr>
          <w:color w:val="000000"/>
        </w:rPr>
      </w:pPr>
      <w:r w:rsidRPr="005805B2">
        <w:t>7.</w:t>
      </w:r>
      <w:r w:rsidRPr="005805B2">
        <w:tab/>
      </w:r>
      <w:r w:rsidRPr="005805B2">
        <w:rPr>
          <w:color w:val="000000"/>
        </w:rPr>
        <w:t xml:space="preserve">pabrėžia, kad reikia tvarių Sąjungos biudžeto pajamų; </w:t>
      </w:r>
      <w:r w:rsidRPr="005805B2">
        <w:t>todėl apgailestauja, kad Taryboje nėra jokios pažangos nuosavų išteklių sistemos reformos klausimu atsižvelgiant į esminius 2020 m. gruodžio 16 d. Tarpinstituciniame susitarime pateiktų teisiškai privalomų veiksmų gairių elementus;</w:t>
      </w:r>
      <w:r w:rsidRPr="005805B2">
        <w:rPr>
          <w:color w:val="1E1E1F"/>
        </w:rPr>
        <w:t xml:space="preserve"> </w:t>
      </w:r>
      <w:r w:rsidRPr="005805B2">
        <w:t>primena savo poziciją, kuria remiami iš dalies pakeisti Komisijos pasiūlymai, ir primygtinai ragina Tarybą skubiai priimti šiuos pasiūlymus, kad būtų diversifikuoti ir konsoliduoti Sąjungos biudžeto nuosavi ištekliai;</w:t>
      </w:r>
    </w:p>
    <w:p w:rsidR="001E5958" w:rsidRPr="005805B2" w:rsidRDefault="001E5958" w:rsidP="001E5958">
      <w:pPr>
        <w:pStyle w:val="NormalHanging12a"/>
        <w:ind w:hanging="570"/>
        <w:rPr>
          <w:color w:val="000000"/>
        </w:rPr>
      </w:pPr>
      <w:r w:rsidRPr="005805B2">
        <w:t>8.</w:t>
      </w:r>
      <w:r w:rsidRPr="005805B2">
        <w:tab/>
        <w:t xml:space="preserve">be to, ragina Komisiją toliau dėti pastangas siekiant nustatyti papildomus novatoriškus ir tikrus naujus nuosavus išteklius ir kitus pajamų šaltinius be tų, kurie nurodyti 2020 m. gruodžio 16 d. Tarpinstituciniame susitarime; pabrėžia, kad nauji nuosavi ištekliai yra labai svarbūs ne tik siekiant sudaryti sąlygas grąžinti pagal </w:t>
      </w:r>
      <w:r w:rsidR="00F85226" w:rsidRPr="00F85226">
        <w:t>priemon</w:t>
      </w:r>
      <w:r w:rsidR="00F85226">
        <w:t>ę</w:t>
      </w:r>
      <w:r w:rsidR="00F85226" w:rsidRPr="00F85226">
        <w:t xml:space="preserve"> „NextGenerationEU“</w:t>
      </w:r>
      <w:r w:rsidRPr="005805B2">
        <w:t xml:space="preserve"> pasiskolintas lėšas, bet ir užtikrinti, kad Sąjunga būtų pasirengusi patenkinti savo didesnius išlaidų poreikius, ypač atsižvelgiant į daugybę sunkumų, su kuriais šiuo metu susiduria Sąjunga, įskaitant naujas geopolitines aplinkybes; mano, kad visoms naujoms Sąjungos politikos kryptims ir uždaviniams būtina numatyti naujas finansines priemones ir papildomus naujus išteklius;</w:t>
      </w:r>
    </w:p>
    <w:p w:rsidR="001E5958" w:rsidRPr="005805B2" w:rsidRDefault="001E5958" w:rsidP="001E5958">
      <w:pPr>
        <w:pStyle w:val="NormalHanging12a"/>
        <w:ind w:hanging="570"/>
      </w:pPr>
      <w:r w:rsidRPr="005805B2">
        <w:t>9.</w:t>
      </w:r>
      <w:r w:rsidRPr="005805B2">
        <w:tab/>
        <w:t>pritaria Tarybos pozicijai dėl Taisomojo biudžeto Nr. 1/2025 projekto;</w:t>
      </w:r>
    </w:p>
    <w:p w:rsidR="001E5958" w:rsidRPr="005805B2" w:rsidRDefault="001E5958" w:rsidP="001E5958">
      <w:pPr>
        <w:pStyle w:val="NormalHanging12a"/>
        <w:ind w:hanging="570"/>
      </w:pPr>
      <w:r w:rsidRPr="005805B2">
        <w:t>10.</w:t>
      </w:r>
      <w:r w:rsidRPr="005805B2">
        <w:tab/>
        <w:t xml:space="preserve">paveda Pirmininkei paskelbti, kad Taisomasis biudžetas Nr. 1/2025 yra galutinai priimtas ir pasirūpinti, kad jis būtų paskelbtas </w:t>
      </w:r>
      <w:r w:rsidRPr="005805B2">
        <w:rPr>
          <w:i/>
        </w:rPr>
        <w:t>Europos Sąjungos oficialiajame leidinyje</w:t>
      </w:r>
      <w:r w:rsidRPr="005805B2">
        <w:t>;</w:t>
      </w:r>
    </w:p>
    <w:p w:rsidR="00E365E1" w:rsidRPr="005805B2" w:rsidRDefault="001E5958" w:rsidP="001104E2">
      <w:pPr>
        <w:pStyle w:val="NormalHanging12a"/>
      </w:pPr>
      <w:r w:rsidRPr="005805B2">
        <w:t>11.</w:t>
      </w:r>
      <w:r w:rsidRPr="005805B2">
        <w:tab/>
        <w:t>paveda Pirmininkei perduoti šią rezoliuciją Tarybai, Komisijai, kitoms atitinkamoms institucijoms ir įstaigoms ir nacionaliniams parlamentams.</w:t>
      </w:r>
    </w:p>
    <w:sectPr w:rsidR="00E365E1" w:rsidRPr="005805B2" w:rsidSect="005805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04E" w:rsidRPr="005805B2" w:rsidRDefault="00D8704E">
      <w:r w:rsidRPr="005805B2">
        <w:separator/>
      </w:r>
    </w:p>
  </w:endnote>
  <w:endnote w:type="continuationSeparator" w:id="0">
    <w:p w:rsidR="00D8704E" w:rsidRPr="005805B2" w:rsidRDefault="00D8704E">
      <w:r w:rsidRPr="00580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04E" w:rsidRPr="005805B2" w:rsidRDefault="00D8704E">
      <w:r w:rsidRPr="005805B2">
        <w:separator/>
      </w:r>
    </w:p>
  </w:footnote>
  <w:footnote w:type="continuationSeparator" w:id="0">
    <w:p w:rsidR="00D8704E" w:rsidRPr="005805B2" w:rsidRDefault="00D8704E">
      <w:r w:rsidRPr="005805B2">
        <w:continuationSeparator/>
      </w:r>
    </w:p>
  </w:footnote>
  <w:footnote w:id="1">
    <w:p w:rsidR="001E5958" w:rsidRPr="005805B2" w:rsidRDefault="001E5958" w:rsidP="005805B2">
      <w:pPr>
        <w:pStyle w:val="FootnoteText"/>
        <w:ind w:left="567" w:hanging="567"/>
        <w:rPr>
          <w:sz w:val="24"/>
          <w:lang w:val="lt-LT"/>
        </w:rPr>
      </w:pPr>
      <w:r w:rsidRPr="005805B2">
        <w:rPr>
          <w:rStyle w:val="FootnoteReference"/>
          <w:sz w:val="24"/>
          <w:lang w:val="lt-LT"/>
        </w:rPr>
        <w:footnoteRef/>
      </w:r>
      <w:r w:rsidR="005805B2" w:rsidRPr="005805B2">
        <w:rPr>
          <w:sz w:val="24"/>
          <w:lang w:val="lt-LT"/>
        </w:rPr>
        <w:t xml:space="preserve"> </w:t>
      </w:r>
      <w:r w:rsidR="005805B2" w:rsidRPr="005805B2">
        <w:rPr>
          <w:sz w:val="24"/>
          <w:lang w:val="lt-LT"/>
        </w:rPr>
        <w:tab/>
      </w:r>
      <w:r w:rsidRPr="005805B2">
        <w:rPr>
          <w:sz w:val="24"/>
          <w:lang w:val="lt-LT"/>
        </w:rPr>
        <w:t xml:space="preserve">OL L, 2024/2509, 2024 9 26, </w:t>
      </w:r>
      <w:hyperlink r:id="rId1" w:history="1">
        <w:r w:rsidRPr="005805B2">
          <w:rPr>
            <w:rStyle w:val="Hyperlink"/>
            <w:sz w:val="24"/>
            <w:lang w:val="lt-LT"/>
          </w:rPr>
          <w:t>http://data.europa.eu/eli/reg/2024/2509/oj</w:t>
        </w:r>
      </w:hyperlink>
      <w:r w:rsidRPr="005805B2">
        <w:rPr>
          <w:sz w:val="24"/>
          <w:lang w:val="lt-LT"/>
        </w:rPr>
        <w:t>.</w:t>
      </w:r>
    </w:p>
  </w:footnote>
  <w:footnote w:id="2">
    <w:p w:rsidR="001E5958" w:rsidRPr="005805B2" w:rsidRDefault="001E5958" w:rsidP="005805B2">
      <w:pPr>
        <w:pStyle w:val="FootnoteText"/>
        <w:ind w:left="567" w:hanging="567"/>
        <w:rPr>
          <w:sz w:val="24"/>
          <w:lang w:val="lt-LT"/>
        </w:rPr>
      </w:pPr>
      <w:r w:rsidRPr="005805B2">
        <w:rPr>
          <w:rStyle w:val="FootnoteReference"/>
          <w:sz w:val="24"/>
          <w:lang w:val="lt-LT"/>
        </w:rPr>
        <w:footnoteRef/>
      </w:r>
      <w:r w:rsidR="005805B2" w:rsidRPr="005805B2">
        <w:rPr>
          <w:sz w:val="24"/>
          <w:lang w:val="lt-LT"/>
        </w:rPr>
        <w:t xml:space="preserve"> </w:t>
      </w:r>
      <w:r w:rsidR="005805B2" w:rsidRPr="005805B2">
        <w:rPr>
          <w:sz w:val="24"/>
          <w:lang w:val="lt-LT"/>
        </w:rPr>
        <w:tab/>
      </w:r>
      <w:r w:rsidRPr="005805B2">
        <w:rPr>
          <w:sz w:val="24"/>
          <w:lang w:val="lt-LT"/>
        </w:rPr>
        <w:t>OL L, 2025/31, 2025 2 27</w:t>
      </w:r>
      <w:r w:rsidRPr="005805B2">
        <w:rPr>
          <w:i/>
          <w:sz w:val="24"/>
          <w:lang w:val="lt-LT"/>
        </w:rPr>
        <w:t>,</w:t>
      </w:r>
      <w:r w:rsidRPr="005805B2">
        <w:rPr>
          <w:sz w:val="24"/>
          <w:lang w:val="lt-LT"/>
        </w:rPr>
        <w:t xml:space="preserve"> </w:t>
      </w:r>
      <w:hyperlink r:id="rId2" w:history="1">
        <w:r w:rsidRPr="005805B2">
          <w:rPr>
            <w:rStyle w:val="Hyperlink"/>
            <w:sz w:val="24"/>
            <w:lang w:val="lt-LT"/>
          </w:rPr>
          <w:t>http://data.europa.eu/eli/budget/2025/31/oj</w:t>
        </w:r>
      </w:hyperlink>
      <w:r w:rsidRPr="005805B2">
        <w:rPr>
          <w:rStyle w:val="Hyperlink"/>
          <w:sz w:val="24"/>
          <w:lang w:val="lt-LT"/>
        </w:rPr>
        <w:t>.</w:t>
      </w:r>
    </w:p>
  </w:footnote>
  <w:footnote w:id="3">
    <w:p w:rsidR="001E5958" w:rsidRPr="005805B2" w:rsidRDefault="001E5958" w:rsidP="005805B2">
      <w:pPr>
        <w:pStyle w:val="FootnoteText"/>
        <w:ind w:left="567" w:hanging="567"/>
        <w:rPr>
          <w:sz w:val="24"/>
          <w:lang w:val="lt-LT"/>
        </w:rPr>
      </w:pPr>
      <w:r w:rsidRPr="005805B2">
        <w:rPr>
          <w:rStyle w:val="FootnoteReference"/>
          <w:sz w:val="24"/>
          <w:lang w:val="lt-LT"/>
        </w:rPr>
        <w:footnoteRef/>
      </w:r>
      <w:r w:rsidR="005805B2" w:rsidRPr="005805B2">
        <w:rPr>
          <w:sz w:val="24"/>
          <w:lang w:val="lt-LT"/>
        </w:rPr>
        <w:t xml:space="preserve"> </w:t>
      </w:r>
      <w:r w:rsidR="005805B2" w:rsidRPr="005805B2">
        <w:rPr>
          <w:sz w:val="24"/>
          <w:lang w:val="lt-LT"/>
        </w:rPr>
        <w:tab/>
      </w:r>
      <w:r w:rsidRPr="005805B2">
        <w:rPr>
          <w:sz w:val="24"/>
          <w:lang w:val="lt-LT"/>
        </w:rPr>
        <w:t xml:space="preserve">OL L 433 I, 2020 12 22, p. 11., ELI: </w:t>
      </w:r>
      <w:hyperlink r:id="rId3" w:history="1">
        <w:r w:rsidRPr="005805B2">
          <w:rPr>
            <w:rStyle w:val="Hyperlink"/>
            <w:sz w:val="24"/>
            <w:lang w:val="lt-LT"/>
          </w:rPr>
          <w:t>http://data.europa.eu/eli/reg/2020/2093/oj</w:t>
        </w:r>
      </w:hyperlink>
      <w:r w:rsidRPr="005805B2">
        <w:rPr>
          <w:sz w:val="24"/>
          <w:lang w:val="lt-LT"/>
        </w:rPr>
        <w:t>.</w:t>
      </w:r>
    </w:p>
  </w:footnote>
  <w:footnote w:id="4">
    <w:p w:rsidR="001E5958" w:rsidRPr="005805B2" w:rsidRDefault="001E5958" w:rsidP="005805B2">
      <w:pPr>
        <w:pStyle w:val="FootnoteText"/>
        <w:ind w:left="567" w:hanging="567"/>
        <w:rPr>
          <w:sz w:val="24"/>
          <w:lang w:val="lt-LT"/>
        </w:rPr>
      </w:pPr>
      <w:r w:rsidRPr="005805B2">
        <w:rPr>
          <w:rStyle w:val="FootnoteReference"/>
          <w:sz w:val="24"/>
          <w:lang w:val="lt-LT"/>
        </w:rPr>
        <w:footnoteRef/>
      </w:r>
      <w:r w:rsidR="005805B2" w:rsidRPr="005805B2">
        <w:rPr>
          <w:sz w:val="24"/>
          <w:lang w:val="lt-LT"/>
        </w:rPr>
        <w:t xml:space="preserve"> </w:t>
      </w:r>
      <w:r w:rsidR="005805B2" w:rsidRPr="005805B2">
        <w:rPr>
          <w:sz w:val="24"/>
          <w:lang w:val="lt-LT"/>
        </w:rPr>
        <w:tab/>
      </w:r>
      <w:r w:rsidRPr="005805B2">
        <w:rPr>
          <w:sz w:val="24"/>
          <w:lang w:val="lt-LT"/>
        </w:rPr>
        <w:t xml:space="preserve">OL L 433 I, 2020 12 22, p. 28, ELI: </w:t>
      </w:r>
      <w:r w:rsidR="004A2508">
        <w:fldChar w:fldCharType="begin"/>
      </w:r>
      <w:r w:rsidR="004A2508" w:rsidRPr="004A2508">
        <w:rPr>
          <w:lang w:val="fi-FI"/>
        </w:rPr>
        <w:instrText xml:space="preserve"> HYPERLINK "http://data.europa.eu/eli/agree_interinstit/2020/1222/oj" </w:instrText>
      </w:r>
      <w:r w:rsidR="004A2508">
        <w:fldChar w:fldCharType="separate"/>
      </w:r>
      <w:r w:rsidRPr="005805B2">
        <w:rPr>
          <w:rStyle w:val="Hyperlink"/>
          <w:sz w:val="24"/>
          <w:lang w:val="lt-LT"/>
        </w:rPr>
        <w:t>http://data.europa.eu/eli/agree_interinstit/2020/1222/oj</w:t>
      </w:r>
      <w:r w:rsidR="004A2508">
        <w:rPr>
          <w:rStyle w:val="Hyperlink"/>
          <w:sz w:val="24"/>
          <w:lang w:val="lt-LT"/>
        </w:rPr>
        <w:fldChar w:fldCharType="end"/>
      </w:r>
      <w:r w:rsidRPr="005805B2">
        <w:rPr>
          <w:rStyle w:val="Hyperlink"/>
          <w:sz w:val="24"/>
          <w:lang w:val="lt-LT"/>
        </w:rPr>
        <w:t>.</w:t>
      </w:r>
    </w:p>
  </w:footnote>
  <w:footnote w:id="5">
    <w:p w:rsidR="001E5958" w:rsidRPr="005805B2" w:rsidRDefault="001E5958" w:rsidP="005805B2">
      <w:pPr>
        <w:pStyle w:val="FootnoteText"/>
        <w:ind w:left="567" w:hanging="567"/>
        <w:rPr>
          <w:sz w:val="24"/>
          <w:lang w:val="lt-LT"/>
        </w:rPr>
      </w:pPr>
      <w:r w:rsidRPr="005805B2">
        <w:rPr>
          <w:rStyle w:val="FootnoteReference"/>
          <w:sz w:val="24"/>
          <w:lang w:val="lt-LT"/>
        </w:rPr>
        <w:footnoteRef/>
      </w:r>
      <w:r w:rsidR="005805B2" w:rsidRPr="005805B2">
        <w:rPr>
          <w:sz w:val="24"/>
          <w:lang w:val="lt-LT"/>
        </w:rPr>
        <w:t xml:space="preserve"> </w:t>
      </w:r>
      <w:r w:rsidR="005805B2" w:rsidRPr="005805B2">
        <w:rPr>
          <w:sz w:val="24"/>
          <w:lang w:val="lt-LT"/>
        </w:rPr>
        <w:tab/>
      </w:r>
      <w:r w:rsidRPr="005805B2">
        <w:rPr>
          <w:sz w:val="24"/>
          <w:lang w:val="lt-LT"/>
        </w:rPr>
        <w:t xml:space="preserve">OL L 424, 2020 12 15, p. 1, ELI: </w:t>
      </w:r>
      <w:r w:rsidR="004A2508">
        <w:fldChar w:fldCharType="begin"/>
      </w:r>
      <w:r w:rsidR="004A2508" w:rsidRPr="004A2508">
        <w:rPr>
          <w:lang w:val="fi-FI"/>
        </w:rPr>
        <w:instrText xml:space="preserve"> HYPERLINK "http://data.europa.eu/eli/dec/2020/2053/oj" </w:instrText>
      </w:r>
      <w:r w:rsidR="004A2508">
        <w:fldChar w:fldCharType="separate"/>
      </w:r>
      <w:r w:rsidRPr="005805B2">
        <w:rPr>
          <w:rStyle w:val="Hyperlink"/>
          <w:sz w:val="24"/>
          <w:lang w:val="lt-LT"/>
        </w:rPr>
        <w:t>http://data.europa.eu/eli/dec/2020/2053/oj</w:t>
      </w:r>
      <w:r w:rsidR="004A2508">
        <w:rPr>
          <w:rStyle w:val="Hyperlink"/>
          <w:sz w:val="24"/>
          <w:lang w:val="lt-LT"/>
        </w:rPr>
        <w:fldChar w:fldCharType="end"/>
      </w:r>
      <w:r w:rsidRPr="005805B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05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LT"/>
    <w:docVar w:name="dvnumam" w:val="0"/>
    <w:docVar w:name="dvpe" w:val="773.098"/>
    <w:docVar w:name="dvrapporteur" w:val="Pranešėjas: "/>
    <w:docVar w:name="dvtitre" w:val="2025 m. liepos 9 d. Europos Parlamento rezoliucija dėl Tarybos pozicijos dėl 2025 finansinių metų Europos Sąjungos taisomojo biudžeto Nr. 1/2025 projekto dėl 2024 finansinių metų pertekliaus įrašymo į biudžetą(09619/2025 – C10-0125/2025 – 2025/0091(BUD))"/>
  </w:docVars>
  <w:rsids>
    <w:rsidRoot w:val="00D8704E"/>
    <w:rsid w:val="00002272"/>
    <w:rsid w:val="00064002"/>
    <w:rsid w:val="000677B9"/>
    <w:rsid w:val="000831BA"/>
    <w:rsid w:val="000A42CC"/>
    <w:rsid w:val="000E7DD9"/>
    <w:rsid w:val="0010095E"/>
    <w:rsid w:val="001104E2"/>
    <w:rsid w:val="00125B37"/>
    <w:rsid w:val="001613D3"/>
    <w:rsid w:val="00187494"/>
    <w:rsid w:val="001B3FF4"/>
    <w:rsid w:val="001E595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508"/>
    <w:rsid w:val="004C0004"/>
    <w:rsid w:val="004C5D52"/>
    <w:rsid w:val="0050519A"/>
    <w:rsid w:val="005072A1"/>
    <w:rsid w:val="00514517"/>
    <w:rsid w:val="00545827"/>
    <w:rsid w:val="00560270"/>
    <w:rsid w:val="00573410"/>
    <w:rsid w:val="005805B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04E"/>
    <w:rsid w:val="00D872DF"/>
    <w:rsid w:val="00D91E21"/>
    <w:rsid w:val="00DA7FCD"/>
    <w:rsid w:val="00E14368"/>
    <w:rsid w:val="00E365E1"/>
    <w:rsid w:val="00E820A4"/>
    <w:rsid w:val="00EB006A"/>
    <w:rsid w:val="00EB4772"/>
    <w:rsid w:val="00ED169E"/>
    <w:rsid w:val="00ED4235"/>
    <w:rsid w:val="00F04346"/>
    <w:rsid w:val="00F075DC"/>
    <w:rsid w:val="00F149E9"/>
    <w:rsid w:val="00F5134D"/>
    <w:rsid w:val="00F64868"/>
    <w:rsid w:val="00F74202"/>
    <w:rsid w:val="00F8522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9F3434"/>
  <w15:chartTrackingRefBased/>
  <w15:docId w15:val="{690C134F-1BCC-4D1B-8C6F-B30AF517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958"/>
    <w:pPr>
      <w:spacing w:before="480" w:after="240"/>
    </w:pPr>
  </w:style>
  <w:style w:type="paragraph" w:customStyle="1" w:styleId="NormalHanging12a">
    <w:name w:val="NormalHanging12a"/>
    <w:basedOn w:val="Normal"/>
    <w:link w:val="NormalHanging12aChar"/>
    <w:rsid w:val="001E5958"/>
    <w:pPr>
      <w:spacing w:after="240"/>
      <w:ind w:left="567" w:hanging="567"/>
    </w:pPr>
  </w:style>
  <w:style w:type="character" w:styleId="Hyperlink">
    <w:name w:val="Hyperlink"/>
    <w:basedOn w:val="DefaultParagraphFont"/>
    <w:uiPriority w:val="99"/>
    <w:rsid w:val="001E5958"/>
    <w:rPr>
      <w:color w:val="0563C1" w:themeColor="hyperlink"/>
      <w:u w:val="single"/>
    </w:rPr>
  </w:style>
  <w:style w:type="character" w:customStyle="1" w:styleId="NormalHanging12aChar">
    <w:name w:val="NormalHanging12a Char"/>
    <w:basedOn w:val="DefaultParagraphFont"/>
    <w:link w:val="NormalHanging12a"/>
    <w:locked/>
    <w:rsid w:val="001E5958"/>
    <w:rPr>
      <w:sz w:val="24"/>
      <w:lang w:val="lt-LT"/>
    </w:rPr>
  </w:style>
  <w:style w:type="paragraph" w:styleId="BalloonText">
    <w:name w:val="Balloon Text"/>
    <w:basedOn w:val="Normal"/>
    <w:link w:val="BalloonTextChar"/>
    <w:rsid w:val="00F85226"/>
    <w:rPr>
      <w:rFonts w:ascii="Segoe UI" w:hAnsi="Segoe UI" w:cs="Segoe UI"/>
      <w:sz w:val="18"/>
      <w:szCs w:val="18"/>
    </w:rPr>
  </w:style>
  <w:style w:type="character" w:customStyle="1" w:styleId="BalloonTextChar">
    <w:name w:val="Balloon Text Char"/>
    <w:basedOn w:val="DefaultParagraphFont"/>
    <w:link w:val="BalloonText"/>
    <w:rsid w:val="00F8522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06025-07A7-4E58-B055-6EE2DD56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983</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2025-07-09T11:32:00Z</dcterms:created>
  <dcterms:modified xsi:type="dcterms:W3CDTF">2025-07-09T11:32:00Z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P10_TA(2025)0152_</vt:lpwstr>
  </property>
  <property fmtid="{D5CDD505-2E9C-101B-9397-08002B2CF9AE}" pid="4" name="&lt;Type&gt;">
    <vt:lpwstr>RR</vt:lpwstr>
  </property>
</Properties>
</file>