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2C62" w14:paraId="46272ECB" w14:textId="77777777" w:rsidTr="0010095E">
        <w:trPr>
          <w:trHeight w:hRule="exact" w:val="1418"/>
        </w:trPr>
        <w:tc>
          <w:tcPr>
            <w:tcW w:w="6804" w:type="dxa"/>
            <w:shd w:val="clear" w:color="auto" w:fill="auto"/>
            <w:vAlign w:val="center"/>
          </w:tcPr>
          <w:p w14:paraId="039BF3E9" w14:textId="77777777" w:rsidR="00751A4A" w:rsidRPr="00952C62" w:rsidRDefault="00240084" w:rsidP="0010095E">
            <w:pPr>
              <w:pStyle w:val="EPName"/>
            </w:pPr>
            <w:r w:rsidRPr="00952C62">
              <w:t>Eiropas Parlaments</w:t>
            </w:r>
          </w:p>
          <w:p w14:paraId="10E8EAE5" w14:textId="77777777" w:rsidR="00751A4A" w:rsidRPr="00952C62" w:rsidRDefault="005F1B17" w:rsidP="005F1B17">
            <w:pPr>
              <w:pStyle w:val="EPTerm"/>
              <w:rPr>
                <w:rStyle w:val="HideTWBExt"/>
                <w:noProof w:val="0"/>
                <w:vanish w:val="0"/>
                <w:color w:val="auto"/>
              </w:rPr>
            </w:pPr>
            <w:r w:rsidRPr="00952C62">
              <w:t>2024</w:t>
            </w:r>
            <w:r w:rsidR="00817416" w:rsidRPr="00952C62">
              <w:t>-202</w:t>
            </w:r>
            <w:r w:rsidRPr="00952C62">
              <w:t>9</w:t>
            </w:r>
          </w:p>
        </w:tc>
        <w:tc>
          <w:tcPr>
            <w:tcW w:w="2268" w:type="dxa"/>
            <w:shd w:val="clear" w:color="auto" w:fill="auto"/>
          </w:tcPr>
          <w:p w14:paraId="5287FDFA" w14:textId="77777777" w:rsidR="00751A4A" w:rsidRPr="00952C62" w:rsidRDefault="00187494" w:rsidP="0010095E">
            <w:pPr>
              <w:pStyle w:val="EPLogo"/>
            </w:pPr>
            <w:r w:rsidRPr="00952C62">
              <w:rPr>
                <w:noProof/>
                <w:lang w:val="en-GB"/>
              </w:rPr>
              <w:drawing>
                <wp:inline distT="0" distB="0" distL="0" distR="0" wp14:anchorId="23A57524" wp14:editId="1D8BA9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3B0CD1" w14:textId="77777777" w:rsidR="00D058B8" w:rsidRPr="00952C62" w:rsidRDefault="00D058B8" w:rsidP="004C5D52">
      <w:pPr>
        <w:pStyle w:val="LineTop"/>
      </w:pPr>
    </w:p>
    <w:p w14:paraId="3C679D6B" w14:textId="77777777" w:rsidR="00680577" w:rsidRPr="00952C62" w:rsidRDefault="00240084" w:rsidP="00680577">
      <w:pPr>
        <w:pStyle w:val="EPBodyTA1"/>
      </w:pPr>
      <w:r w:rsidRPr="00952C62">
        <w:t>PIEŅEMTIE TEKSTI</w:t>
      </w:r>
    </w:p>
    <w:p w14:paraId="6E0EF67F" w14:textId="77777777" w:rsidR="00D058B8" w:rsidRPr="00952C62" w:rsidRDefault="00D058B8" w:rsidP="00D058B8">
      <w:pPr>
        <w:pStyle w:val="LineBottom"/>
      </w:pPr>
    </w:p>
    <w:p w14:paraId="4F13642A" w14:textId="77777777" w:rsidR="00240084" w:rsidRPr="00952C62" w:rsidRDefault="00240084" w:rsidP="00240084">
      <w:pPr>
        <w:pStyle w:val="ATHeading1"/>
      </w:pPr>
      <w:bookmarkStart w:id="0" w:name="TANumber"/>
      <w:r w:rsidRPr="00952C62">
        <w:t>P10_TA(2025)0</w:t>
      </w:r>
      <w:r w:rsidR="00952C62" w:rsidRPr="00952C62">
        <w:t>15</w:t>
      </w:r>
      <w:r w:rsidR="0050650C">
        <w:t>1</w:t>
      </w:r>
      <w:bookmarkEnd w:id="0"/>
    </w:p>
    <w:p w14:paraId="35F68D2E" w14:textId="31D53ECE" w:rsidR="00240084" w:rsidRPr="00952C62" w:rsidRDefault="004212DE" w:rsidP="00240084">
      <w:pPr>
        <w:pStyle w:val="ATHeading2"/>
      </w:pPr>
      <w:bookmarkStart w:id="1" w:name="title"/>
      <w:r w:rsidRPr="004212DE">
        <w:t>Budžeta grozījuma Nr. 1/2025 projekts</w:t>
      </w:r>
      <w:r w:rsidR="00094A38" w:rsidRPr="00952C62">
        <w:t>: 2024. finanšu gada pārpalikuma ieskaitīšana</w:t>
      </w:r>
      <w:bookmarkEnd w:id="1"/>
    </w:p>
    <w:p w14:paraId="4E92E318" w14:textId="77777777" w:rsidR="00240084" w:rsidRPr="00952C62" w:rsidRDefault="00240084" w:rsidP="00240084">
      <w:pPr>
        <w:rPr>
          <w:i/>
          <w:vanish/>
        </w:rPr>
      </w:pPr>
      <w:r w:rsidRPr="00952C62">
        <w:rPr>
          <w:i/>
        </w:rPr>
        <w:fldChar w:fldCharType="begin"/>
      </w:r>
      <w:r w:rsidRPr="00952C62">
        <w:rPr>
          <w:i/>
        </w:rPr>
        <w:instrText xml:space="preserve"> TC"(</w:instrText>
      </w:r>
      <w:bookmarkStart w:id="2" w:name="DocNumber"/>
      <w:r w:rsidRPr="00952C62">
        <w:rPr>
          <w:i/>
        </w:rPr>
        <w:instrText>A10-0116/2025</w:instrText>
      </w:r>
      <w:bookmarkEnd w:id="2"/>
      <w:r w:rsidRPr="00952C62">
        <w:rPr>
          <w:i/>
        </w:rPr>
        <w:instrText xml:space="preserve"> - Referents: Victor Negrescu)"\l3 \n&gt; \* MERGEFORMAT </w:instrText>
      </w:r>
      <w:r w:rsidRPr="00952C62">
        <w:rPr>
          <w:i/>
        </w:rPr>
        <w:fldChar w:fldCharType="end"/>
      </w:r>
    </w:p>
    <w:p w14:paraId="741EF133" w14:textId="77777777" w:rsidR="00240084" w:rsidRPr="00952C62" w:rsidRDefault="00240084" w:rsidP="00240084">
      <w:pPr>
        <w:rPr>
          <w:vanish/>
        </w:rPr>
      </w:pPr>
      <w:bookmarkStart w:id="3" w:name="Commission"/>
      <w:r w:rsidRPr="00952C62">
        <w:rPr>
          <w:vanish/>
        </w:rPr>
        <w:t>Budžeta komiteja</w:t>
      </w:r>
      <w:bookmarkEnd w:id="3"/>
    </w:p>
    <w:p w14:paraId="6218176E" w14:textId="77777777" w:rsidR="00240084" w:rsidRPr="00952C62" w:rsidRDefault="00240084" w:rsidP="00240084">
      <w:pPr>
        <w:rPr>
          <w:vanish/>
        </w:rPr>
      </w:pPr>
      <w:bookmarkStart w:id="4" w:name="PE"/>
      <w:r w:rsidRPr="00952C62">
        <w:rPr>
          <w:vanish/>
        </w:rPr>
        <w:t>PE773.098</w:t>
      </w:r>
      <w:bookmarkEnd w:id="4"/>
    </w:p>
    <w:p w14:paraId="5147B200" w14:textId="77777777" w:rsidR="00240084" w:rsidRPr="00952C62" w:rsidRDefault="00240084" w:rsidP="00240084">
      <w:pPr>
        <w:pStyle w:val="ATHeading3"/>
      </w:pPr>
      <w:bookmarkStart w:id="5" w:name="Sujet"/>
      <w:r w:rsidRPr="00952C62">
        <w:t xml:space="preserve">Eiropas Parlamenta 2025. gada </w:t>
      </w:r>
      <w:r w:rsidR="00094A38" w:rsidRPr="00952C62">
        <w:t>9. jūlija</w:t>
      </w:r>
      <w:r w:rsidRPr="00952C62">
        <w:t xml:space="preserve"> rezolūcija par Padomes nostāju attiecībā uz Eiropas Savienības 2025. finanšu gada budžeta grozījuma Nr. 1/2025 projektu: 2024. finanšu gada pārpalikuma ieskaitīšana</w:t>
      </w:r>
      <w:bookmarkEnd w:id="5"/>
      <w:r w:rsidRPr="00952C62">
        <w:t xml:space="preserve"> </w:t>
      </w:r>
      <w:bookmarkStart w:id="6" w:name="References"/>
      <w:r w:rsidRPr="00952C62">
        <w:t>(09619/2025 – C10-0125/2025 – 2025/0091(BUD))</w:t>
      </w:r>
      <w:bookmarkEnd w:id="6"/>
    </w:p>
    <w:p w14:paraId="46847813" w14:textId="77777777" w:rsidR="00E75BC2" w:rsidRPr="00952C62" w:rsidRDefault="00E75BC2" w:rsidP="00E75BC2">
      <w:pPr>
        <w:pStyle w:val="EPComma"/>
      </w:pPr>
      <w:bookmarkStart w:id="7" w:name="TextBodyBegin"/>
      <w:bookmarkEnd w:id="7"/>
      <w:r w:rsidRPr="00952C62">
        <w:rPr>
          <w:i/>
        </w:rPr>
        <w:t>Eiropas Parlaments</w:t>
      </w:r>
      <w:r w:rsidRPr="00952C62">
        <w:t>,</w:t>
      </w:r>
    </w:p>
    <w:p w14:paraId="62FF5514" w14:textId="77777777" w:rsidR="00E75BC2" w:rsidRPr="00952C62" w:rsidRDefault="00E75BC2" w:rsidP="00E75BC2">
      <w:pPr>
        <w:pStyle w:val="NormalHanging12a"/>
      </w:pPr>
      <w:r w:rsidRPr="00952C62">
        <w:t>–</w:t>
      </w:r>
      <w:r w:rsidRPr="00952C62">
        <w:tab/>
        <w:t>ņemot vērā Līguma par Eiropas Savienības darbību 314. pantu,</w:t>
      </w:r>
    </w:p>
    <w:p w14:paraId="786FDAD8" w14:textId="77777777" w:rsidR="00E75BC2" w:rsidRPr="00952C62" w:rsidRDefault="00E75BC2" w:rsidP="00E75BC2">
      <w:pPr>
        <w:pStyle w:val="NormalHanging12a"/>
      </w:pPr>
      <w:r w:rsidRPr="00952C62">
        <w:t>–</w:t>
      </w:r>
      <w:r w:rsidRPr="00952C62">
        <w:tab/>
        <w:t>ņemot vērā Eiropas Atomenerģijas kopienas dibināšanas līguma 106.a pantu,</w:t>
      </w:r>
    </w:p>
    <w:p w14:paraId="762B96F6" w14:textId="77777777" w:rsidR="00E75BC2" w:rsidRPr="00952C62" w:rsidRDefault="00E75BC2" w:rsidP="00E75BC2">
      <w:pPr>
        <w:pStyle w:val="NormalHanging12a"/>
      </w:pPr>
      <w:r w:rsidRPr="00952C62">
        <w:t>–</w:t>
      </w:r>
      <w:r w:rsidRPr="00952C62">
        <w:tab/>
        <w:t xml:space="preserve">ņemot vērā Eiropas Parlamenta un Padomes 2024. gada 23. septembra Regulu (ES, </w:t>
      </w:r>
      <w:r w:rsidRPr="00952C62">
        <w:rPr>
          <w:i/>
          <w:iCs/>
        </w:rPr>
        <w:t>Euratom</w:t>
      </w:r>
      <w:r w:rsidRPr="00952C62">
        <w:t>) 2024/2509 par finanšu noteikumiem, ko piemēro Savienības vispārējam budžetam</w:t>
      </w:r>
      <w:r w:rsidRPr="00952C62">
        <w:rPr>
          <w:rStyle w:val="FootnoteReference"/>
        </w:rPr>
        <w:footnoteReference w:id="1"/>
      </w:r>
      <w:r w:rsidRPr="00952C62">
        <w:t>, un jo īpaši tās 44. pantu,</w:t>
      </w:r>
    </w:p>
    <w:p w14:paraId="014B5D5F" w14:textId="77777777" w:rsidR="00E75BC2" w:rsidRPr="00952C62" w:rsidRDefault="00E75BC2" w:rsidP="00E75BC2">
      <w:pPr>
        <w:pStyle w:val="NormalHanging12a"/>
      </w:pPr>
      <w:r w:rsidRPr="00952C62">
        <w:t>–</w:t>
      </w:r>
      <w:r w:rsidRPr="00952C62">
        <w:tab/>
        <w:t>ņemot vērā Eiropas Savienības 2025. gada vispārējo budžetu, kas galīgajā variantā pieņemts 2024. gada 27. novembrī</w:t>
      </w:r>
      <w:r w:rsidRPr="00952C62">
        <w:rPr>
          <w:rStyle w:val="FootnoteReference"/>
        </w:rPr>
        <w:footnoteReference w:id="2"/>
      </w:r>
      <w:r w:rsidRPr="00952C62">
        <w:t>,</w:t>
      </w:r>
    </w:p>
    <w:p w14:paraId="4349BEAF" w14:textId="77777777" w:rsidR="00E75BC2" w:rsidRPr="00952C62" w:rsidRDefault="00E75BC2" w:rsidP="00E75BC2">
      <w:pPr>
        <w:pStyle w:val="NormalHanging12a"/>
      </w:pPr>
      <w:r w:rsidRPr="00952C62">
        <w:t>–</w:t>
      </w:r>
      <w:r w:rsidRPr="00952C62">
        <w:tab/>
        <w:t xml:space="preserve">ņemot vērā Padomes 2020. gada 17. decembra Regulu (ES, </w:t>
      </w:r>
      <w:r w:rsidRPr="00952C62">
        <w:rPr>
          <w:i/>
          <w:iCs/>
        </w:rPr>
        <w:t>Euratom</w:t>
      </w:r>
      <w:r w:rsidRPr="00952C62">
        <w:t>) 2020/2093, ar ko nosaka daudzgadu finanšu shēmu 2021.–2027. gadam</w:t>
      </w:r>
      <w:r w:rsidRPr="00952C62">
        <w:rPr>
          <w:rStyle w:val="FootnoteReference"/>
        </w:rPr>
        <w:footnoteReference w:id="3"/>
      </w:r>
      <w:r w:rsidRPr="00952C62">
        <w:t>,</w:t>
      </w:r>
    </w:p>
    <w:p w14:paraId="7F2509C0" w14:textId="77777777" w:rsidR="00E75BC2" w:rsidRPr="00952C62" w:rsidRDefault="00E75BC2" w:rsidP="00E75BC2">
      <w:pPr>
        <w:pStyle w:val="NormalHanging12a"/>
      </w:pPr>
      <w:r w:rsidRPr="00952C62">
        <w:t>–</w:t>
      </w:r>
      <w:r w:rsidRPr="00952C62">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952C62">
        <w:rPr>
          <w:rStyle w:val="FootnoteReference"/>
        </w:rPr>
        <w:footnoteReference w:id="4"/>
      </w:r>
      <w:r w:rsidRPr="00952C62">
        <w:t xml:space="preserve"> (2020. gada 16. decembra Iestāžu nolīgums),</w:t>
      </w:r>
    </w:p>
    <w:p w14:paraId="4AF40FAC" w14:textId="77777777" w:rsidR="00E75BC2" w:rsidRPr="00952C62" w:rsidRDefault="00E75BC2" w:rsidP="00E75BC2">
      <w:pPr>
        <w:pStyle w:val="NormalHanging12a"/>
      </w:pPr>
      <w:r w:rsidRPr="00952C62">
        <w:t>–</w:t>
      </w:r>
      <w:r w:rsidRPr="00952C62">
        <w:tab/>
        <w:t xml:space="preserve">ņemot vērā Padomes 2020. gada 14. decembra Lēmumu (ES, </w:t>
      </w:r>
      <w:r w:rsidRPr="00952C62">
        <w:rPr>
          <w:i/>
          <w:iCs/>
        </w:rPr>
        <w:t>Euratom</w:t>
      </w:r>
      <w:r w:rsidRPr="00952C62">
        <w:t xml:space="preserve">) 2020/2053 par </w:t>
      </w:r>
      <w:r w:rsidRPr="00952C62">
        <w:lastRenderedPageBreak/>
        <w:t xml:space="preserve">Eiropas Savienības pašu resursu sistēmu un ar ko atceļ Lēmumu 2014/335/ES, </w:t>
      </w:r>
      <w:r w:rsidRPr="00952C62">
        <w:rPr>
          <w:i/>
          <w:iCs/>
        </w:rPr>
        <w:t>Euratom</w:t>
      </w:r>
      <w:r w:rsidRPr="00952C62">
        <w:rPr>
          <w:rStyle w:val="FootnoteReference"/>
        </w:rPr>
        <w:footnoteReference w:id="5"/>
      </w:r>
      <w:r w:rsidRPr="00952C62">
        <w:t>,</w:t>
      </w:r>
    </w:p>
    <w:p w14:paraId="100A1C51" w14:textId="77777777" w:rsidR="00E75BC2" w:rsidRPr="00952C62" w:rsidRDefault="00E75BC2" w:rsidP="00E75BC2">
      <w:pPr>
        <w:pStyle w:val="NormalHanging12a"/>
      </w:pPr>
      <w:r w:rsidRPr="00952C62">
        <w:t>–</w:t>
      </w:r>
      <w:r w:rsidRPr="00952C62">
        <w:tab/>
        <w:t>ņemot vērā budžeta grozījuma Nr. 1/2025 projektu, ko Komisija pieņēma 2025. gada 9. aprīlī (COM(2025)0350),</w:t>
      </w:r>
    </w:p>
    <w:p w14:paraId="6EED194D" w14:textId="77777777" w:rsidR="00E75BC2" w:rsidRPr="00952C62" w:rsidRDefault="00E75BC2" w:rsidP="00E75BC2">
      <w:pPr>
        <w:pStyle w:val="NormalHanging12a"/>
      </w:pPr>
      <w:r w:rsidRPr="00952C62">
        <w:t>–</w:t>
      </w:r>
      <w:r w:rsidRPr="00952C62">
        <w:tab/>
        <w:t>ņemot vērā nostāju attiecībā uz budžeta grozījuma Nr. 1/2025 projektu, ko Padome pieņēma 2025. gada 16. jūnijā un nosūtīja Eiropas Parlamentam 2025. gada 18. jūnijā (09619/2025 – C10-0125/2025),</w:t>
      </w:r>
    </w:p>
    <w:p w14:paraId="18F0A2ED" w14:textId="77777777" w:rsidR="00E75BC2" w:rsidRPr="00952C62" w:rsidRDefault="00E75BC2" w:rsidP="00E75BC2">
      <w:pPr>
        <w:pStyle w:val="NormalHanging12a"/>
      </w:pPr>
      <w:r w:rsidRPr="00952C62">
        <w:t>–</w:t>
      </w:r>
      <w:r w:rsidRPr="00952C62">
        <w:tab/>
        <w:t>ņemot vērā Reglamenta 96. un 98. pantu,</w:t>
      </w:r>
    </w:p>
    <w:p w14:paraId="62A70CA0" w14:textId="77777777" w:rsidR="00E75BC2" w:rsidRPr="00952C62" w:rsidRDefault="00E75BC2" w:rsidP="00E75BC2">
      <w:pPr>
        <w:pStyle w:val="NormalHanging12a"/>
      </w:pPr>
      <w:r w:rsidRPr="00952C62">
        <w:t>–</w:t>
      </w:r>
      <w:r w:rsidRPr="00952C62">
        <w:tab/>
        <w:t>ņemot vērā Budžeta komitejas ziņojumu (A10-0116/2025),</w:t>
      </w:r>
    </w:p>
    <w:p w14:paraId="3D9C4E9C" w14:textId="77777777" w:rsidR="00E75BC2" w:rsidRPr="00952C62" w:rsidRDefault="00E75BC2" w:rsidP="00E75BC2">
      <w:pPr>
        <w:pStyle w:val="NormalHanging12a"/>
      </w:pPr>
      <w:r w:rsidRPr="00952C62">
        <w:t>A.</w:t>
      </w:r>
      <w:r w:rsidRPr="00952C62">
        <w:tab/>
      </w:r>
      <w:r w:rsidRPr="00952C62">
        <w:rPr>
          <w:color w:val="000000"/>
        </w:rPr>
        <w:t>tā kā budžeta grozījuma Nr. 1/2025 projekta mērķis ir 2025. gada budžetā iekļaut 1345 miljonu EUR lielo pārpalikumu, kas radies 2024. finanšu gada budžeta izpildē;</w:t>
      </w:r>
    </w:p>
    <w:p w14:paraId="30809382" w14:textId="77777777" w:rsidR="00E75BC2" w:rsidRPr="00952C62" w:rsidRDefault="00E75BC2" w:rsidP="00E75BC2">
      <w:pPr>
        <w:pStyle w:val="NormalHanging12a"/>
      </w:pPr>
      <w:r w:rsidRPr="00952C62">
        <w:t>B.</w:t>
      </w:r>
      <w:r w:rsidRPr="00952C62">
        <w:tab/>
      </w:r>
      <w:r w:rsidRPr="00952C62">
        <w:rPr>
          <w:color w:val="000000"/>
        </w:rPr>
        <w:t>tā kā minēto pārpalikumu galvenokārt veido pozitīvs budžeta izpildes rezultāts ieņēmumu daļā — 1072 miljoni EUR — un neizlietoti līdzekļi izdevumu daļā 272,5 miljonu EUR apmērā;</w:t>
      </w:r>
    </w:p>
    <w:p w14:paraId="4FA7BE17" w14:textId="77777777" w:rsidR="00E75BC2" w:rsidRPr="00952C62" w:rsidRDefault="00E75BC2" w:rsidP="00E75BC2">
      <w:pPr>
        <w:pStyle w:val="NormalHanging12a"/>
      </w:pPr>
      <w:r w:rsidRPr="00952C62">
        <w:t>C.</w:t>
      </w:r>
      <w:r w:rsidRPr="00952C62">
        <w:tab/>
      </w:r>
      <w:r w:rsidRPr="00952C62">
        <w:rPr>
          <w:color w:val="000000"/>
        </w:rPr>
        <w:t>tā kā ieņēmumu daļā galvenais pārpalikuma apmēra veidošanās iemesls ir 1211 miljoni EUR, ko rada finanšu ieņēmumi, kavējuma procenti un naudas sodi; tā kā pašu resursu izlietojums 1. sadaļā joprojām ir ļoti tuvs 2024. gada budžetā paredzētajām summām (ieskaitot budžeta grozījumus Nr. 1–5);</w:t>
      </w:r>
    </w:p>
    <w:p w14:paraId="7134465A" w14:textId="77777777" w:rsidR="00E75BC2" w:rsidRPr="00952C62" w:rsidRDefault="00E75BC2" w:rsidP="00E75BC2">
      <w:pPr>
        <w:pStyle w:val="NormalHanging12a"/>
      </w:pPr>
      <w:r w:rsidRPr="00952C62">
        <w:t>D.</w:t>
      </w:r>
      <w:r w:rsidRPr="00952C62">
        <w:tab/>
      </w:r>
      <w:r w:rsidRPr="00952C62">
        <w:rPr>
          <w:color w:val="000000"/>
        </w:rPr>
        <w:t>tā kā attiecībā uz izdevumiem visu iestāžu maksājumu apropriāciju nepilnīga izpilde, tostarp pārnesto apropriāciju atcelšana, kopumā sasniedza 273 miljonus EUR (t. i., 0,02 % no apstiprinātajām maksājumu apropriācijām),</w:t>
      </w:r>
    </w:p>
    <w:p w14:paraId="7D7BEE44" w14:textId="77777777" w:rsidR="00E75BC2" w:rsidRPr="00952C62" w:rsidRDefault="00E75BC2" w:rsidP="00E75BC2">
      <w:pPr>
        <w:pStyle w:val="NormalHanging12a"/>
        <w:ind w:hanging="570"/>
      </w:pPr>
      <w:r w:rsidRPr="00952C62">
        <w:t>1.</w:t>
      </w:r>
      <w:r w:rsidRPr="00952C62">
        <w:tab/>
      </w:r>
      <w:r w:rsidRPr="00952C62">
        <w:rPr>
          <w:color w:val="000000"/>
        </w:rPr>
        <w:t>pieņem zināšanai budžeta grozījuma Nr. 1/2025 projektu, ko Komisija iesniegusi saskaņā ar Finanšu regulas 18. panta 3. punktu un kas attiecas uz 2024. gada budžeta pārpalikumu 1345 miljonu EUR apmērā;</w:t>
      </w:r>
      <w:sdt>
        <w:sdtPr>
          <w:tag w:val="goog_rdk_0"/>
          <w:id w:val="1937094721"/>
        </w:sdtPr>
        <w:sdtEndPr/>
        <w:sdtContent/>
      </w:sdt>
    </w:p>
    <w:p w14:paraId="1670A569" w14:textId="77777777" w:rsidR="00E75BC2" w:rsidRPr="00952C62" w:rsidRDefault="00E75BC2" w:rsidP="00E75BC2">
      <w:pPr>
        <w:pStyle w:val="NormalHanging12a"/>
        <w:ind w:hanging="570"/>
      </w:pPr>
      <w:r w:rsidRPr="00952C62">
        <w:t>2.</w:t>
      </w:r>
      <w:r w:rsidRPr="00952C62">
        <w:tab/>
      </w:r>
      <w:r w:rsidRPr="00952C62">
        <w:rPr>
          <w:color w:val="000000"/>
        </w:rPr>
        <w:t xml:space="preserve">atzinīgi vērtē to, ka 2024. gada pārpalikums veidojies galvenokārt saistībā ar izmaiņām 4. sadaļā (Finanšu ieņēmumi, kavējuma procenti un naudas sodi), savukārt izdevumu pārpalikums joprojām ir ļoti pieticīgs — 273 miljoni EUR; </w:t>
      </w:r>
    </w:p>
    <w:p w14:paraId="7A86669C" w14:textId="77777777" w:rsidR="00E75BC2" w:rsidRPr="00952C62" w:rsidRDefault="00E75BC2" w:rsidP="00E75BC2">
      <w:pPr>
        <w:spacing w:after="240"/>
        <w:ind w:left="567" w:hanging="567"/>
        <w:rPr>
          <w:color w:val="000000"/>
        </w:rPr>
      </w:pPr>
      <w:r w:rsidRPr="00952C62">
        <w:rPr>
          <w:color w:val="000000"/>
        </w:rPr>
        <w:t>3.</w:t>
      </w:r>
      <w:r w:rsidRPr="00952C62">
        <w:rPr>
          <w:color w:val="000000"/>
        </w:rPr>
        <w:tab/>
        <w:t xml:space="preserve">pauž nožēlu par to, ka, iekļaujot pārpalikumu budžetā, tiek proporcionāli samazināta dalībvalstu kopējo NKI pašu resursu iemaksa 2025. gada budžeta finansēšanā; uzsver, ka laikā, kad finansējuma vajadzības joprojām ir lielas, jo īpaši attiecībā uz Eiropas Savienības Atveseļošanas instrumenta pārsniegšanas izmaksām, un manevrēšanas iespējas Savienības budžetā joprojām ir ļoti ierobežotas, budžetā būtu jāsaglabā pietiekams elastības līmenis, lai Savienība varētu tikt galā ar neparedzētiem notikumiem un jaunām prioritātēm; uzsver, ka Savienības budžeta elastība ir viens no galvenajiem jautājumiem, kas jārisina sarunās par daudzgadu finanšu shēmu laikposmam pēc 2027. gada; </w:t>
      </w:r>
    </w:p>
    <w:p w14:paraId="111B7B17" w14:textId="77777777" w:rsidR="00E75BC2" w:rsidRPr="00952C62" w:rsidRDefault="00E75BC2" w:rsidP="00E75BC2">
      <w:pPr>
        <w:spacing w:after="240"/>
        <w:ind w:left="567" w:hanging="567"/>
        <w:rPr>
          <w:color w:val="000000"/>
        </w:rPr>
      </w:pPr>
      <w:r w:rsidRPr="00952C62">
        <w:rPr>
          <w:color w:val="000000"/>
        </w:rPr>
        <w:t>4.</w:t>
      </w:r>
      <w:r w:rsidRPr="00952C62">
        <w:rPr>
          <w:color w:val="000000"/>
        </w:rPr>
        <w:tab/>
      </w:r>
      <w:r w:rsidRPr="00952C62">
        <w:t xml:space="preserve">turklāt aicina Komisiju nākamās daudzgadu finanšu shēmas vajadzībām izstrādāt stabilu un noturīgu struktūru, kas ļautu ilgtspējīgi pārvaldīt visas nediskrecionārās izmaksas un </w:t>
      </w:r>
      <w:r w:rsidRPr="00952C62">
        <w:lastRenderedPageBreak/>
        <w:t>saistības, pilnībā saglabājot Savienības programmas, budžeta elastību un reaģēšanas spējas, jo īpaši attiecībā uz dabas katastrofām un ārkārtas situācijām veselības jomā, lai pilnībā īstenotu Savienības sagatavotības stratēģiju;</w:t>
      </w:r>
      <w:r w:rsidRPr="00952C62">
        <w:rPr>
          <w:color w:val="000000"/>
        </w:rPr>
        <w:t xml:space="preserve"> </w:t>
      </w:r>
    </w:p>
    <w:p w14:paraId="664DE41D" w14:textId="77777777" w:rsidR="00E75BC2" w:rsidRPr="00952C62" w:rsidRDefault="00E75BC2" w:rsidP="00E75BC2">
      <w:pPr>
        <w:pStyle w:val="NormalHanging12a"/>
      </w:pPr>
      <w:r w:rsidRPr="00952C62">
        <w:t>5.</w:t>
      </w:r>
      <w:r w:rsidRPr="00952C62">
        <w:tab/>
      </w:r>
      <w:r w:rsidRPr="00952C62">
        <w:rPr>
          <w:color w:val="000000"/>
        </w:rPr>
        <w:t>atgādina par savu jau izsenis pausto nostāju, ka neparedzēti ieņēmumi, kas izriet no naudas sodiem un maksām vai līdzvērtīgām to summām, būtu jāizmanto kā Savienības budžeta papildu ieņēmumi reaģēšanai krīzes situācijās vai neparedzētām vajadzībām un tiem nevajadzētu izraisīt attiecīgu uz NKI balstīto iemaksu samazinājumu;</w:t>
      </w:r>
    </w:p>
    <w:p w14:paraId="553526AB" w14:textId="77777777" w:rsidR="00E75BC2" w:rsidRPr="00952C62" w:rsidRDefault="00E75BC2" w:rsidP="00E75BC2">
      <w:pPr>
        <w:pStyle w:val="NormalHanging12a"/>
        <w:ind w:hanging="570"/>
      </w:pPr>
      <w:r w:rsidRPr="00952C62">
        <w:t>6.</w:t>
      </w:r>
      <w:r w:rsidRPr="00952C62">
        <w:tab/>
        <w:t xml:space="preserve">pieņem zināšanai jaunajā 425. pantā ieļauto negatīvo ienākumu posteni, kura summa ir 534 miljoni EUR, un atzinīgi vērtē šo metodi, saskaņā ar kuru budžetā tiek iekļautas izmaksas, kas izriet no maksājumiem, kuri veikti saskaņā ar izlīguma nolīgumu, kas ietver kompensācijas procentus un kavējumu procentu kompensāciju saistībā ar to, ka saskaņā ar attiecīgajiem Tiesas spriedumiem ir atcelts vai samazināts naudas sods par konkurenci; atgādina, ka Parlaments sarunās par Finanšu regulas pārstrādāšanu uzstāja uz šīs pieejas piemērošanu, jo alternatīvais risinājums būtu papildu izdevumu apropriācijas jau tā pārslogotajā 7. izdevumu kategorijā; atgādina, ka šī risinājuma spēkā esamības termiņš beidzas 2027. gada 31. decembrī; aicina Komisiju ierosināt galīgu risinājumu nākamajā </w:t>
      </w:r>
      <w:r w:rsidR="007C084B" w:rsidRPr="00952C62">
        <w:t>d</w:t>
      </w:r>
      <w:r w:rsidR="00094A38" w:rsidRPr="00952C62">
        <w:t>audzgadu finanšu shēmā</w:t>
      </w:r>
      <w:r w:rsidRPr="00952C62">
        <w:t>, lai sasniegtu to pašu mērķi — izvairīties no jebkādas ietekmes uz budžeta izdevumu daļu;</w:t>
      </w:r>
    </w:p>
    <w:p w14:paraId="73194ACE" w14:textId="77777777" w:rsidR="00E75BC2" w:rsidRPr="00952C62" w:rsidRDefault="00E75BC2" w:rsidP="00E75BC2">
      <w:pPr>
        <w:pStyle w:val="NormalHanging12a"/>
        <w:ind w:hanging="570"/>
        <w:rPr>
          <w:color w:val="000000"/>
        </w:rPr>
      </w:pPr>
      <w:r w:rsidRPr="00952C62">
        <w:t>7.</w:t>
      </w:r>
      <w:r w:rsidRPr="00952C62">
        <w:tab/>
      </w:r>
      <w:r w:rsidRPr="00952C62">
        <w:rPr>
          <w:color w:val="000000"/>
        </w:rPr>
        <w:t xml:space="preserve">uzsver, ka Savienības budžetam ir vajadzīgi ilgtspējīgi ieņēmumi; </w:t>
      </w:r>
      <w:r w:rsidRPr="00952C62">
        <w:t>tāpēc pauž nožēlu par to, ka Padomē nav panākts pilnīgi nekāds progress attiecībā uz pašu resursu sistēmas reformu, ievērojot 2020. gada 16. decembra Iestāžu nolīgumā paredzētā juridiski saistošā ceļveža garu;</w:t>
      </w:r>
      <w:r w:rsidRPr="00952C62">
        <w:rPr>
          <w:color w:val="1E1E1F"/>
        </w:rPr>
        <w:t xml:space="preserve"> </w:t>
      </w:r>
      <w:r w:rsidRPr="00952C62">
        <w:t>atgādina par savu nostāju, ar kuru tiek pausts atbalsts grozītajiem Komisijas priekšlikumiem, un mudina Padomi steidzami pieņemt šos priekšlikumus, lai dažādotu un konsolidētu Savienības budžetā pieejamos pašu resursus;</w:t>
      </w:r>
    </w:p>
    <w:p w14:paraId="2C57B520" w14:textId="77777777" w:rsidR="00E75BC2" w:rsidRPr="00952C62" w:rsidRDefault="00E75BC2" w:rsidP="00E75BC2">
      <w:pPr>
        <w:pStyle w:val="NormalHanging12a"/>
        <w:ind w:hanging="570"/>
        <w:rPr>
          <w:color w:val="000000"/>
        </w:rPr>
      </w:pPr>
      <w:r w:rsidRPr="00952C62">
        <w:t>8.</w:t>
      </w:r>
      <w:r w:rsidRPr="00952C62">
        <w:tab/>
        <w:t>turklāt aicina Komisiju turpināt centienus apzināt inovatīvus un patiesi jaunus pašu resursus un citus ieņēmumu avotus papildus tiem, kas noteikti 2020. gada 16. decembra Iestāžu nolīgumā; uzsver, ka jauni pašu resursi ir būtiski ne tikai tāpēc, lai varētu atmaksāt Eiropas Savienības Atveseļošanas instrumenta satvarā veiktos aizņēmumus, bet arī lai nodrošinātu, ka Savienība ir spējīga segt savas lielākās izdevumu vajadzības, jo īpaši saistībā ar daudzajām problēmām, ar kurām pašlaik saskaras ES, tostarp jauno ģeopolitisko kontekstu; uzskata, ka visām jaunajām Savienības politikas jomām un uzdevumiem ir vajadzīgi jauni finanšu līdzekļi un jauni papildu resursi;</w:t>
      </w:r>
    </w:p>
    <w:p w14:paraId="3BCC62DE" w14:textId="77777777" w:rsidR="00E75BC2" w:rsidRPr="00952C62" w:rsidRDefault="00E75BC2" w:rsidP="00E75BC2">
      <w:pPr>
        <w:pStyle w:val="NormalHanging12a"/>
        <w:ind w:hanging="570"/>
      </w:pPr>
      <w:r w:rsidRPr="00952C62">
        <w:t>9.</w:t>
      </w:r>
      <w:r w:rsidRPr="00952C62">
        <w:tab/>
        <w:t>apstiprina Padomes nostāju attiecībā uz budžeta grozījuma Nr. 1/2025 projektu;</w:t>
      </w:r>
    </w:p>
    <w:p w14:paraId="2AF9BB1D" w14:textId="77777777" w:rsidR="00E75BC2" w:rsidRPr="00952C62" w:rsidRDefault="00E75BC2" w:rsidP="00E75BC2">
      <w:pPr>
        <w:pStyle w:val="NormalHanging12a"/>
        <w:ind w:hanging="570"/>
      </w:pPr>
      <w:r w:rsidRPr="00952C62">
        <w:t>10.</w:t>
      </w:r>
      <w:r w:rsidRPr="00952C62">
        <w:tab/>
        <w:t xml:space="preserve">uzdod priekšsēdētājai paziņot, ka budžeta grozījums Nr. 1/2025 ir pieņemts galīgajā variantā, kā arī nodrošināt tā publicēšanu </w:t>
      </w:r>
      <w:r w:rsidRPr="00952C62">
        <w:rPr>
          <w:i/>
          <w:iCs/>
        </w:rPr>
        <w:t>Eiropas Savienības Oficiālajā Vēstnesī</w:t>
      </w:r>
      <w:r w:rsidRPr="00952C62">
        <w:t>;</w:t>
      </w:r>
    </w:p>
    <w:p w14:paraId="498C008E" w14:textId="77777777" w:rsidR="003713F9" w:rsidRPr="00952C62" w:rsidRDefault="00E75BC2" w:rsidP="003713F9">
      <w:pPr>
        <w:pStyle w:val="NormalHanging12a"/>
        <w:ind w:hanging="570"/>
      </w:pPr>
      <w:r w:rsidRPr="00952C62">
        <w:t>11.</w:t>
      </w:r>
      <w:r w:rsidRPr="00952C62">
        <w:tab/>
        <w:t>uzdod priekšsēdētājai šo rezolūciju nosūtīt Padomei, Komisijai, kā arī pārējām attiecīgajām iestādēm un struktūrām un dalībvalstu parlamentiem.</w:t>
      </w:r>
    </w:p>
    <w:p w14:paraId="1AFE2A32" w14:textId="77777777" w:rsidR="00E365E1" w:rsidRPr="00952C62" w:rsidRDefault="00E365E1" w:rsidP="00240084"/>
    <w:sectPr w:rsidR="00E365E1" w:rsidRPr="00952C62" w:rsidSect="003713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18810" w14:textId="77777777" w:rsidR="00240084" w:rsidRPr="003713F9" w:rsidRDefault="00240084">
      <w:r w:rsidRPr="003713F9">
        <w:separator/>
      </w:r>
    </w:p>
  </w:endnote>
  <w:endnote w:type="continuationSeparator" w:id="0">
    <w:p w14:paraId="5D678568" w14:textId="77777777" w:rsidR="00240084" w:rsidRPr="003713F9" w:rsidRDefault="00240084">
      <w:r w:rsidRPr="00371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0A856" w14:textId="77777777" w:rsidR="00064002" w:rsidRPr="003713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919D" w14:textId="77777777" w:rsidR="00064002" w:rsidRPr="003713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F0441" w14:textId="77777777" w:rsidR="00064002" w:rsidRPr="003713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E1DD" w14:textId="77777777" w:rsidR="00240084" w:rsidRPr="003713F9" w:rsidRDefault="00240084">
      <w:r w:rsidRPr="003713F9">
        <w:separator/>
      </w:r>
    </w:p>
  </w:footnote>
  <w:footnote w:type="continuationSeparator" w:id="0">
    <w:p w14:paraId="43E9ADF6" w14:textId="77777777" w:rsidR="00240084" w:rsidRPr="003713F9" w:rsidRDefault="00240084">
      <w:r w:rsidRPr="003713F9">
        <w:continuationSeparator/>
      </w:r>
    </w:p>
  </w:footnote>
  <w:footnote w:id="1">
    <w:p w14:paraId="1DD4DD22" w14:textId="77777777" w:rsidR="00E75BC2" w:rsidRPr="003713F9" w:rsidRDefault="00E75BC2" w:rsidP="003713F9">
      <w:pPr>
        <w:pStyle w:val="FootnoteText"/>
        <w:ind w:left="567" w:hanging="567"/>
        <w:rPr>
          <w:sz w:val="24"/>
          <w:lang w:val="lv-LV"/>
        </w:rPr>
      </w:pPr>
      <w:r w:rsidRPr="003713F9">
        <w:rPr>
          <w:rStyle w:val="FootnoteReference"/>
          <w:sz w:val="24"/>
          <w:lang w:val="lv-LV"/>
        </w:rPr>
        <w:footnoteRef/>
      </w:r>
      <w:r w:rsidR="003713F9" w:rsidRPr="003713F9">
        <w:rPr>
          <w:sz w:val="24"/>
          <w:lang w:val="lv-LV"/>
        </w:rPr>
        <w:t xml:space="preserve"> </w:t>
      </w:r>
      <w:r w:rsidR="003713F9" w:rsidRPr="003713F9">
        <w:rPr>
          <w:sz w:val="24"/>
          <w:lang w:val="lv-LV"/>
        </w:rPr>
        <w:tab/>
      </w:r>
      <w:r w:rsidRPr="003713F9">
        <w:rPr>
          <w:sz w:val="24"/>
          <w:lang w:val="lv-LV"/>
        </w:rPr>
        <w:t xml:space="preserve">OV L, 2024/2509, 26.9.2024., </w:t>
      </w:r>
      <w:hyperlink r:id="rId1" w:history="1">
        <w:r w:rsidRPr="003713F9">
          <w:rPr>
            <w:rStyle w:val="Hyperlink"/>
            <w:sz w:val="24"/>
            <w:lang w:val="lv-LV"/>
          </w:rPr>
          <w:t>http://data.europa.eu/eli/reg/2024/2509/oj.</w:t>
        </w:r>
      </w:hyperlink>
    </w:p>
  </w:footnote>
  <w:footnote w:id="2">
    <w:p w14:paraId="0A3430DB" w14:textId="77777777" w:rsidR="00E75BC2" w:rsidRPr="003713F9" w:rsidRDefault="00E75BC2" w:rsidP="003713F9">
      <w:pPr>
        <w:pStyle w:val="FootnoteText"/>
        <w:ind w:left="567" w:hanging="567"/>
        <w:rPr>
          <w:sz w:val="24"/>
          <w:lang w:val="lv-LV"/>
        </w:rPr>
      </w:pPr>
      <w:r w:rsidRPr="003713F9">
        <w:rPr>
          <w:rStyle w:val="FootnoteReference"/>
          <w:sz w:val="24"/>
          <w:lang w:val="lv-LV"/>
        </w:rPr>
        <w:footnoteRef/>
      </w:r>
      <w:r w:rsidR="003713F9" w:rsidRPr="003713F9">
        <w:rPr>
          <w:sz w:val="24"/>
          <w:lang w:val="lv-LV"/>
        </w:rPr>
        <w:t xml:space="preserve"> </w:t>
      </w:r>
      <w:r w:rsidR="003713F9" w:rsidRPr="003713F9">
        <w:rPr>
          <w:sz w:val="24"/>
          <w:lang w:val="lv-LV"/>
        </w:rPr>
        <w:tab/>
      </w:r>
      <w:r w:rsidRPr="003713F9">
        <w:rPr>
          <w:sz w:val="24"/>
          <w:lang w:val="lv-LV"/>
        </w:rPr>
        <w:t>OV L, 2025/31, 27.2.2025.,</w:t>
      </w:r>
      <w:hyperlink r:id="rId2" w:history="1">
        <w:r w:rsidRPr="003713F9">
          <w:rPr>
            <w:rStyle w:val="Hyperlink"/>
            <w:sz w:val="24"/>
            <w:lang w:val="lv-LV"/>
          </w:rPr>
          <w:t xml:space="preserve"> http://data.europa.eu/eli/budget/2025/31/oj</w:t>
        </w:r>
      </w:hyperlink>
      <w:r w:rsidRPr="003713F9">
        <w:rPr>
          <w:rStyle w:val="Hyperlink"/>
          <w:sz w:val="24"/>
          <w:lang w:val="lv-LV"/>
        </w:rPr>
        <w:t>,</w:t>
      </w:r>
    </w:p>
  </w:footnote>
  <w:footnote w:id="3">
    <w:p w14:paraId="0F42EA53" w14:textId="77777777" w:rsidR="00E75BC2" w:rsidRPr="003713F9" w:rsidRDefault="00E75BC2" w:rsidP="003713F9">
      <w:pPr>
        <w:pStyle w:val="FootnoteText"/>
        <w:ind w:left="567" w:hanging="567"/>
        <w:rPr>
          <w:sz w:val="24"/>
          <w:lang w:val="lv-LV"/>
        </w:rPr>
      </w:pPr>
      <w:r w:rsidRPr="003713F9">
        <w:rPr>
          <w:rStyle w:val="FootnoteReference"/>
          <w:sz w:val="24"/>
          <w:lang w:val="lv-LV"/>
        </w:rPr>
        <w:footnoteRef/>
      </w:r>
      <w:r w:rsidR="003713F9" w:rsidRPr="003713F9">
        <w:rPr>
          <w:sz w:val="24"/>
          <w:lang w:val="lv-LV"/>
        </w:rPr>
        <w:t xml:space="preserve"> </w:t>
      </w:r>
      <w:r w:rsidR="003713F9" w:rsidRPr="003713F9">
        <w:rPr>
          <w:sz w:val="24"/>
          <w:lang w:val="lv-LV"/>
        </w:rPr>
        <w:tab/>
      </w:r>
      <w:r w:rsidRPr="003713F9">
        <w:rPr>
          <w:sz w:val="24"/>
          <w:lang w:val="lv-LV"/>
        </w:rPr>
        <w:t xml:space="preserve">OV L 433 I, 22.12.2020., 11. lpp., ELI: </w:t>
      </w:r>
      <w:hyperlink r:id="rId3" w:history="1">
        <w:r w:rsidRPr="003713F9">
          <w:rPr>
            <w:rStyle w:val="Hyperlink"/>
            <w:sz w:val="24"/>
            <w:lang w:val="lv-LV"/>
          </w:rPr>
          <w:t>http://data.europa.eu/eli/reg/2020/2093/oj</w:t>
        </w:r>
      </w:hyperlink>
      <w:r w:rsidRPr="003713F9">
        <w:rPr>
          <w:sz w:val="24"/>
          <w:lang w:val="lv-LV"/>
        </w:rPr>
        <w:t>.</w:t>
      </w:r>
    </w:p>
  </w:footnote>
  <w:footnote w:id="4">
    <w:p w14:paraId="15241E70" w14:textId="77777777" w:rsidR="00E75BC2" w:rsidRPr="003713F9" w:rsidRDefault="00E75BC2" w:rsidP="003713F9">
      <w:pPr>
        <w:pStyle w:val="FootnoteText"/>
        <w:ind w:left="567" w:hanging="567"/>
        <w:rPr>
          <w:sz w:val="24"/>
          <w:lang w:val="lv-LV"/>
        </w:rPr>
      </w:pPr>
      <w:r w:rsidRPr="003713F9">
        <w:rPr>
          <w:rStyle w:val="FootnoteReference"/>
          <w:sz w:val="24"/>
          <w:lang w:val="lv-LV"/>
        </w:rPr>
        <w:footnoteRef/>
      </w:r>
      <w:r w:rsidR="003713F9" w:rsidRPr="003713F9">
        <w:rPr>
          <w:sz w:val="24"/>
          <w:lang w:val="lv-LV"/>
        </w:rPr>
        <w:t xml:space="preserve"> </w:t>
      </w:r>
      <w:r w:rsidR="003713F9" w:rsidRPr="003713F9">
        <w:rPr>
          <w:sz w:val="24"/>
          <w:lang w:val="lv-LV"/>
        </w:rPr>
        <w:tab/>
      </w:r>
      <w:r w:rsidRPr="003713F9">
        <w:rPr>
          <w:sz w:val="24"/>
          <w:lang w:val="lv-LV"/>
        </w:rPr>
        <w:t xml:space="preserve">OV L 433 I, 22.12.2020., 28. lpp., ELI: </w:t>
      </w:r>
      <w:hyperlink r:id="rId4" w:history="1">
        <w:r w:rsidRPr="003713F9">
          <w:rPr>
            <w:rStyle w:val="Hyperlink"/>
            <w:sz w:val="24"/>
            <w:lang w:val="lv-LV"/>
          </w:rPr>
          <w:t>http://data.europa.eu/eli/agree_interinstit/2020/1222/oj</w:t>
        </w:r>
      </w:hyperlink>
      <w:r w:rsidRPr="003713F9">
        <w:rPr>
          <w:rStyle w:val="Hyperlink"/>
          <w:sz w:val="24"/>
          <w:lang w:val="lv-LV"/>
        </w:rPr>
        <w:t>.</w:t>
      </w:r>
    </w:p>
  </w:footnote>
  <w:footnote w:id="5">
    <w:p w14:paraId="25B06F94" w14:textId="77777777" w:rsidR="00E75BC2" w:rsidRPr="003713F9" w:rsidRDefault="00E75BC2" w:rsidP="003713F9">
      <w:pPr>
        <w:pStyle w:val="FootnoteText"/>
        <w:ind w:left="567" w:hanging="567"/>
        <w:rPr>
          <w:sz w:val="24"/>
          <w:lang w:val="lv-LV"/>
        </w:rPr>
      </w:pPr>
      <w:r w:rsidRPr="003713F9">
        <w:rPr>
          <w:rStyle w:val="FootnoteReference"/>
          <w:sz w:val="24"/>
          <w:lang w:val="lv-LV"/>
        </w:rPr>
        <w:footnoteRef/>
      </w:r>
      <w:r w:rsidR="003713F9" w:rsidRPr="003713F9">
        <w:rPr>
          <w:sz w:val="24"/>
          <w:lang w:val="lv-LV"/>
        </w:rPr>
        <w:t xml:space="preserve"> </w:t>
      </w:r>
      <w:r w:rsidR="003713F9" w:rsidRPr="003713F9">
        <w:rPr>
          <w:sz w:val="24"/>
          <w:lang w:val="lv-LV"/>
        </w:rPr>
        <w:tab/>
      </w:r>
      <w:r w:rsidRPr="003713F9">
        <w:rPr>
          <w:sz w:val="24"/>
          <w:lang w:val="lv-LV"/>
        </w:rPr>
        <w:t xml:space="preserve">OV L 424, 15.12.2020., 1. lpp., ELI: </w:t>
      </w:r>
      <w:hyperlink r:id="rId5" w:history="1">
        <w:r w:rsidRPr="003713F9">
          <w:rPr>
            <w:rStyle w:val="Hyperlink"/>
            <w:sz w:val="24"/>
            <w:lang w:val="lv-LV"/>
          </w:rPr>
          <w:t>http://data.europa.eu/eli/dec/2020/2053/oj</w:t>
        </w:r>
      </w:hyperlink>
      <w:r w:rsidRPr="003713F9">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F69E" w14:textId="77777777" w:rsidR="00064002" w:rsidRPr="003713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A01C" w14:textId="77777777" w:rsidR="00064002" w:rsidRPr="003713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EE68" w14:textId="77777777" w:rsidR="00064002" w:rsidRPr="003713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1257325">
    <w:abstractNumId w:val="9"/>
  </w:num>
  <w:num w:numId="2" w16cid:durableId="167332811">
    <w:abstractNumId w:val="9"/>
  </w:num>
  <w:num w:numId="3" w16cid:durableId="1664356799">
    <w:abstractNumId w:val="7"/>
  </w:num>
  <w:num w:numId="4" w16cid:durableId="1943679693">
    <w:abstractNumId w:val="7"/>
  </w:num>
  <w:num w:numId="5" w16cid:durableId="810442545">
    <w:abstractNumId w:val="6"/>
  </w:num>
  <w:num w:numId="6" w16cid:durableId="1023553666">
    <w:abstractNumId w:val="6"/>
  </w:num>
  <w:num w:numId="7" w16cid:durableId="232858920">
    <w:abstractNumId w:val="5"/>
  </w:num>
  <w:num w:numId="8" w16cid:durableId="1794516993">
    <w:abstractNumId w:val="5"/>
  </w:num>
  <w:num w:numId="9" w16cid:durableId="1553273942">
    <w:abstractNumId w:val="4"/>
  </w:num>
  <w:num w:numId="10" w16cid:durableId="305010944">
    <w:abstractNumId w:val="4"/>
  </w:num>
  <w:num w:numId="11" w16cid:durableId="826437388">
    <w:abstractNumId w:val="8"/>
  </w:num>
  <w:num w:numId="12" w16cid:durableId="1158884913">
    <w:abstractNumId w:val="8"/>
  </w:num>
  <w:num w:numId="13" w16cid:durableId="2104258569">
    <w:abstractNumId w:val="3"/>
  </w:num>
  <w:num w:numId="14" w16cid:durableId="1378819506">
    <w:abstractNumId w:val="3"/>
  </w:num>
  <w:num w:numId="15" w16cid:durableId="1249577224">
    <w:abstractNumId w:val="2"/>
  </w:num>
  <w:num w:numId="16" w16cid:durableId="355624588">
    <w:abstractNumId w:val="2"/>
  </w:num>
  <w:num w:numId="17" w16cid:durableId="2069917192">
    <w:abstractNumId w:val="1"/>
  </w:num>
  <w:num w:numId="18" w16cid:durableId="707489248">
    <w:abstractNumId w:val="1"/>
  </w:num>
  <w:num w:numId="19" w16cid:durableId="827986543">
    <w:abstractNumId w:val="0"/>
  </w:num>
  <w:num w:numId="20" w16cid:durableId="2031760284">
    <w:abstractNumId w:val="0"/>
  </w:num>
  <w:num w:numId="21" w16cid:durableId="183054885">
    <w:abstractNumId w:val="9"/>
  </w:num>
  <w:num w:numId="22" w16cid:durableId="1485118683">
    <w:abstractNumId w:val="7"/>
  </w:num>
  <w:num w:numId="23" w16cid:durableId="256790539">
    <w:abstractNumId w:val="6"/>
  </w:num>
  <w:num w:numId="24" w16cid:durableId="17901170">
    <w:abstractNumId w:val="5"/>
  </w:num>
  <w:num w:numId="25" w16cid:durableId="1334378969">
    <w:abstractNumId w:val="4"/>
  </w:num>
  <w:num w:numId="26" w16cid:durableId="1854107701">
    <w:abstractNumId w:val="8"/>
  </w:num>
  <w:num w:numId="27" w16cid:durableId="191772872">
    <w:abstractNumId w:val="3"/>
  </w:num>
  <w:num w:numId="28" w16cid:durableId="1771393835">
    <w:abstractNumId w:val="2"/>
  </w:num>
  <w:num w:numId="29" w16cid:durableId="48695870">
    <w:abstractNumId w:val="1"/>
  </w:num>
  <w:num w:numId="30" w16cid:durableId="1470131787">
    <w:abstractNumId w:val="0"/>
  </w:num>
  <w:num w:numId="31" w16cid:durableId="262303839">
    <w:abstractNumId w:val="9"/>
  </w:num>
  <w:num w:numId="32" w16cid:durableId="959192118">
    <w:abstractNumId w:val="7"/>
  </w:num>
  <w:num w:numId="33" w16cid:durableId="1253395685">
    <w:abstractNumId w:val="6"/>
  </w:num>
  <w:num w:numId="34" w16cid:durableId="377633697">
    <w:abstractNumId w:val="5"/>
  </w:num>
  <w:num w:numId="35" w16cid:durableId="219175046">
    <w:abstractNumId w:val="4"/>
  </w:num>
  <w:num w:numId="36" w16cid:durableId="1192380241">
    <w:abstractNumId w:val="8"/>
  </w:num>
  <w:num w:numId="37" w16cid:durableId="1818260703">
    <w:abstractNumId w:val="3"/>
  </w:num>
  <w:num w:numId="38" w16cid:durableId="459081766">
    <w:abstractNumId w:val="2"/>
  </w:num>
  <w:num w:numId="39" w16cid:durableId="744496893">
    <w:abstractNumId w:val="1"/>
  </w:num>
  <w:num w:numId="40" w16cid:durableId="880282444">
    <w:abstractNumId w:val="0"/>
  </w:num>
  <w:num w:numId="41" w16cid:durableId="872353274">
    <w:abstractNumId w:val="10"/>
  </w:num>
  <w:num w:numId="42" w16cid:durableId="1717005466">
    <w:abstractNumId w:val="10"/>
  </w:num>
  <w:num w:numId="43" w16cid:durableId="545069237">
    <w:abstractNumId w:val="10"/>
  </w:num>
  <w:num w:numId="44" w16cid:durableId="1442528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LV"/>
    <w:docVar w:name="dvnumam" w:val="0"/>
    <w:docVar w:name="dvpe" w:val="773.098"/>
    <w:docVar w:name="dvrapporteur" w:val="Referents: "/>
    <w:docVar w:name="dvtitre" w:val="Eiropas Parlamenta 2025. gada XX. XXX  rezolūcija par Padomes nostāju attiecībā uz Eiropas Savienības 2025. finanšu gada budžeta grozījuma Nr. 1/2025 projektu: 2024. finanšu gada pārpalikuma ieskaitīšana(09619/2025 – C10-0125/2025 – 2025/0091(BUD))"/>
  </w:docVars>
  <w:rsids>
    <w:rsidRoot w:val="00240084"/>
    <w:rsid w:val="00002272"/>
    <w:rsid w:val="00064002"/>
    <w:rsid w:val="000677B9"/>
    <w:rsid w:val="000831BA"/>
    <w:rsid w:val="00094A38"/>
    <w:rsid w:val="000A42CC"/>
    <w:rsid w:val="000E7DD9"/>
    <w:rsid w:val="0010095E"/>
    <w:rsid w:val="00125B37"/>
    <w:rsid w:val="00187494"/>
    <w:rsid w:val="001F32AE"/>
    <w:rsid w:val="00240084"/>
    <w:rsid w:val="002767FF"/>
    <w:rsid w:val="002B18FE"/>
    <w:rsid w:val="002B5493"/>
    <w:rsid w:val="00322089"/>
    <w:rsid w:val="00343214"/>
    <w:rsid w:val="00361C00"/>
    <w:rsid w:val="003713F9"/>
    <w:rsid w:val="00395FA1"/>
    <w:rsid w:val="003E15D4"/>
    <w:rsid w:val="00411CCE"/>
    <w:rsid w:val="0041666E"/>
    <w:rsid w:val="00421060"/>
    <w:rsid w:val="004212DE"/>
    <w:rsid w:val="00471C19"/>
    <w:rsid w:val="004867E3"/>
    <w:rsid w:val="00494A28"/>
    <w:rsid w:val="004C0004"/>
    <w:rsid w:val="004C5D52"/>
    <w:rsid w:val="0050519A"/>
    <w:rsid w:val="0050650C"/>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84B"/>
    <w:rsid w:val="007D1690"/>
    <w:rsid w:val="007E22AD"/>
    <w:rsid w:val="00817416"/>
    <w:rsid w:val="00842779"/>
    <w:rsid w:val="00865F67"/>
    <w:rsid w:val="00881A7B"/>
    <w:rsid w:val="008840E5"/>
    <w:rsid w:val="00887B3E"/>
    <w:rsid w:val="008C2AC6"/>
    <w:rsid w:val="00930C23"/>
    <w:rsid w:val="0093193B"/>
    <w:rsid w:val="009509D8"/>
    <w:rsid w:val="00950B64"/>
    <w:rsid w:val="00952C6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BC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A0AB8"/>
  <w15:chartTrackingRefBased/>
  <w15:docId w15:val="{9C9ABD69-58D4-40DB-9EF3-3B6DD2AF5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5BC2"/>
    <w:pPr>
      <w:spacing w:before="480" w:after="240"/>
    </w:pPr>
  </w:style>
  <w:style w:type="paragraph" w:customStyle="1" w:styleId="NormalBold">
    <w:name w:val="NormalBold"/>
    <w:basedOn w:val="Normal"/>
    <w:rsid w:val="00E75BC2"/>
    <w:rPr>
      <w:b/>
    </w:rPr>
  </w:style>
  <w:style w:type="paragraph" w:customStyle="1" w:styleId="NormalHanging12a">
    <w:name w:val="NormalHanging12a"/>
    <w:basedOn w:val="Normal"/>
    <w:link w:val="NormalHanging12aChar"/>
    <w:rsid w:val="00E75BC2"/>
    <w:pPr>
      <w:spacing w:after="240"/>
      <w:ind w:left="567" w:hanging="567"/>
    </w:pPr>
  </w:style>
  <w:style w:type="character" w:styleId="Hyperlink">
    <w:name w:val="Hyperlink"/>
    <w:basedOn w:val="DefaultParagraphFont"/>
    <w:uiPriority w:val="99"/>
    <w:rsid w:val="00E75BC2"/>
    <w:rPr>
      <w:color w:val="0563C1" w:themeColor="hyperlink"/>
      <w:u w:val="single"/>
    </w:rPr>
  </w:style>
  <w:style w:type="character" w:customStyle="1" w:styleId="NormalHanging12aChar">
    <w:name w:val="NormalHanging12a Char"/>
    <w:basedOn w:val="DefaultParagraphFont"/>
    <w:link w:val="NormalHanging12a"/>
    <w:locked/>
    <w:rsid w:val="00E75BC2"/>
    <w:rPr>
      <w:sz w:val="24"/>
      <w:lang w:val="lv-LV"/>
    </w:rPr>
  </w:style>
  <w:style w:type="paragraph" w:styleId="BalloonText">
    <w:name w:val="Balloon Text"/>
    <w:basedOn w:val="Normal"/>
    <w:link w:val="BalloonTextChar"/>
    <w:rsid w:val="00094A38"/>
    <w:rPr>
      <w:rFonts w:ascii="Segoe UI" w:hAnsi="Segoe UI" w:cs="Segoe UI"/>
      <w:sz w:val="18"/>
      <w:szCs w:val="18"/>
    </w:rPr>
  </w:style>
  <w:style w:type="character" w:customStyle="1" w:styleId="BalloonTextChar">
    <w:name w:val="Balloon Text Char"/>
    <w:basedOn w:val="DefaultParagraphFont"/>
    <w:link w:val="BalloonText"/>
    <w:rsid w:val="00094A3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41240-2728-4065-8B38-50AF72BDE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SEMEDO Teresa</cp:lastModifiedBy>
  <cp:revision>3</cp:revision>
  <cp:lastPrinted>2004-11-19T15:42:00Z</cp:lastPrinted>
  <dcterms:created xsi:type="dcterms:W3CDTF">2025-07-09T11:17:00Z</dcterms:created>
  <dcterms:modified xsi:type="dcterms:W3CDTF">2026-02-17T09:29:00Z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P10_TA(2025)0151_</vt:lpwstr>
  </property>
  <property fmtid="{D5CDD505-2E9C-101B-9397-08002B2CF9AE}" pid="4" name="&lt;Type&gt;">
    <vt:lpwstr>RR</vt:lpwstr>
  </property>
</Properties>
</file>