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C58A7" w14:paraId="0E42CB3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62B0D0E" w14:textId="77777777" w:rsidR="00751A4A" w:rsidRPr="00EC58A7" w:rsidRDefault="003C4F2A" w:rsidP="0010095E">
            <w:pPr>
              <w:pStyle w:val="EPName"/>
            </w:pPr>
            <w:r w:rsidRPr="00EC58A7">
              <w:t>Parlament Ewropew</w:t>
            </w:r>
          </w:p>
          <w:p w14:paraId="3CA0881C" w14:textId="77777777" w:rsidR="00751A4A" w:rsidRPr="00EC58A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C58A7">
              <w:t>2024</w:t>
            </w:r>
            <w:r w:rsidR="00817416" w:rsidRPr="00EC58A7">
              <w:t>-202</w:t>
            </w:r>
            <w:r w:rsidRPr="00EC58A7">
              <w:t>9</w:t>
            </w:r>
          </w:p>
        </w:tc>
        <w:tc>
          <w:tcPr>
            <w:tcW w:w="2268" w:type="dxa"/>
            <w:shd w:val="clear" w:color="auto" w:fill="auto"/>
          </w:tcPr>
          <w:p w14:paraId="75927296" w14:textId="77777777" w:rsidR="00751A4A" w:rsidRPr="00EC58A7" w:rsidRDefault="00187494" w:rsidP="0010095E">
            <w:pPr>
              <w:pStyle w:val="EPLogo"/>
            </w:pPr>
            <w:r w:rsidRPr="00EC58A7">
              <w:rPr>
                <w:noProof/>
                <w:lang w:val="en-GB"/>
              </w:rPr>
              <w:drawing>
                <wp:inline distT="0" distB="0" distL="0" distR="0" wp14:anchorId="66EF285C" wp14:editId="7FEC339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7AFE62" w14:textId="77777777" w:rsidR="00D058B8" w:rsidRPr="00EC58A7" w:rsidRDefault="00D058B8" w:rsidP="004C5D52">
      <w:pPr>
        <w:pStyle w:val="LineTop"/>
      </w:pPr>
    </w:p>
    <w:p w14:paraId="107DC3AE" w14:textId="77777777" w:rsidR="00680577" w:rsidRPr="00EC58A7" w:rsidRDefault="003C4F2A" w:rsidP="00680577">
      <w:pPr>
        <w:pStyle w:val="EPBodyTA1"/>
      </w:pPr>
      <w:r w:rsidRPr="00EC58A7">
        <w:t>TESTI ADOTTATI</w:t>
      </w:r>
    </w:p>
    <w:p w14:paraId="43C8A807" w14:textId="77777777" w:rsidR="00D058B8" w:rsidRPr="00EC58A7" w:rsidRDefault="00D058B8" w:rsidP="00D058B8">
      <w:pPr>
        <w:pStyle w:val="LineBottom"/>
      </w:pPr>
    </w:p>
    <w:p w14:paraId="03E2E8C4" w14:textId="77777777" w:rsidR="003C4F2A" w:rsidRPr="00EC58A7" w:rsidRDefault="003C4F2A" w:rsidP="003C4F2A">
      <w:pPr>
        <w:pStyle w:val="ATHeading1"/>
      </w:pPr>
      <w:bookmarkStart w:id="0" w:name="TANumber"/>
      <w:r w:rsidRPr="00EC58A7">
        <w:t>P10_TA(2025)0</w:t>
      </w:r>
      <w:bookmarkEnd w:id="0"/>
      <w:r w:rsidR="00C97006">
        <w:t>151</w:t>
      </w:r>
    </w:p>
    <w:p w14:paraId="330860F9" w14:textId="77777777" w:rsidR="003C4F2A" w:rsidRPr="00EC58A7" w:rsidRDefault="003C4F2A" w:rsidP="003C4F2A">
      <w:pPr>
        <w:pStyle w:val="ATHeading2"/>
      </w:pPr>
      <w:bookmarkStart w:id="1" w:name="title"/>
      <w:r w:rsidRPr="00EC58A7">
        <w:t xml:space="preserve">Abbozz ta’ baġit emendatorju </w:t>
      </w:r>
      <w:r w:rsidR="00AF5D8F">
        <w:t>N</w:t>
      </w:r>
      <w:r w:rsidRPr="00EC58A7">
        <w:t>ru 1/2025: dħul tas-surplus mis-sena finanzjarja 2024</w:t>
      </w:r>
      <w:bookmarkEnd w:id="1"/>
    </w:p>
    <w:p w14:paraId="637D0C04" w14:textId="77777777" w:rsidR="003C4F2A" w:rsidRPr="00EC58A7" w:rsidRDefault="003C4F2A" w:rsidP="003C4F2A">
      <w:pPr>
        <w:rPr>
          <w:i/>
          <w:vanish/>
        </w:rPr>
      </w:pPr>
      <w:r w:rsidRPr="00EC58A7">
        <w:rPr>
          <w:i/>
        </w:rPr>
        <w:fldChar w:fldCharType="begin"/>
      </w:r>
      <w:r w:rsidRPr="00EC58A7">
        <w:rPr>
          <w:i/>
        </w:rPr>
        <w:instrText xml:space="preserve"> TC"(</w:instrText>
      </w:r>
      <w:bookmarkStart w:id="2" w:name="DocNumber"/>
      <w:r w:rsidRPr="00EC58A7">
        <w:rPr>
          <w:i/>
        </w:rPr>
        <w:instrText>A10-0116/2025</w:instrText>
      </w:r>
      <w:bookmarkEnd w:id="2"/>
      <w:r w:rsidRPr="00EC58A7">
        <w:rPr>
          <w:i/>
        </w:rPr>
        <w:instrText xml:space="preserve"> - Rapporteur: Victor Negrescu)"\l3 \n&gt; \* MERGEFORMAT </w:instrText>
      </w:r>
      <w:r w:rsidRPr="00EC58A7">
        <w:rPr>
          <w:i/>
        </w:rPr>
        <w:fldChar w:fldCharType="end"/>
      </w:r>
    </w:p>
    <w:p w14:paraId="4F42F44E" w14:textId="77777777" w:rsidR="003C4F2A" w:rsidRPr="00EC58A7" w:rsidRDefault="003C4F2A" w:rsidP="003C4F2A">
      <w:pPr>
        <w:rPr>
          <w:vanish/>
        </w:rPr>
      </w:pPr>
      <w:bookmarkStart w:id="3" w:name="Commission"/>
      <w:r w:rsidRPr="00EC58A7">
        <w:rPr>
          <w:vanish/>
        </w:rPr>
        <w:t>Kumitat għall-Baġits</w:t>
      </w:r>
      <w:bookmarkEnd w:id="3"/>
    </w:p>
    <w:p w14:paraId="56A34208" w14:textId="77777777" w:rsidR="003C4F2A" w:rsidRPr="00EC58A7" w:rsidRDefault="003C4F2A" w:rsidP="003C4F2A">
      <w:pPr>
        <w:rPr>
          <w:vanish/>
        </w:rPr>
      </w:pPr>
      <w:bookmarkStart w:id="4" w:name="PE"/>
      <w:r w:rsidRPr="00EC58A7">
        <w:rPr>
          <w:vanish/>
        </w:rPr>
        <w:t>PE773.098</w:t>
      </w:r>
      <w:bookmarkEnd w:id="4"/>
    </w:p>
    <w:p w14:paraId="502903BF" w14:textId="77777777" w:rsidR="003C4F2A" w:rsidRPr="00EC58A7" w:rsidRDefault="007C3546" w:rsidP="003C4F2A">
      <w:pPr>
        <w:pStyle w:val="ATHeading3"/>
      </w:pPr>
      <w:bookmarkStart w:id="5" w:name="Sujet"/>
      <w:r w:rsidRPr="007C3546">
        <w:t>Riżoluzzjoni</w:t>
      </w:r>
      <w:r w:rsidR="00765C82">
        <w:t xml:space="preserve"> tal-Parlament Ewropew tad-9 ta’</w:t>
      </w:r>
      <w:r w:rsidR="003C4F2A" w:rsidRPr="00EC58A7">
        <w:t xml:space="preserve"> Lulju 2025 dwar il-pożizzjoni tal-Kunsill dwar l-</w:t>
      </w:r>
      <w:r w:rsidR="00FB36FA">
        <w:t>A</w:t>
      </w:r>
      <w:r w:rsidR="003C4F2A" w:rsidRPr="00EC58A7">
        <w:t>bbozz ta’ baġit emendatorju nru 1 għall-baġit ġenerali 2025: dħul tas-surplus mis-sena finanzjarja 2024</w:t>
      </w:r>
      <w:bookmarkEnd w:id="5"/>
      <w:r w:rsidR="003C4F2A" w:rsidRPr="00EC58A7">
        <w:t xml:space="preserve"> </w:t>
      </w:r>
      <w:bookmarkStart w:id="6" w:name="References"/>
      <w:r w:rsidR="003C4F2A" w:rsidRPr="00EC58A7">
        <w:t>(09619/2025 – C10-0125/2025 – 2025/0091(BUD))</w:t>
      </w:r>
      <w:bookmarkEnd w:id="6"/>
    </w:p>
    <w:p w14:paraId="5081A43B" w14:textId="77777777" w:rsidR="002771D6" w:rsidRPr="00EC58A7" w:rsidRDefault="002771D6" w:rsidP="002771D6">
      <w:pPr>
        <w:pStyle w:val="EPComma"/>
      </w:pPr>
      <w:bookmarkStart w:id="7" w:name="TextBodyBegin"/>
      <w:bookmarkEnd w:id="7"/>
      <w:r w:rsidRPr="00EC58A7">
        <w:rPr>
          <w:i/>
        </w:rPr>
        <w:t>Il-Parlament Ewropew</w:t>
      </w:r>
      <w:r w:rsidRPr="00EC58A7">
        <w:t>,</w:t>
      </w:r>
    </w:p>
    <w:p w14:paraId="18865037" w14:textId="77777777" w:rsidR="002771D6" w:rsidRPr="00EC58A7" w:rsidRDefault="002771D6" w:rsidP="002771D6">
      <w:pPr>
        <w:pStyle w:val="NormalHanging12a"/>
      </w:pPr>
      <w:r w:rsidRPr="00EC58A7">
        <w:t>–</w:t>
      </w:r>
      <w:r w:rsidRPr="00EC58A7">
        <w:tab/>
        <w:t>wara li kkunsidra l-Artikolu 314 tat-Trattat dwar il-Funzjonament tal-Unjoni Ewropea,</w:t>
      </w:r>
    </w:p>
    <w:p w14:paraId="73C00D38" w14:textId="77777777" w:rsidR="002771D6" w:rsidRPr="00EC58A7" w:rsidRDefault="002771D6" w:rsidP="002771D6">
      <w:pPr>
        <w:pStyle w:val="NormalHanging12a"/>
      </w:pPr>
      <w:r w:rsidRPr="00EC58A7">
        <w:t>–</w:t>
      </w:r>
      <w:r w:rsidRPr="00EC58A7">
        <w:tab/>
        <w:t>wara li kkunsidra l-Artikolu 106a tat-Trattat li jistabbilixxi l-Komunità Ewropea tal-Enerġija Atomika,</w:t>
      </w:r>
    </w:p>
    <w:p w14:paraId="29C802E0" w14:textId="77777777" w:rsidR="002771D6" w:rsidRPr="00EC58A7" w:rsidRDefault="002771D6" w:rsidP="002771D6">
      <w:pPr>
        <w:pStyle w:val="NormalHanging12a"/>
      </w:pPr>
      <w:r w:rsidRPr="00EC58A7">
        <w:t>–</w:t>
      </w:r>
      <w:r w:rsidRPr="00EC58A7">
        <w:tab/>
        <w:t>wara li kkunsidra r-Regolament (UE, Euratom) 2024/2509 tal-Parlament Ewropew u tal-Kunsill tat-23 ta’ Settembru 2024 dwar ir-regoli finanzjarji applikabbli għall-baġit ġenerali tal-Unjoni</w:t>
      </w:r>
      <w:r w:rsidRPr="00EC58A7">
        <w:rPr>
          <w:rStyle w:val="FootnoteReference"/>
        </w:rPr>
        <w:footnoteReference w:id="1"/>
      </w:r>
      <w:r w:rsidRPr="00EC58A7">
        <w:t>, u b’mod partikolari l-Artikolu 44 tiegħu,</w:t>
      </w:r>
    </w:p>
    <w:p w14:paraId="792303A5" w14:textId="77777777" w:rsidR="002771D6" w:rsidRPr="00EC58A7" w:rsidRDefault="002771D6" w:rsidP="002771D6">
      <w:pPr>
        <w:pStyle w:val="NormalHanging12a"/>
      </w:pPr>
      <w:r w:rsidRPr="00EC58A7">
        <w:t>–</w:t>
      </w:r>
      <w:r w:rsidRPr="00EC58A7">
        <w:tab/>
        <w:t>wara li kkunsidra l-baġit ġenerali tal-Unjoni Ewropea għas-sena finanzjarja 2025, adottat b’mod definittiv fis-27 ta’ Novembru 2024</w:t>
      </w:r>
      <w:r w:rsidRPr="00EC58A7">
        <w:rPr>
          <w:rStyle w:val="FootnoteReference"/>
        </w:rPr>
        <w:footnoteReference w:id="2"/>
      </w:r>
      <w:r w:rsidRPr="00EC58A7">
        <w:t>,</w:t>
      </w:r>
    </w:p>
    <w:p w14:paraId="4F4FBA97" w14:textId="77777777" w:rsidR="002771D6" w:rsidRPr="00EC58A7" w:rsidRDefault="002771D6" w:rsidP="002771D6">
      <w:pPr>
        <w:pStyle w:val="NormalHanging12a"/>
      </w:pPr>
      <w:r w:rsidRPr="00EC58A7">
        <w:t>–</w:t>
      </w:r>
      <w:r w:rsidRPr="00EC58A7">
        <w:tab/>
        <w:t>wara li kkunsidra r-Regolament tal-Kunsill (UE, Euratom) 2020/2093 tas-17 ta’ Diċembru 2020 li jistabbilixxi l-qafas finanzjarju pluriennali għas-snin mill-2021 sal-2027</w:t>
      </w:r>
      <w:r w:rsidRPr="00EC58A7">
        <w:rPr>
          <w:rStyle w:val="FootnoteReference"/>
        </w:rPr>
        <w:footnoteReference w:id="3"/>
      </w:r>
      <w:r w:rsidRPr="00EC58A7">
        <w:t>,</w:t>
      </w:r>
    </w:p>
    <w:p w14:paraId="40B61131" w14:textId="77777777" w:rsidR="002771D6" w:rsidRPr="00EC58A7" w:rsidRDefault="002771D6" w:rsidP="002771D6">
      <w:pPr>
        <w:pStyle w:val="NormalHanging12a"/>
      </w:pPr>
      <w:r w:rsidRPr="00EC58A7">
        <w:t>–</w:t>
      </w:r>
      <w:r w:rsidRPr="00EC58A7">
        <w:tab/>
        <w:t>wara li kkunsidra l-Ftehim Interistituzzjonali tas-16 ta’ Diċembru 2020 bejn il-Parlament Ewropew, il-Kunsill tal-Unjoni Ewropea u l-Kummissjoni Ewropea dwar dixxiplina baġitarja, dwar kooperazzjoni f’materji baġitarji u dwar ġestjoni finanzjarja tajba, kif ukoll dwar riżorsi proprji ġodda, inkluż pjan direzzjonali lejn l-introduzzjoni ta’ riżorsi proprji ġodda</w:t>
      </w:r>
      <w:r w:rsidRPr="00EC58A7">
        <w:rPr>
          <w:rStyle w:val="FootnoteReference"/>
        </w:rPr>
        <w:footnoteReference w:id="4"/>
      </w:r>
      <w:r w:rsidRPr="00EC58A7">
        <w:t xml:space="preserve"> (il-Ftehim Interistituzzjonali tas-16 ta’ Diċembru 2020),</w:t>
      </w:r>
    </w:p>
    <w:p w14:paraId="23BE5294" w14:textId="77777777" w:rsidR="002771D6" w:rsidRPr="00EC58A7" w:rsidRDefault="002771D6" w:rsidP="002771D6">
      <w:pPr>
        <w:pStyle w:val="NormalHanging12a"/>
      </w:pPr>
      <w:r w:rsidRPr="00EC58A7">
        <w:lastRenderedPageBreak/>
        <w:t>–</w:t>
      </w:r>
      <w:r w:rsidRPr="00EC58A7">
        <w:tab/>
        <w:t>wara li kkunsidra d-Deċiżjoni tal-Kunsill (UE, Euratom) 2020/2053 tal-14 ta’ Diċembru 2020 dwar is-sistema tar-riżorsi proprji tal-Unjoni Ewropea u li tħassar id-Deċiżjoni 2014/335/UE, Euratom</w:t>
      </w:r>
      <w:r w:rsidRPr="00EC58A7">
        <w:rPr>
          <w:rStyle w:val="FootnoteReference"/>
        </w:rPr>
        <w:footnoteReference w:id="5"/>
      </w:r>
      <w:r w:rsidRPr="00EC58A7">
        <w:t>,</w:t>
      </w:r>
    </w:p>
    <w:p w14:paraId="5772C012" w14:textId="77777777" w:rsidR="002771D6" w:rsidRPr="00EC58A7" w:rsidRDefault="002771D6" w:rsidP="002771D6">
      <w:pPr>
        <w:pStyle w:val="NormalHanging12a"/>
      </w:pPr>
      <w:r w:rsidRPr="00EC58A7">
        <w:t>–</w:t>
      </w:r>
      <w:r w:rsidRPr="00EC58A7">
        <w:tab/>
        <w:t>wara li kkunsidra l-</w:t>
      </w:r>
      <w:r w:rsidR="00FB36FA">
        <w:t>A</w:t>
      </w:r>
      <w:r w:rsidRPr="00EC58A7">
        <w:t>bbozz ta’ baġit emendatorju Nru 1/2025, adottat mill-Kummissjoni fid-9 ta’ April 2025 (COM(2025)0350),</w:t>
      </w:r>
    </w:p>
    <w:p w14:paraId="683F573E" w14:textId="6A9F9FE7" w:rsidR="002771D6" w:rsidRPr="00EC58A7" w:rsidRDefault="002771D6" w:rsidP="002771D6">
      <w:pPr>
        <w:pStyle w:val="NormalHanging12a"/>
      </w:pPr>
      <w:r w:rsidRPr="00EC58A7">
        <w:t>–</w:t>
      </w:r>
      <w:r w:rsidRPr="00EC58A7">
        <w:tab/>
        <w:t>wara li kkunsidra l-pożizzjoni dwar l-</w:t>
      </w:r>
      <w:r w:rsidR="00FB36FA">
        <w:t>A</w:t>
      </w:r>
      <w:r w:rsidRPr="00EC58A7">
        <w:t>bbozz ta’ baġit emendatorju Nru 1/2025, adottata mill-Kunsill fis-16 ta’ Ġunju 2025 u li ntbagħtet lill-Parlament Ewropew fit-18 ta’ Ġunju 2025 (09619/2025 – C10-0125/20</w:t>
      </w:r>
      <w:r w:rsidR="001D3EFF">
        <w:t>2</w:t>
      </w:r>
      <w:r w:rsidRPr="00EC58A7">
        <w:t>5),</w:t>
      </w:r>
    </w:p>
    <w:p w14:paraId="6102C428" w14:textId="77777777" w:rsidR="002771D6" w:rsidRPr="00EC58A7" w:rsidRDefault="002771D6" w:rsidP="002771D6">
      <w:pPr>
        <w:pStyle w:val="NormalHanging12a"/>
      </w:pPr>
      <w:r w:rsidRPr="00EC58A7">
        <w:t>–</w:t>
      </w:r>
      <w:r w:rsidRPr="00EC58A7">
        <w:tab/>
        <w:t>wara li kkunsidra l-Artikoli 96 u 98 tar-Regoli ta’ Proċedura tiegħu,</w:t>
      </w:r>
    </w:p>
    <w:p w14:paraId="422C1C2E" w14:textId="77777777" w:rsidR="002771D6" w:rsidRPr="00EC58A7" w:rsidRDefault="002771D6" w:rsidP="002771D6">
      <w:pPr>
        <w:pStyle w:val="NormalHanging12a"/>
      </w:pPr>
      <w:r w:rsidRPr="00EC58A7">
        <w:t>–</w:t>
      </w:r>
      <w:r w:rsidRPr="00EC58A7">
        <w:tab/>
        <w:t>wara li kkunsidra r-rapport tal-Kumitat għall-Baġits (A10-0116/2025),</w:t>
      </w:r>
    </w:p>
    <w:p w14:paraId="3141EEE6" w14:textId="77777777" w:rsidR="002771D6" w:rsidRPr="00EC58A7" w:rsidRDefault="002771D6" w:rsidP="002771D6">
      <w:pPr>
        <w:pStyle w:val="NormalHanging12a"/>
      </w:pPr>
      <w:r w:rsidRPr="00EC58A7">
        <w:t>A.</w:t>
      </w:r>
      <w:r w:rsidRPr="00EC58A7">
        <w:tab/>
      </w:r>
      <w:r w:rsidRPr="00EC58A7">
        <w:rPr>
          <w:color w:val="000000"/>
        </w:rPr>
        <w:t>billi l-għan tal-</w:t>
      </w:r>
      <w:r w:rsidR="00AF5D8F">
        <w:rPr>
          <w:color w:val="000000"/>
        </w:rPr>
        <w:t>A</w:t>
      </w:r>
      <w:r w:rsidRPr="00EC58A7">
        <w:rPr>
          <w:color w:val="000000"/>
        </w:rPr>
        <w:t xml:space="preserve">bbozz ta’ baġit emendatorju </w:t>
      </w:r>
      <w:r w:rsidR="00AF5D8F">
        <w:rPr>
          <w:color w:val="000000"/>
        </w:rPr>
        <w:t xml:space="preserve">Nru </w:t>
      </w:r>
      <w:r w:rsidRPr="00EC58A7">
        <w:rPr>
          <w:color w:val="000000"/>
        </w:rPr>
        <w:t>1/2025 huwa li jiddaħħal fil-baġit 2025 is-</w:t>
      </w:r>
      <w:proofErr w:type="spellStart"/>
      <w:r w:rsidRPr="00EC58A7">
        <w:rPr>
          <w:color w:val="000000"/>
        </w:rPr>
        <w:t>surplus</w:t>
      </w:r>
      <w:proofErr w:type="spellEnd"/>
      <w:r w:rsidRPr="00EC58A7">
        <w:rPr>
          <w:color w:val="000000"/>
        </w:rPr>
        <w:t xml:space="preserve"> li jirriżulta mill-implimentazzjoni tas-sena finanzjarja 2024, li jammonta għal EUR 1 345 miljun;</w:t>
      </w:r>
    </w:p>
    <w:p w14:paraId="4976AD65" w14:textId="77777777" w:rsidR="002771D6" w:rsidRPr="00EC58A7" w:rsidRDefault="002771D6" w:rsidP="002771D6">
      <w:pPr>
        <w:pStyle w:val="NormalHanging12a"/>
      </w:pPr>
      <w:r w:rsidRPr="00EC58A7">
        <w:t>B.</w:t>
      </w:r>
      <w:r w:rsidRPr="00EC58A7">
        <w:tab/>
      </w:r>
      <w:r w:rsidRPr="00EC58A7">
        <w:rPr>
          <w:color w:val="000000"/>
        </w:rPr>
        <w:t>billi l-komponenti ewlenin ta’ dak is-</w:t>
      </w:r>
      <w:proofErr w:type="spellStart"/>
      <w:r w:rsidRPr="00EC58A7">
        <w:rPr>
          <w:color w:val="000000"/>
        </w:rPr>
        <w:t>surplus</w:t>
      </w:r>
      <w:proofErr w:type="spellEnd"/>
      <w:r w:rsidRPr="00EC58A7">
        <w:rPr>
          <w:color w:val="000000"/>
        </w:rPr>
        <w:t xml:space="preserve"> huma eżitu pożittiv fuq id-dħul ta’ EUR 1 072 miljun, u </w:t>
      </w:r>
      <w:proofErr w:type="spellStart"/>
      <w:r w:rsidRPr="00EC58A7">
        <w:rPr>
          <w:color w:val="000000"/>
        </w:rPr>
        <w:t>sottoinfiq</w:t>
      </w:r>
      <w:proofErr w:type="spellEnd"/>
      <w:r w:rsidRPr="00EC58A7">
        <w:rPr>
          <w:color w:val="000000"/>
        </w:rPr>
        <w:t xml:space="preserve"> ta’ EUR 272,5 miljun;</w:t>
      </w:r>
    </w:p>
    <w:p w14:paraId="68E6CC3D" w14:textId="77777777" w:rsidR="002771D6" w:rsidRPr="00EC58A7" w:rsidRDefault="002771D6" w:rsidP="002771D6">
      <w:pPr>
        <w:pStyle w:val="NormalHanging12a"/>
      </w:pPr>
      <w:r w:rsidRPr="00EC58A7">
        <w:t>C.</w:t>
      </w:r>
      <w:r w:rsidRPr="00EC58A7">
        <w:tab/>
      </w:r>
      <w:r w:rsidRPr="00EC58A7">
        <w:rPr>
          <w:color w:val="000000"/>
        </w:rPr>
        <w:t xml:space="preserve">billi, min-naħa tad-dħul, il-fattur primarju li </w:t>
      </w:r>
      <w:proofErr w:type="spellStart"/>
      <w:r w:rsidRPr="00EC58A7">
        <w:rPr>
          <w:color w:val="000000"/>
        </w:rPr>
        <w:t>xpruna</w:t>
      </w:r>
      <w:proofErr w:type="spellEnd"/>
      <w:r w:rsidRPr="00EC58A7">
        <w:rPr>
          <w:color w:val="000000"/>
        </w:rPr>
        <w:t xml:space="preserve"> l-volum </w:t>
      </w:r>
      <w:proofErr w:type="spellStart"/>
      <w:r w:rsidRPr="00EC58A7">
        <w:rPr>
          <w:color w:val="000000"/>
        </w:rPr>
        <w:t>tas-surplus</w:t>
      </w:r>
      <w:proofErr w:type="spellEnd"/>
      <w:r w:rsidRPr="00EC58A7">
        <w:rPr>
          <w:color w:val="000000"/>
        </w:rPr>
        <w:t xml:space="preserve"> huwa ammont ta’ EUR 1 211 miljun fi dħul finanzjarju, dħul mill-imgħax ta’ inadempjenza u mill-multi; billi l-eżitu tar-riżorsi proprji fit-Titolu 1 għadu qrib ħafna tal-ammonti </w:t>
      </w:r>
      <w:proofErr w:type="spellStart"/>
      <w:r w:rsidRPr="00EC58A7">
        <w:rPr>
          <w:color w:val="000000"/>
        </w:rPr>
        <w:t>bbaġitjati</w:t>
      </w:r>
      <w:proofErr w:type="spellEnd"/>
      <w:r w:rsidRPr="00EC58A7">
        <w:rPr>
          <w:color w:val="000000"/>
        </w:rPr>
        <w:t xml:space="preserve"> fil-baġit tal-2024 (inklużi l-Baġits </w:t>
      </w:r>
      <w:proofErr w:type="spellStart"/>
      <w:r w:rsidRPr="00EC58A7">
        <w:rPr>
          <w:color w:val="000000"/>
        </w:rPr>
        <w:t>Emendatorji</w:t>
      </w:r>
      <w:proofErr w:type="spellEnd"/>
      <w:r w:rsidRPr="00EC58A7">
        <w:rPr>
          <w:color w:val="000000"/>
        </w:rPr>
        <w:t xml:space="preserve"> Nru 1 sa 5);</w:t>
      </w:r>
    </w:p>
    <w:p w14:paraId="7936241D" w14:textId="77777777" w:rsidR="002771D6" w:rsidRPr="00EC58A7" w:rsidRDefault="002771D6" w:rsidP="002771D6">
      <w:pPr>
        <w:pStyle w:val="NormalHanging12a"/>
      </w:pPr>
      <w:r w:rsidRPr="00EC58A7">
        <w:t>D.</w:t>
      </w:r>
      <w:r w:rsidRPr="00EC58A7">
        <w:tab/>
      </w:r>
      <w:r w:rsidRPr="00EC58A7">
        <w:rPr>
          <w:color w:val="000000"/>
        </w:rPr>
        <w:t>billi, min-naħa tan-nefqa, is-sottoimplimentazzjoni fil-pagamenti mill-istituzzjonijiet kollha, inklużi l-</w:t>
      </w:r>
      <w:proofErr w:type="spellStart"/>
      <w:r w:rsidRPr="00EC58A7">
        <w:rPr>
          <w:color w:val="000000"/>
        </w:rPr>
        <w:t>kanċellazzjonijiet</w:t>
      </w:r>
      <w:proofErr w:type="spellEnd"/>
      <w:r w:rsidRPr="00EC58A7">
        <w:rPr>
          <w:color w:val="000000"/>
        </w:rPr>
        <w:t xml:space="preserve"> ta’ </w:t>
      </w:r>
      <w:proofErr w:type="spellStart"/>
      <w:r w:rsidRPr="00EC58A7">
        <w:rPr>
          <w:color w:val="000000"/>
        </w:rPr>
        <w:t>approprjazzjonijiet</w:t>
      </w:r>
      <w:proofErr w:type="spellEnd"/>
      <w:r w:rsidRPr="00EC58A7">
        <w:rPr>
          <w:color w:val="000000"/>
        </w:rPr>
        <w:t xml:space="preserve"> </w:t>
      </w:r>
      <w:proofErr w:type="spellStart"/>
      <w:r w:rsidRPr="00EC58A7">
        <w:rPr>
          <w:color w:val="000000"/>
        </w:rPr>
        <w:t>riportati</w:t>
      </w:r>
      <w:proofErr w:type="spellEnd"/>
      <w:r w:rsidRPr="00EC58A7">
        <w:rPr>
          <w:color w:val="000000"/>
        </w:rPr>
        <w:t xml:space="preserve">, </w:t>
      </w:r>
      <w:proofErr w:type="spellStart"/>
      <w:r w:rsidRPr="00EC58A7">
        <w:rPr>
          <w:color w:val="000000"/>
        </w:rPr>
        <w:t>ammontat</w:t>
      </w:r>
      <w:proofErr w:type="spellEnd"/>
      <w:r w:rsidRPr="00EC58A7">
        <w:rPr>
          <w:color w:val="000000"/>
        </w:rPr>
        <w:t xml:space="preserve"> għal total ta’ EUR 273 miljun (ekwivalenti għal 0,02 % tal-approprjazzjonijiet ta’ pagament awtorizzati);</w:t>
      </w:r>
    </w:p>
    <w:p w14:paraId="2D145237" w14:textId="77777777" w:rsidR="002771D6" w:rsidRPr="00EC58A7" w:rsidRDefault="002771D6" w:rsidP="002771D6">
      <w:pPr>
        <w:pStyle w:val="NormalHanging12a"/>
        <w:ind w:hanging="570"/>
      </w:pPr>
      <w:r w:rsidRPr="00EC58A7">
        <w:t>1.</w:t>
      </w:r>
      <w:r w:rsidRPr="00EC58A7">
        <w:tab/>
      </w:r>
      <w:r w:rsidRPr="00EC58A7">
        <w:rPr>
          <w:color w:val="000000"/>
        </w:rPr>
        <w:t>Jieħu nota tal-</w:t>
      </w:r>
      <w:r w:rsidR="00AF5D8F">
        <w:rPr>
          <w:color w:val="000000"/>
        </w:rPr>
        <w:t>A</w:t>
      </w:r>
      <w:r w:rsidRPr="00EC58A7">
        <w:rPr>
          <w:color w:val="000000"/>
        </w:rPr>
        <w:t>bbozz ta’ baġit emendatorju Nru 1/2025 kif imressaq mill-Kummissjoni, li huwa mfassal biex jibbaġitja s-surplus tal-2024, għal ammont ta’ EUR 1 345 miljun, f’konformità mal-Artikolu 18(3) tar-Regolament Finanzjarju;</w:t>
      </w:r>
      <w:sdt>
        <w:sdtPr>
          <w:tag w:val="goog_rdk_0"/>
          <w:id w:val="1937094721"/>
        </w:sdtPr>
        <w:sdtEndPr/>
        <w:sdtContent/>
      </w:sdt>
    </w:p>
    <w:p w14:paraId="7FA2CE2F" w14:textId="77777777" w:rsidR="002771D6" w:rsidRPr="00EC58A7" w:rsidRDefault="002771D6" w:rsidP="002771D6">
      <w:pPr>
        <w:pStyle w:val="NormalHanging12a"/>
        <w:ind w:hanging="570"/>
      </w:pPr>
      <w:r w:rsidRPr="00EC58A7">
        <w:t>2.</w:t>
      </w:r>
      <w:r w:rsidRPr="00EC58A7">
        <w:tab/>
      </w:r>
      <w:r w:rsidRPr="00EC58A7">
        <w:rPr>
          <w:color w:val="000000"/>
        </w:rPr>
        <w:t xml:space="preserve">Jilqa’ l-fatt li s-surplus għall-2024 huwa xprunat primarjament minn żieda fil-varjazzjoni fit-Titolu 4 (dħul finanzjarju, imgħax ta’ inadempjenza u multi), filwaqt li s-surplus tan-nefqa għadu modest ħafna b’ammont ta’ EUR 273 miljun; </w:t>
      </w:r>
    </w:p>
    <w:p w14:paraId="23CCE8D9" w14:textId="77777777" w:rsidR="002771D6" w:rsidRPr="00EC58A7" w:rsidRDefault="002771D6" w:rsidP="002771D6">
      <w:pPr>
        <w:spacing w:after="240"/>
        <w:ind w:left="567" w:hanging="567"/>
        <w:rPr>
          <w:color w:val="000000"/>
        </w:rPr>
      </w:pPr>
      <w:r w:rsidRPr="00EC58A7">
        <w:rPr>
          <w:color w:val="000000"/>
        </w:rPr>
        <w:t>3.</w:t>
      </w:r>
      <w:r w:rsidRPr="00EC58A7">
        <w:rPr>
          <w:color w:val="000000"/>
        </w:rPr>
        <w:tab/>
        <w:t xml:space="preserve">Jiddispjaċih li l-ibbaġitjar tas-surplus inaqqas il-kontribuzzjoni għar-riżorsi proprji bbażati fuq id-DNG tal-Istati Membri għall-finanzjament tal-baġit 2025 b’ammont proporzjonat; jisħaq li, fi żmien meta l-ħtiġijiet ta’ finanzjament għadhom għoljin, b’mod partikolari għall-ispejjeż żejda tal-EURI, u l-ispazju għal ċaqliq fi ħdan il-baġit tal-Unjoni għadu estremament limitat, il-baġit għandu jżomm livell suffiċjenti ta’ flessibbiltà biex jippermetti lill-Unjoni tlaħħaq ma’ avvenimenti mhux previsti u prijoritajiet emerġenti ġodda; jissottolinja li l-flessibbiltà tal-baġit tal-Unjoni hija waħda mill-kwistjonijiet ewlenin li għandhom jiġu indirizzati fin-negozjati għall-qafas finanzjarju pluriennali ta’ wara l-2027; </w:t>
      </w:r>
    </w:p>
    <w:p w14:paraId="070D8568" w14:textId="77777777" w:rsidR="002771D6" w:rsidRPr="00EC58A7" w:rsidRDefault="002771D6" w:rsidP="002771D6">
      <w:pPr>
        <w:spacing w:after="240"/>
        <w:ind w:left="567" w:hanging="567"/>
        <w:rPr>
          <w:color w:val="000000"/>
        </w:rPr>
      </w:pPr>
      <w:r w:rsidRPr="00EC58A7">
        <w:rPr>
          <w:color w:val="000000"/>
        </w:rPr>
        <w:lastRenderedPageBreak/>
        <w:t>4.</w:t>
      </w:r>
      <w:r w:rsidRPr="00EC58A7">
        <w:rPr>
          <w:color w:val="000000"/>
        </w:rPr>
        <w:tab/>
      </w:r>
      <w:r w:rsidRPr="00EC58A7">
        <w:t>Jistieden ukoll lill-Kummissjoni tfassal arkitettura soda u dejjiema għall-qafas finanzjarju pluriennali li jmiss li tippermetti l-ġestjoni sostenibbli tal-ispejjeż u l-obbligazzjonijiet mhux diskrezzjonarji kollha, filwaqt li tippreserva bis-sħiħ il-programmi tal-Unjoni u l-flessibbiltà u l-kapaċità ta’ rispons tal-baġit, b’mod partikolari fir-rigward tad-diżastri naturali u l-emerġenzi tas-saħħa, bil-ħsieb li tiġi implimentata bis-sħiħ l-Istrateġija ta’ Preparatezza tal-Unjoni;</w:t>
      </w:r>
      <w:r w:rsidRPr="00EC58A7">
        <w:rPr>
          <w:color w:val="000000"/>
        </w:rPr>
        <w:t xml:space="preserve"> </w:t>
      </w:r>
    </w:p>
    <w:p w14:paraId="2CC39F94" w14:textId="77777777" w:rsidR="002771D6" w:rsidRPr="00EC58A7" w:rsidRDefault="002771D6" w:rsidP="002771D6">
      <w:pPr>
        <w:pStyle w:val="NormalHanging12a"/>
      </w:pPr>
      <w:r w:rsidRPr="00EC58A7">
        <w:t>5.</w:t>
      </w:r>
      <w:r w:rsidRPr="00EC58A7">
        <w:tab/>
      </w:r>
      <w:r w:rsidRPr="00EC58A7">
        <w:rPr>
          <w:color w:val="000000"/>
        </w:rPr>
        <w:t>Ifakkar fil-pożizzjoni li ilu jħaddan li l-gwadann imprevist li jirriżulta minn multi u tariffi, jew ammonti ekwivalenti, għandu jintuża bħala dħul supplimentari għall-baġit tal-Unjoni għal skopijiet ta’ rispons għall-kriżijiet jew ħtiġijiet mhux mistennija u ma għandux iwassal għal tnaqqis korrispondenti fil-kontribuzzjonijiet ibbażati fuq id-DNG;</w:t>
      </w:r>
    </w:p>
    <w:p w14:paraId="67CDBE77" w14:textId="77777777" w:rsidR="002771D6" w:rsidRPr="00EC58A7" w:rsidRDefault="002771D6" w:rsidP="002771D6">
      <w:pPr>
        <w:pStyle w:val="NormalHanging12a"/>
        <w:ind w:hanging="570"/>
      </w:pPr>
      <w:r w:rsidRPr="00EC58A7">
        <w:t>6.</w:t>
      </w:r>
      <w:r w:rsidRPr="00EC58A7">
        <w:tab/>
        <w:t>Jieħu nota tal-partita tal-introjtu negattiv skont l-Artikolu 425 il-ġdid, li tammonta għal EUR 534 miljun u jilqa’ dan il-metodu ta’ inklużjoni tal-ispejjeż għall-baġit li jirriżultaw minn pagament li sar skont ftehim ta’ saldu li jinvolvi imgħax kumpensatorju u kumpens tal-imgħax ta’ inadempjenza relatati mal-pagament lura ta’ multi tal-kompetizzjoni annullati jew imnaqqsa f’konformità mas-sentenzi pertinenti tal-Qorti tal-Ġustizzja; ifakkar li l-Parlament, meta nnegozja r-riformulazzjoni tar-Regolament Finanzjarju, kien insista fuq l-applikazzjoni ta’ dan l-approċċ peress li s-soluzzjoni alternattiva kienet tkun approprjazzjonijiet tan-nefqa addizzjonali fl-Intestatura 7 li diġà hija mġebbda żżejjed; ifakkar li din is-soluzzjoni tintemm fil-31 ta’ Diċembru 2027; jistieden lill-Kummissjoni tipproponi soluzzjoni definittiva għall-</w:t>
      </w:r>
      <w:r w:rsidR="00AF5D8F" w:rsidRPr="00AF5D8F">
        <w:t>qafas finanzjarju pluriennali</w:t>
      </w:r>
      <w:r w:rsidRPr="00EC58A7">
        <w:t xml:space="preserve"> li jmiss li tilħaq l-istess objettiv li jiġi evitat kwalunkwe impatt fuq in-naħa tan-nefqa tal-baġit;</w:t>
      </w:r>
    </w:p>
    <w:p w14:paraId="5B10C2EE" w14:textId="77777777" w:rsidR="002771D6" w:rsidRPr="00EC58A7" w:rsidRDefault="002771D6" w:rsidP="002771D6">
      <w:pPr>
        <w:pStyle w:val="NormalHanging12a"/>
        <w:ind w:hanging="570"/>
        <w:rPr>
          <w:color w:val="000000"/>
        </w:rPr>
      </w:pPr>
      <w:r w:rsidRPr="00EC58A7">
        <w:t>7.</w:t>
      </w:r>
      <w:r w:rsidRPr="00EC58A7">
        <w:tab/>
      </w:r>
      <w:r w:rsidRPr="00EC58A7">
        <w:rPr>
          <w:color w:val="000000"/>
        </w:rPr>
        <w:t xml:space="preserve">Jenfasizza l-ħtieġa ta’ dħul sostenibbli għall-baġit tal-Unjoni; </w:t>
      </w:r>
      <w:r w:rsidRPr="00EC58A7">
        <w:t>jiddeplora, għalhekk, in-nuqqas totali ta’ progress fil-Kunsill dwar ir-riforma tas-sistema tar-riżorsi proprji f’konformità mal-ispirtu tal-pjan direzzjonali vinkolanti legalment fil-Ftehim Interistituzzjonali tas-16 ta’ Diċembru 2020;</w:t>
      </w:r>
      <w:r w:rsidRPr="00EC58A7">
        <w:rPr>
          <w:color w:val="1E1E1F"/>
        </w:rPr>
        <w:t xml:space="preserve"> </w:t>
      </w:r>
      <w:r w:rsidRPr="00EC58A7">
        <w:t>ifakkar fil-pożizzjoni tiegħu b’appoġġ għall-proposti emendati tal-Kummissjoni u jħeġġeġ lill-Kunsill jadotta dawk il-proposti b’urġenza sabiex jiddiversifika u jikkonsolida r-riżorsi proprji disponibbli għall-baġit tal-Unjoni;</w:t>
      </w:r>
    </w:p>
    <w:p w14:paraId="2D130D49" w14:textId="77777777" w:rsidR="002771D6" w:rsidRPr="00EC58A7" w:rsidRDefault="002771D6" w:rsidP="002771D6">
      <w:pPr>
        <w:pStyle w:val="NormalHanging12a"/>
        <w:ind w:hanging="570"/>
        <w:rPr>
          <w:color w:val="000000"/>
        </w:rPr>
      </w:pPr>
      <w:r w:rsidRPr="00EC58A7">
        <w:t>8.</w:t>
      </w:r>
      <w:r w:rsidRPr="00EC58A7">
        <w:tab/>
        <w:t xml:space="preserve">Jistieden, barra minn hekk, lill-Kummissjoni tkompli bl-isforzi biex tidentifika riżorsi proprji </w:t>
      </w:r>
      <w:proofErr w:type="spellStart"/>
      <w:r w:rsidRPr="00EC58A7">
        <w:t>innovattivi</w:t>
      </w:r>
      <w:proofErr w:type="spellEnd"/>
      <w:r w:rsidRPr="00EC58A7">
        <w:t xml:space="preserve"> u ġenwini ġodda addizzjonali u sorsi oħra ta’ dħul lil hinn minn dawk speċifikati fil-Ftehim Interistituzzjonali tas-16 ta’ Diċembru 2020; jisħaq li riżorsi proprji ġodda huma essenzjali mhux biss biex jippermettu l-ħlas lura tas-self </w:t>
      </w:r>
      <w:proofErr w:type="spellStart"/>
      <w:r w:rsidRPr="00EC58A7">
        <w:t>tan-Next</w:t>
      </w:r>
      <w:proofErr w:type="spellEnd"/>
      <w:r w:rsidRPr="00EC58A7">
        <w:t xml:space="preserve"> </w:t>
      </w:r>
      <w:proofErr w:type="spellStart"/>
      <w:r w:rsidRPr="00EC58A7">
        <w:t>Generation</w:t>
      </w:r>
      <w:proofErr w:type="spellEnd"/>
      <w:r w:rsidRPr="00EC58A7">
        <w:t xml:space="preserve"> EU, iżda biex jiġi żgurat li l-Unjoni tkun mgħammra biex tkopri l-ħtiġijiet ogħla ta’ nfiq tagħha, b’mod partikolari fil-kuntest tad-diversi sfidi li l-Unjoni qed tiffaċċja bħalissa, inkluż il-kuntest </w:t>
      </w:r>
      <w:proofErr w:type="spellStart"/>
      <w:r w:rsidRPr="00EC58A7">
        <w:t>ġeopolitiku</w:t>
      </w:r>
      <w:proofErr w:type="spellEnd"/>
      <w:r w:rsidRPr="00EC58A7">
        <w:t xml:space="preserve"> l-ġdid; iqis li l-politiki u l-isfidi l-ġodda kollha tal-Unjoni jridu jinvolvu mezzi finanzjarji ġodda u riżorsi ġodda addizzjonali;</w:t>
      </w:r>
    </w:p>
    <w:p w14:paraId="4EF187C7" w14:textId="77777777" w:rsidR="002771D6" w:rsidRPr="00EC58A7" w:rsidRDefault="002771D6" w:rsidP="002771D6">
      <w:pPr>
        <w:pStyle w:val="NormalHanging12a"/>
        <w:ind w:hanging="570"/>
      </w:pPr>
      <w:r w:rsidRPr="00EC58A7">
        <w:t>9.</w:t>
      </w:r>
      <w:r w:rsidRPr="00EC58A7">
        <w:tab/>
        <w:t>Japprova l-pożizzjoni tal-Kunsill dwar l-</w:t>
      </w:r>
      <w:r w:rsidR="00FB36FA">
        <w:t>A</w:t>
      </w:r>
      <w:r w:rsidRPr="00EC58A7">
        <w:t>bbozz tal-baġit emendatorju Nru 1/2025;</w:t>
      </w:r>
    </w:p>
    <w:p w14:paraId="22F2CA77" w14:textId="77777777" w:rsidR="002771D6" w:rsidRPr="00EC58A7" w:rsidRDefault="002771D6" w:rsidP="002771D6">
      <w:pPr>
        <w:pStyle w:val="NormalHanging12a"/>
        <w:ind w:hanging="570"/>
      </w:pPr>
      <w:r w:rsidRPr="00EC58A7">
        <w:t>10.</w:t>
      </w:r>
      <w:r w:rsidRPr="00EC58A7">
        <w:tab/>
        <w:t>Jagħti istruzzjonijiet lill-President tiegħu biex tiddikjara li l-</w:t>
      </w:r>
      <w:r w:rsidR="00FB36FA">
        <w:t>B</w:t>
      </w:r>
      <w:r w:rsidRPr="00EC58A7">
        <w:t>aġit emendatorju Nru 1/2025 ġie adottat b’mod definittiv u biex tiżgura li jiġi ppubblikat f’</w:t>
      </w:r>
      <w:r w:rsidRPr="00EC58A7">
        <w:rPr>
          <w:i/>
          <w:iCs/>
        </w:rPr>
        <w:t>Il-Ġurnal Uffiċjali tal-Unjoni Ewropea</w:t>
      </w:r>
      <w:r w:rsidRPr="00EC58A7">
        <w:t>;</w:t>
      </w:r>
    </w:p>
    <w:p w14:paraId="574E03A8" w14:textId="77777777" w:rsidR="00E365E1" w:rsidRPr="00EC58A7" w:rsidRDefault="002771D6" w:rsidP="004354CA">
      <w:pPr>
        <w:ind w:left="567" w:hanging="567"/>
      </w:pPr>
      <w:r w:rsidRPr="00EC58A7">
        <w:t>11.</w:t>
      </w:r>
      <w:r w:rsidRPr="00EC58A7">
        <w:tab/>
        <w:t>Jagħti istruzzjonijiet lill-President tiegħu biex tgħaddi din ir-riżoluzzjoni lill-Kunsill, lill-Kummissjoni, lill-istituzzjonijiet l-oħra u lill-entitajiet ikkonċernati, kif ukoll lill-parlamenti nazzjonali.</w:t>
      </w:r>
    </w:p>
    <w:sectPr w:rsidR="00E365E1" w:rsidRPr="00EC58A7" w:rsidSect="00EC58A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8DA4D" w14:textId="77777777" w:rsidR="003C4F2A" w:rsidRPr="00EC58A7" w:rsidRDefault="003C4F2A">
      <w:r w:rsidRPr="00EC58A7">
        <w:separator/>
      </w:r>
    </w:p>
  </w:endnote>
  <w:endnote w:type="continuationSeparator" w:id="0">
    <w:p w14:paraId="58B9E546" w14:textId="77777777" w:rsidR="003C4F2A" w:rsidRPr="00EC58A7" w:rsidRDefault="003C4F2A">
      <w:r w:rsidRPr="00EC58A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C55D5" w14:textId="77777777" w:rsidR="00064002" w:rsidRPr="00EC58A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565E6" w14:textId="77777777" w:rsidR="00064002" w:rsidRPr="00EC58A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5E741" w14:textId="77777777" w:rsidR="00064002" w:rsidRPr="00EC58A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B7E56C" w14:textId="77777777" w:rsidR="003C4F2A" w:rsidRPr="00EC58A7" w:rsidRDefault="003C4F2A">
      <w:r w:rsidRPr="00EC58A7">
        <w:separator/>
      </w:r>
    </w:p>
  </w:footnote>
  <w:footnote w:type="continuationSeparator" w:id="0">
    <w:p w14:paraId="356F613F" w14:textId="77777777" w:rsidR="003C4F2A" w:rsidRPr="00EC58A7" w:rsidRDefault="003C4F2A">
      <w:r w:rsidRPr="00EC58A7">
        <w:continuationSeparator/>
      </w:r>
    </w:p>
  </w:footnote>
  <w:footnote w:id="1">
    <w:p w14:paraId="22A2A185" w14:textId="77777777" w:rsidR="002771D6" w:rsidRPr="00EC58A7" w:rsidRDefault="002771D6" w:rsidP="00EC58A7">
      <w:pPr>
        <w:pStyle w:val="FootnoteText"/>
        <w:ind w:left="567" w:hanging="567"/>
        <w:rPr>
          <w:sz w:val="24"/>
          <w:lang w:val="mt-MT"/>
        </w:rPr>
      </w:pPr>
      <w:r w:rsidRPr="00EC58A7">
        <w:rPr>
          <w:rStyle w:val="FootnoteReference"/>
          <w:sz w:val="24"/>
          <w:lang w:val="mt-MT"/>
        </w:rPr>
        <w:footnoteRef/>
      </w:r>
      <w:r w:rsidR="00EC58A7" w:rsidRPr="00EC58A7">
        <w:rPr>
          <w:sz w:val="24"/>
          <w:lang w:val="mt-MT"/>
        </w:rPr>
        <w:t xml:space="preserve"> </w:t>
      </w:r>
      <w:r w:rsidR="00EC58A7" w:rsidRPr="00EC58A7">
        <w:rPr>
          <w:sz w:val="24"/>
          <w:lang w:val="mt-MT"/>
        </w:rPr>
        <w:tab/>
      </w:r>
      <w:r w:rsidRPr="00EC58A7">
        <w:rPr>
          <w:sz w:val="24"/>
          <w:lang w:val="mt-MT"/>
        </w:rPr>
        <w:t xml:space="preserve">ĠU L, 2024/2509, 26.9.2024, </w:t>
      </w:r>
      <w:hyperlink r:id="rId1" w:history="1">
        <w:r w:rsidRPr="00EC58A7">
          <w:rPr>
            <w:rStyle w:val="Hyperlink"/>
            <w:sz w:val="24"/>
            <w:lang w:val="mt-MT"/>
          </w:rPr>
          <w:t>http://data.europa.eu/eli/reg/2024/2509/oj</w:t>
        </w:r>
      </w:hyperlink>
      <w:r w:rsidRPr="00EC58A7">
        <w:rPr>
          <w:sz w:val="24"/>
          <w:lang w:val="mt-MT"/>
        </w:rPr>
        <w:t>.</w:t>
      </w:r>
    </w:p>
  </w:footnote>
  <w:footnote w:id="2">
    <w:p w14:paraId="541B399E" w14:textId="77777777" w:rsidR="002771D6" w:rsidRPr="00EC58A7" w:rsidRDefault="002771D6" w:rsidP="00EC58A7">
      <w:pPr>
        <w:pStyle w:val="FootnoteText"/>
        <w:ind w:left="567" w:hanging="567"/>
        <w:rPr>
          <w:sz w:val="24"/>
          <w:lang w:val="mt-MT"/>
        </w:rPr>
      </w:pPr>
      <w:r w:rsidRPr="00EC58A7">
        <w:rPr>
          <w:rStyle w:val="FootnoteReference"/>
          <w:sz w:val="24"/>
          <w:lang w:val="mt-MT"/>
        </w:rPr>
        <w:footnoteRef/>
      </w:r>
      <w:r w:rsidR="00EC58A7" w:rsidRPr="00EC58A7">
        <w:rPr>
          <w:sz w:val="24"/>
          <w:lang w:val="mt-MT"/>
        </w:rPr>
        <w:t xml:space="preserve"> </w:t>
      </w:r>
      <w:r w:rsidR="00EC58A7" w:rsidRPr="00EC58A7">
        <w:rPr>
          <w:sz w:val="24"/>
          <w:lang w:val="mt-MT"/>
        </w:rPr>
        <w:tab/>
      </w:r>
      <w:r w:rsidRPr="00EC58A7">
        <w:rPr>
          <w:sz w:val="24"/>
          <w:lang w:val="mt-MT"/>
        </w:rPr>
        <w:t>ĠU L, 2025/31, 27.2.2025</w:t>
      </w:r>
      <w:r w:rsidRPr="00EC58A7">
        <w:rPr>
          <w:i/>
          <w:sz w:val="24"/>
          <w:lang w:val="mt-MT"/>
        </w:rPr>
        <w:t>,</w:t>
      </w:r>
      <w:r w:rsidRPr="00EC58A7">
        <w:rPr>
          <w:sz w:val="24"/>
          <w:lang w:val="mt-MT"/>
        </w:rPr>
        <w:t xml:space="preserve"> </w:t>
      </w:r>
      <w:hyperlink r:id="rId2" w:history="1">
        <w:r w:rsidRPr="00EC58A7">
          <w:rPr>
            <w:rStyle w:val="Hyperlink"/>
            <w:sz w:val="24"/>
            <w:lang w:val="mt-MT"/>
          </w:rPr>
          <w:t>http://data.europa.eu/eli/budget/2025/31/oj</w:t>
        </w:r>
      </w:hyperlink>
      <w:r w:rsidRPr="00EC58A7">
        <w:rPr>
          <w:rStyle w:val="Hyperlink"/>
          <w:sz w:val="24"/>
          <w:lang w:val="mt-MT"/>
        </w:rPr>
        <w:t>.</w:t>
      </w:r>
    </w:p>
  </w:footnote>
  <w:footnote w:id="3">
    <w:p w14:paraId="337E351F" w14:textId="77777777" w:rsidR="002771D6" w:rsidRPr="00EC58A7" w:rsidRDefault="002771D6" w:rsidP="00EC58A7">
      <w:pPr>
        <w:pStyle w:val="FootnoteText"/>
        <w:ind w:left="567" w:hanging="567"/>
        <w:rPr>
          <w:sz w:val="24"/>
          <w:lang w:val="mt-MT"/>
        </w:rPr>
      </w:pPr>
      <w:r w:rsidRPr="00EC58A7">
        <w:rPr>
          <w:rStyle w:val="FootnoteReference"/>
          <w:sz w:val="24"/>
          <w:lang w:val="mt-MT"/>
        </w:rPr>
        <w:footnoteRef/>
      </w:r>
      <w:r w:rsidR="00EC58A7" w:rsidRPr="00EC58A7">
        <w:rPr>
          <w:sz w:val="24"/>
          <w:lang w:val="mt-MT"/>
        </w:rPr>
        <w:t xml:space="preserve"> </w:t>
      </w:r>
      <w:r w:rsidR="00EC58A7" w:rsidRPr="00EC58A7">
        <w:rPr>
          <w:sz w:val="24"/>
          <w:lang w:val="mt-MT"/>
        </w:rPr>
        <w:tab/>
      </w:r>
      <w:r w:rsidRPr="00EC58A7">
        <w:rPr>
          <w:sz w:val="24"/>
          <w:lang w:val="mt-MT"/>
        </w:rPr>
        <w:t xml:space="preserve">ĠU L 433 I, 22.12.2020, p. 11, ELI: </w:t>
      </w:r>
      <w:hyperlink r:id="rId3" w:history="1">
        <w:r w:rsidRPr="00EC58A7">
          <w:rPr>
            <w:rStyle w:val="Hyperlink"/>
            <w:sz w:val="24"/>
            <w:lang w:val="mt-MT"/>
          </w:rPr>
          <w:t>http://data.europa.eu/eli/reg/2020/2093/oj</w:t>
        </w:r>
      </w:hyperlink>
      <w:r w:rsidRPr="00EC58A7">
        <w:rPr>
          <w:sz w:val="24"/>
          <w:lang w:val="mt-MT"/>
        </w:rPr>
        <w:t>.</w:t>
      </w:r>
    </w:p>
  </w:footnote>
  <w:footnote w:id="4">
    <w:p w14:paraId="0BC8AE1F" w14:textId="77777777" w:rsidR="002771D6" w:rsidRPr="00EC58A7" w:rsidRDefault="002771D6" w:rsidP="00EC58A7">
      <w:pPr>
        <w:pStyle w:val="FootnoteText"/>
        <w:ind w:left="567" w:hanging="567"/>
        <w:rPr>
          <w:sz w:val="24"/>
          <w:lang w:val="mt-MT"/>
        </w:rPr>
      </w:pPr>
      <w:r w:rsidRPr="00EC58A7">
        <w:rPr>
          <w:rStyle w:val="FootnoteReference"/>
          <w:sz w:val="24"/>
          <w:lang w:val="mt-MT"/>
        </w:rPr>
        <w:footnoteRef/>
      </w:r>
      <w:r w:rsidR="00EC58A7" w:rsidRPr="00EC58A7">
        <w:rPr>
          <w:sz w:val="24"/>
          <w:lang w:val="mt-MT"/>
        </w:rPr>
        <w:t xml:space="preserve"> </w:t>
      </w:r>
      <w:r w:rsidR="00EC58A7" w:rsidRPr="00EC58A7">
        <w:rPr>
          <w:sz w:val="24"/>
          <w:lang w:val="mt-MT"/>
        </w:rPr>
        <w:tab/>
      </w:r>
      <w:r w:rsidRPr="00EC58A7">
        <w:rPr>
          <w:sz w:val="24"/>
          <w:lang w:val="mt-MT"/>
        </w:rPr>
        <w:t xml:space="preserve">ĠU L 433 I, 22.12.2020, p. 28, ELI: </w:t>
      </w:r>
      <w:hyperlink r:id="rId4" w:history="1">
        <w:r w:rsidRPr="00EC58A7">
          <w:rPr>
            <w:rStyle w:val="Hyperlink"/>
            <w:sz w:val="24"/>
            <w:lang w:val="mt-MT"/>
          </w:rPr>
          <w:t>http://data.europa.eu/eli/agree_interinstit/2020/1222/oj</w:t>
        </w:r>
      </w:hyperlink>
      <w:r w:rsidRPr="00EC58A7">
        <w:rPr>
          <w:rStyle w:val="Hyperlink"/>
          <w:sz w:val="24"/>
          <w:lang w:val="mt-MT"/>
        </w:rPr>
        <w:t>.</w:t>
      </w:r>
    </w:p>
  </w:footnote>
  <w:footnote w:id="5">
    <w:p w14:paraId="2CCC9628" w14:textId="77777777" w:rsidR="002771D6" w:rsidRPr="00EC58A7" w:rsidRDefault="002771D6" w:rsidP="00EC58A7">
      <w:pPr>
        <w:pStyle w:val="FootnoteText"/>
        <w:ind w:left="567" w:hanging="567"/>
        <w:rPr>
          <w:sz w:val="24"/>
          <w:lang w:val="mt-MT"/>
        </w:rPr>
      </w:pPr>
      <w:r w:rsidRPr="00EC58A7">
        <w:rPr>
          <w:rStyle w:val="FootnoteReference"/>
          <w:sz w:val="24"/>
          <w:lang w:val="mt-MT"/>
        </w:rPr>
        <w:footnoteRef/>
      </w:r>
      <w:r w:rsidR="00EC58A7" w:rsidRPr="00EC58A7">
        <w:rPr>
          <w:sz w:val="24"/>
          <w:lang w:val="mt-MT"/>
        </w:rPr>
        <w:t xml:space="preserve"> </w:t>
      </w:r>
      <w:r w:rsidR="00EC58A7" w:rsidRPr="00EC58A7">
        <w:rPr>
          <w:sz w:val="24"/>
          <w:lang w:val="mt-MT"/>
        </w:rPr>
        <w:tab/>
      </w:r>
      <w:r w:rsidRPr="00EC58A7">
        <w:rPr>
          <w:sz w:val="24"/>
          <w:lang w:val="mt-MT"/>
        </w:rPr>
        <w:t xml:space="preserve">ĠU L 424, 15.12.2020, p. 1, ELI: </w:t>
      </w:r>
      <w:hyperlink r:id="rId5" w:history="1">
        <w:r w:rsidRPr="00EC58A7">
          <w:rPr>
            <w:rStyle w:val="Hyperlink"/>
            <w:sz w:val="24"/>
            <w:lang w:val="mt-MT"/>
          </w:rPr>
          <w:t>http://data.europa.eu/eli/dec/2020/2053/oj</w:t>
        </w:r>
      </w:hyperlink>
      <w:r w:rsidRPr="00EC58A7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A1FCC" w14:textId="77777777" w:rsidR="00064002" w:rsidRPr="00EC58A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5B761" w14:textId="77777777" w:rsidR="00064002" w:rsidRPr="00EC58A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325A5" w14:textId="77777777" w:rsidR="00064002" w:rsidRPr="00EC58A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58911879">
    <w:abstractNumId w:val="9"/>
  </w:num>
  <w:num w:numId="2" w16cid:durableId="590047829">
    <w:abstractNumId w:val="9"/>
  </w:num>
  <w:num w:numId="3" w16cid:durableId="856770300">
    <w:abstractNumId w:val="7"/>
  </w:num>
  <w:num w:numId="4" w16cid:durableId="2123107689">
    <w:abstractNumId w:val="7"/>
  </w:num>
  <w:num w:numId="5" w16cid:durableId="1842697136">
    <w:abstractNumId w:val="6"/>
  </w:num>
  <w:num w:numId="6" w16cid:durableId="472791350">
    <w:abstractNumId w:val="6"/>
  </w:num>
  <w:num w:numId="7" w16cid:durableId="1812282469">
    <w:abstractNumId w:val="5"/>
  </w:num>
  <w:num w:numId="8" w16cid:durableId="1364402010">
    <w:abstractNumId w:val="5"/>
  </w:num>
  <w:num w:numId="9" w16cid:durableId="443160215">
    <w:abstractNumId w:val="4"/>
  </w:num>
  <w:num w:numId="10" w16cid:durableId="1783069208">
    <w:abstractNumId w:val="4"/>
  </w:num>
  <w:num w:numId="11" w16cid:durableId="1462844460">
    <w:abstractNumId w:val="8"/>
  </w:num>
  <w:num w:numId="12" w16cid:durableId="593048972">
    <w:abstractNumId w:val="8"/>
  </w:num>
  <w:num w:numId="13" w16cid:durableId="1404908116">
    <w:abstractNumId w:val="3"/>
  </w:num>
  <w:num w:numId="14" w16cid:durableId="2028406504">
    <w:abstractNumId w:val="3"/>
  </w:num>
  <w:num w:numId="15" w16cid:durableId="1620454104">
    <w:abstractNumId w:val="2"/>
  </w:num>
  <w:num w:numId="16" w16cid:durableId="1141653528">
    <w:abstractNumId w:val="2"/>
  </w:num>
  <w:num w:numId="17" w16cid:durableId="505561052">
    <w:abstractNumId w:val="1"/>
  </w:num>
  <w:num w:numId="18" w16cid:durableId="865211139">
    <w:abstractNumId w:val="1"/>
  </w:num>
  <w:num w:numId="19" w16cid:durableId="410781694">
    <w:abstractNumId w:val="0"/>
  </w:num>
  <w:num w:numId="20" w16cid:durableId="165368714">
    <w:abstractNumId w:val="0"/>
  </w:num>
  <w:num w:numId="21" w16cid:durableId="820730646">
    <w:abstractNumId w:val="9"/>
  </w:num>
  <w:num w:numId="22" w16cid:durableId="403572305">
    <w:abstractNumId w:val="7"/>
  </w:num>
  <w:num w:numId="23" w16cid:durableId="473837436">
    <w:abstractNumId w:val="6"/>
  </w:num>
  <w:num w:numId="24" w16cid:durableId="676081630">
    <w:abstractNumId w:val="5"/>
  </w:num>
  <w:num w:numId="25" w16cid:durableId="2083065196">
    <w:abstractNumId w:val="4"/>
  </w:num>
  <w:num w:numId="26" w16cid:durableId="2036298341">
    <w:abstractNumId w:val="8"/>
  </w:num>
  <w:num w:numId="27" w16cid:durableId="1050423566">
    <w:abstractNumId w:val="3"/>
  </w:num>
  <w:num w:numId="28" w16cid:durableId="985203325">
    <w:abstractNumId w:val="2"/>
  </w:num>
  <w:num w:numId="29" w16cid:durableId="1767968144">
    <w:abstractNumId w:val="1"/>
  </w:num>
  <w:num w:numId="30" w16cid:durableId="1397389858">
    <w:abstractNumId w:val="0"/>
  </w:num>
  <w:num w:numId="31" w16cid:durableId="1923875451">
    <w:abstractNumId w:val="9"/>
  </w:num>
  <w:num w:numId="32" w16cid:durableId="1445226867">
    <w:abstractNumId w:val="7"/>
  </w:num>
  <w:num w:numId="33" w16cid:durableId="710883258">
    <w:abstractNumId w:val="6"/>
  </w:num>
  <w:num w:numId="34" w16cid:durableId="1833763125">
    <w:abstractNumId w:val="5"/>
  </w:num>
  <w:num w:numId="35" w16cid:durableId="999382418">
    <w:abstractNumId w:val="4"/>
  </w:num>
  <w:num w:numId="36" w16cid:durableId="305624261">
    <w:abstractNumId w:val="8"/>
  </w:num>
  <w:num w:numId="37" w16cid:durableId="878014587">
    <w:abstractNumId w:val="3"/>
  </w:num>
  <w:num w:numId="38" w16cid:durableId="604196777">
    <w:abstractNumId w:val="2"/>
  </w:num>
  <w:num w:numId="39" w16cid:durableId="209996698">
    <w:abstractNumId w:val="1"/>
  </w:num>
  <w:num w:numId="40" w16cid:durableId="1101606833">
    <w:abstractNumId w:val="0"/>
  </w:num>
  <w:num w:numId="41" w16cid:durableId="1665935155">
    <w:abstractNumId w:val="10"/>
  </w:num>
  <w:num w:numId="42" w16cid:durableId="177236706">
    <w:abstractNumId w:val="10"/>
  </w:num>
  <w:num w:numId="43" w16cid:durableId="1146360358">
    <w:abstractNumId w:val="10"/>
  </w:num>
  <w:num w:numId="44" w16cid:durableId="58625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16/2025"/>
    <w:docVar w:name="dvlangue" w:val="MT"/>
    <w:docVar w:name="dvnumam" w:val="0"/>
    <w:docVar w:name="dvpe" w:val="773.098"/>
    <w:docVar w:name="dvrapporteur" w:val="Rapporteur: "/>
    <w:docVar w:name="dvtitre" w:val="Deċiżjoni tal-Parlament Ewropew tad-9 ta' Lulju 2025 dwar il-pożizzjoni tal-Kunsill dwar l-abbozz ta’ baġit emendatorju nru 1 għall-baġit ġenerali 2025: dħul tas-surplus mis-sena finanzjarja 2024(09619/2025 – C10-0125/2025 – 2025/0091(BUD))"/>
  </w:docVars>
  <w:rsids>
    <w:rsidRoot w:val="003C4F2A"/>
    <w:rsid w:val="00002272"/>
    <w:rsid w:val="00064002"/>
    <w:rsid w:val="000677B9"/>
    <w:rsid w:val="00080B85"/>
    <w:rsid w:val="000831BA"/>
    <w:rsid w:val="000A42CC"/>
    <w:rsid w:val="000E7DD9"/>
    <w:rsid w:val="0010095E"/>
    <w:rsid w:val="00125B37"/>
    <w:rsid w:val="00187494"/>
    <w:rsid w:val="001D3EFF"/>
    <w:rsid w:val="001F32AE"/>
    <w:rsid w:val="002767FF"/>
    <w:rsid w:val="002771D6"/>
    <w:rsid w:val="002B18FE"/>
    <w:rsid w:val="002B5493"/>
    <w:rsid w:val="00343214"/>
    <w:rsid w:val="00361C00"/>
    <w:rsid w:val="00395FA1"/>
    <w:rsid w:val="003C4F2A"/>
    <w:rsid w:val="003E15D4"/>
    <w:rsid w:val="004028B9"/>
    <w:rsid w:val="00411CCE"/>
    <w:rsid w:val="0041666E"/>
    <w:rsid w:val="00421060"/>
    <w:rsid w:val="004354CA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19D9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5C82"/>
    <w:rsid w:val="00786EC0"/>
    <w:rsid w:val="007C3546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05DB"/>
    <w:rsid w:val="00A1687D"/>
    <w:rsid w:val="00A43E52"/>
    <w:rsid w:val="00A4678D"/>
    <w:rsid w:val="00A778C7"/>
    <w:rsid w:val="00AB441E"/>
    <w:rsid w:val="00AB6293"/>
    <w:rsid w:val="00AE0928"/>
    <w:rsid w:val="00AF3B82"/>
    <w:rsid w:val="00AF5D8F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97006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58A7"/>
    <w:rsid w:val="00ED169E"/>
    <w:rsid w:val="00ED4235"/>
    <w:rsid w:val="00F04346"/>
    <w:rsid w:val="00F075DC"/>
    <w:rsid w:val="00F149E9"/>
    <w:rsid w:val="00F5134D"/>
    <w:rsid w:val="00F74202"/>
    <w:rsid w:val="00F87713"/>
    <w:rsid w:val="00FB36F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F9B15D"/>
  <w15:chartTrackingRefBased/>
  <w15:docId w15:val="{5244237A-9A78-4126-9EAD-56103601D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771D6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2771D6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2771D6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2771D6"/>
    <w:rPr>
      <w:sz w:val="24"/>
      <w:lang w:val="mt-MT"/>
    </w:rPr>
  </w:style>
  <w:style w:type="paragraph" w:styleId="BalloonText">
    <w:name w:val="Balloon Text"/>
    <w:basedOn w:val="Normal"/>
    <w:link w:val="BalloonTextChar"/>
    <w:rsid w:val="00AF5D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F5D8F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0/2093/oj" TargetMode="External"/><Relationship Id="rId2" Type="http://schemas.openxmlformats.org/officeDocument/2006/relationships/hyperlink" Target="http://data.europa.eu/eli/budget/2025/31/oj%20" TargetMode="External"/><Relationship Id="rId1" Type="http://schemas.openxmlformats.org/officeDocument/2006/relationships/hyperlink" Target="http://data.europa.eu/eli/reg/2024/2509/oj" TargetMode="External"/><Relationship Id="rId5" Type="http://schemas.openxmlformats.org/officeDocument/2006/relationships/hyperlink" Target="http://data.europa.eu/eli/dec/2020/2053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97B492-BF69-4CFF-8889-E9F6E882E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974</Words>
  <Characters>7117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2025-10-21T11:16:00Z</dcterms:created>
  <dcterms:modified xsi:type="dcterms:W3CDTF">2025-10-21T11:16:00Z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P10_TA(2025)0151_</vt:lpwstr>
  </property>
  <property fmtid="{D5CDD505-2E9C-101B-9397-08002B2CF9AE}" pid="4" name="&lt;Type&gt;">
    <vt:lpwstr>RR</vt:lpwstr>
  </property>
</Properties>
</file>