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B36" w14:paraId="3AB287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9E8CC7" w14:textId="77777777" w:rsidR="00751A4A" w:rsidRPr="00EE4B36" w:rsidRDefault="005B67AC" w:rsidP="0010095E">
            <w:pPr>
              <w:pStyle w:val="EPName"/>
            </w:pPr>
            <w:r w:rsidRPr="00EE4B36">
              <w:t>Parlament Europejski</w:t>
            </w:r>
          </w:p>
          <w:p w14:paraId="798B7BFE" w14:textId="77777777" w:rsidR="00751A4A" w:rsidRPr="00EE4B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B36">
              <w:t>2024</w:t>
            </w:r>
            <w:r w:rsidR="00817416" w:rsidRPr="00EE4B36">
              <w:t>-202</w:t>
            </w:r>
            <w:r w:rsidRPr="00EE4B36">
              <w:t>9</w:t>
            </w:r>
          </w:p>
        </w:tc>
        <w:tc>
          <w:tcPr>
            <w:tcW w:w="2268" w:type="dxa"/>
            <w:shd w:val="clear" w:color="auto" w:fill="auto"/>
          </w:tcPr>
          <w:p w14:paraId="7720A6F9" w14:textId="77777777" w:rsidR="00751A4A" w:rsidRPr="00EE4B36" w:rsidRDefault="00187494" w:rsidP="0010095E">
            <w:pPr>
              <w:pStyle w:val="EPLogo"/>
            </w:pPr>
            <w:r w:rsidRPr="00EE4B36">
              <w:rPr>
                <w:noProof/>
              </w:rPr>
              <w:drawing>
                <wp:inline distT="0" distB="0" distL="0" distR="0" wp14:anchorId="3DAC4AA1" wp14:editId="15B7DF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CB37D" w14:textId="77777777" w:rsidR="00D058B8" w:rsidRPr="00EE4B36" w:rsidRDefault="00D058B8" w:rsidP="004C5D52">
      <w:pPr>
        <w:pStyle w:val="LineTop"/>
      </w:pPr>
    </w:p>
    <w:p w14:paraId="127EB68D" w14:textId="77777777" w:rsidR="00680577" w:rsidRPr="00EE4B36" w:rsidRDefault="005B67AC" w:rsidP="00680577">
      <w:pPr>
        <w:pStyle w:val="EPBodyTA1"/>
      </w:pPr>
      <w:r w:rsidRPr="00EE4B36">
        <w:t>TEKSTY PRZYJĘTE</w:t>
      </w:r>
    </w:p>
    <w:p w14:paraId="222E07AE" w14:textId="77777777" w:rsidR="00D058B8" w:rsidRPr="00EE4B36" w:rsidRDefault="00D058B8" w:rsidP="00D058B8">
      <w:pPr>
        <w:pStyle w:val="LineBottom"/>
      </w:pPr>
    </w:p>
    <w:p w14:paraId="5AE96A7D" w14:textId="77820BF7" w:rsidR="005B67AC" w:rsidRPr="00EE4B36" w:rsidRDefault="005B67AC" w:rsidP="005B67AC">
      <w:pPr>
        <w:pStyle w:val="ATHeading1"/>
      </w:pPr>
      <w:bookmarkStart w:id="0" w:name="TANumber"/>
      <w:r w:rsidRPr="00EE4B36">
        <w:t>P10_TA(2025)0</w:t>
      </w:r>
      <w:bookmarkEnd w:id="0"/>
      <w:r w:rsidR="00BE6DE8">
        <w:t>151</w:t>
      </w:r>
    </w:p>
    <w:p w14:paraId="47A713CD" w14:textId="64D3C47B" w:rsidR="005B67AC" w:rsidRPr="00EE4B36" w:rsidRDefault="006D4F6A" w:rsidP="006D4F6A">
      <w:pPr>
        <w:pStyle w:val="ATHeading2"/>
      </w:pPr>
      <w:r w:rsidRPr="006D4F6A">
        <w:t>Projekt budżetu korygującego nr 1</w:t>
      </w:r>
      <w:r w:rsidR="008C433D">
        <w:t>/2025</w:t>
      </w:r>
      <w:r w:rsidRPr="006D4F6A">
        <w:t xml:space="preserve"> do budżetu ogólnego na rok 2025 – zapisanie nadwyżki z roku</w:t>
      </w:r>
      <w:r>
        <w:t xml:space="preserve"> </w:t>
      </w:r>
      <w:r w:rsidRPr="006D4F6A">
        <w:t>budżetowego 2024</w:t>
      </w:r>
    </w:p>
    <w:p w14:paraId="6FAF89DE" w14:textId="77777777" w:rsidR="005B67AC" w:rsidRPr="00EE4B36" w:rsidRDefault="005B67AC" w:rsidP="005B67AC">
      <w:pPr>
        <w:rPr>
          <w:i/>
          <w:vanish/>
        </w:rPr>
      </w:pPr>
      <w:r w:rsidRPr="00EE4B36">
        <w:rPr>
          <w:i/>
        </w:rPr>
        <w:fldChar w:fldCharType="begin"/>
      </w:r>
      <w:r w:rsidRPr="00EE4B36">
        <w:rPr>
          <w:i/>
        </w:rPr>
        <w:instrText xml:space="preserve"> TC"(</w:instrText>
      </w:r>
      <w:bookmarkStart w:id="1" w:name="DocNumber"/>
      <w:r w:rsidRPr="00EE4B36">
        <w:rPr>
          <w:i/>
        </w:rPr>
        <w:instrText>A10-0116/2025</w:instrText>
      </w:r>
      <w:bookmarkEnd w:id="1"/>
      <w:r w:rsidRPr="00EE4B36">
        <w:rPr>
          <w:i/>
        </w:rPr>
        <w:instrText xml:space="preserve"> - Sprawozdawca: Victor </w:instrText>
      </w:r>
      <w:proofErr w:type="spellStart"/>
      <w:r w:rsidRPr="00EE4B36">
        <w:rPr>
          <w:i/>
        </w:rPr>
        <w:instrText>Negrescu</w:instrText>
      </w:r>
      <w:proofErr w:type="spellEnd"/>
      <w:r w:rsidRPr="00EE4B36">
        <w:rPr>
          <w:i/>
        </w:rPr>
        <w:instrText xml:space="preserve">)"\l3 \n&gt; \* MERGEFORMAT </w:instrText>
      </w:r>
      <w:r w:rsidRPr="00EE4B36">
        <w:rPr>
          <w:i/>
        </w:rPr>
        <w:fldChar w:fldCharType="end"/>
      </w:r>
    </w:p>
    <w:p w14:paraId="3C490727" w14:textId="77777777" w:rsidR="005B67AC" w:rsidRPr="00EE4B36" w:rsidRDefault="005B67AC" w:rsidP="005B67AC">
      <w:pPr>
        <w:rPr>
          <w:vanish/>
        </w:rPr>
      </w:pPr>
      <w:bookmarkStart w:id="2" w:name="Commission"/>
      <w:r w:rsidRPr="00EE4B36">
        <w:rPr>
          <w:vanish/>
        </w:rPr>
        <w:t>Komisja Budżetowa</w:t>
      </w:r>
      <w:bookmarkEnd w:id="2"/>
    </w:p>
    <w:p w14:paraId="58A44699" w14:textId="77777777" w:rsidR="005B67AC" w:rsidRPr="00EE4B36" w:rsidRDefault="005B67AC" w:rsidP="005B67AC">
      <w:pPr>
        <w:rPr>
          <w:vanish/>
        </w:rPr>
      </w:pPr>
      <w:bookmarkStart w:id="3" w:name="PE"/>
      <w:r w:rsidRPr="00EE4B36">
        <w:rPr>
          <w:vanish/>
        </w:rPr>
        <w:t>PE773.098</w:t>
      </w:r>
      <w:bookmarkEnd w:id="3"/>
    </w:p>
    <w:p w14:paraId="313536D9" w14:textId="77777777" w:rsidR="005B67AC" w:rsidRPr="00EE4B36" w:rsidRDefault="005B67AC" w:rsidP="005B67AC">
      <w:pPr>
        <w:pStyle w:val="ATHeading3"/>
      </w:pPr>
      <w:bookmarkStart w:id="4" w:name="Sujet"/>
      <w:r w:rsidRPr="00EE4B36">
        <w:t xml:space="preserve">Rezolucja Parlamentu Europejskiego z dnia </w:t>
      </w:r>
      <w:r w:rsidR="006D4F6A">
        <w:t>9 lipca</w:t>
      </w:r>
      <w:r w:rsidRPr="00EE4B36">
        <w:t xml:space="preserve"> 2025 r. w sprawie stanowiska Rady dotyczącego projektu budżetu korygującego nr 1/2025 Unii Europejskiej na rok budżetowy 2025 – zapisanie nadwyżki z roku budżetowego 2024</w:t>
      </w:r>
      <w:bookmarkEnd w:id="4"/>
      <w:r w:rsidRPr="00EE4B36">
        <w:t xml:space="preserve"> </w:t>
      </w:r>
      <w:bookmarkStart w:id="5" w:name="References"/>
      <w:r w:rsidRPr="00EE4B36">
        <w:t>(09619/2025 – C10-0125/2025 – 2025/0091(BUD))</w:t>
      </w:r>
      <w:bookmarkEnd w:id="5"/>
    </w:p>
    <w:p w14:paraId="67DA1697" w14:textId="77777777" w:rsidR="00F50308" w:rsidRPr="00EE4B36" w:rsidRDefault="00F50308" w:rsidP="00F50308">
      <w:pPr>
        <w:pStyle w:val="EPComma"/>
      </w:pPr>
      <w:bookmarkStart w:id="6" w:name="TextBodyBegin"/>
      <w:bookmarkEnd w:id="6"/>
      <w:r w:rsidRPr="00EE4B36">
        <w:rPr>
          <w:i/>
        </w:rPr>
        <w:t>Parlament Europejski</w:t>
      </w:r>
      <w:r w:rsidRPr="00EE4B36">
        <w:t>,</w:t>
      </w:r>
    </w:p>
    <w:p w14:paraId="34A19A90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art. 314 Traktatu o funkcjonowaniu Unii Europejskiej,</w:t>
      </w:r>
    </w:p>
    <w:p w14:paraId="36B35BE2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art. 106a Traktatu ustanawiającego Europejską Wspólnotę Energii Atomowej,</w:t>
      </w:r>
    </w:p>
    <w:p w14:paraId="19D8B137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 xml:space="preserve">uwzględniając rozporządzenie Parlamentu Europejskiego i Rady (UE, </w:t>
      </w:r>
      <w:proofErr w:type="spellStart"/>
      <w:r w:rsidRPr="00EE4B36">
        <w:t>Euratom</w:t>
      </w:r>
      <w:proofErr w:type="spellEnd"/>
      <w:r w:rsidRPr="00EE4B36">
        <w:t>) 2024/2509 z dnia 23 września 2024 r. w sprawie zasad finansowych mających zastosowanie do budżetu ogólnego Unii</w:t>
      </w:r>
      <w:r w:rsidRPr="00EE4B36">
        <w:rPr>
          <w:rStyle w:val="FootnoteReference"/>
        </w:rPr>
        <w:footnoteReference w:id="1"/>
      </w:r>
      <w:r w:rsidRPr="00EE4B36">
        <w:t>, w szczególności jego art. 44,</w:t>
      </w:r>
    </w:p>
    <w:p w14:paraId="291342BB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budżet ogólny Unii Europejskiej na rok budżetowy 2025, w formie przyjętej ostatecznie w dniu 27 listopada 2024 r.</w:t>
      </w:r>
      <w:r w:rsidRPr="00EE4B36">
        <w:rPr>
          <w:rStyle w:val="FootnoteReference"/>
        </w:rPr>
        <w:footnoteReference w:id="2"/>
      </w:r>
      <w:r w:rsidRPr="00EE4B36">
        <w:t>,</w:t>
      </w:r>
    </w:p>
    <w:p w14:paraId="62F3B8CD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 xml:space="preserve">uwzględniając rozporządzenie Rady (UE, </w:t>
      </w:r>
      <w:proofErr w:type="spellStart"/>
      <w:r w:rsidRPr="00EE4B36">
        <w:t>Euratom</w:t>
      </w:r>
      <w:proofErr w:type="spellEnd"/>
      <w:r w:rsidRPr="00EE4B36">
        <w:t>) 2020/2093 z dnia 17 grudnia 2020 r. określające wieloletnie ramy finansowe na lata 2021–2027</w:t>
      </w:r>
      <w:r w:rsidRPr="00EE4B36">
        <w:rPr>
          <w:rStyle w:val="FootnoteReference"/>
        </w:rPr>
        <w:footnoteReference w:id="3"/>
      </w:r>
      <w:r w:rsidRPr="00EE4B36">
        <w:t>,</w:t>
      </w:r>
    </w:p>
    <w:p w14:paraId="3B058B81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EE4B36">
        <w:rPr>
          <w:rStyle w:val="FootnoteReference"/>
        </w:rPr>
        <w:footnoteReference w:id="4"/>
      </w:r>
      <w:r w:rsidRPr="00EE4B36">
        <w:t xml:space="preserve"> (porozumienie międzyinstytucjonalne z 16 </w:t>
      </w:r>
      <w:r w:rsidRPr="00EE4B36">
        <w:lastRenderedPageBreak/>
        <w:t>grudnia 2020 r.),</w:t>
      </w:r>
    </w:p>
    <w:p w14:paraId="5EC5B771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 xml:space="preserve">uwzględniając decyzję Rady (UE, </w:t>
      </w:r>
      <w:proofErr w:type="spellStart"/>
      <w:r w:rsidRPr="00EE4B36">
        <w:t>Euratom</w:t>
      </w:r>
      <w:proofErr w:type="spellEnd"/>
      <w:r w:rsidRPr="00EE4B36">
        <w:t xml:space="preserve">) 2020/2053 z dnia 14 grudnia 2020 r. w sprawie systemu zasobów własnych Unii Europejskiej oraz uchylającą decyzję 2014/335/UE, </w:t>
      </w:r>
      <w:proofErr w:type="spellStart"/>
      <w:r w:rsidRPr="00EE4B36">
        <w:t>Euratom</w:t>
      </w:r>
      <w:proofErr w:type="spellEnd"/>
      <w:r w:rsidRPr="00EE4B36">
        <w:rPr>
          <w:rStyle w:val="FootnoteReference"/>
        </w:rPr>
        <w:footnoteReference w:id="5"/>
      </w:r>
      <w:r w:rsidRPr="00EE4B36">
        <w:t>,</w:t>
      </w:r>
    </w:p>
    <w:p w14:paraId="621B5340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projekt budżetu korygującego nr 1/2025 przyjęty przez Komisję dnia 9 kwietnia 2025 r. (COM(2025)0350),</w:t>
      </w:r>
    </w:p>
    <w:p w14:paraId="4D5598FD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stanowisko dotyczące projektu budżetu korygującego nr 1/2025 przyjęte przez Radę dnia 16 czerwca 2025 r. i przekazane Parlamentowi Europejskiemu dnia 18 czerwca 2025 r. (09619/2025 – C10-0125/2025),</w:t>
      </w:r>
    </w:p>
    <w:p w14:paraId="67DAFA79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art. 96 i 98 Regulaminu,</w:t>
      </w:r>
    </w:p>
    <w:p w14:paraId="56C7E89F" w14:textId="77777777" w:rsidR="00F50308" w:rsidRPr="00EE4B36" w:rsidRDefault="00F50308" w:rsidP="00F50308">
      <w:pPr>
        <w:pStyle w:val="NormalHanging12a"/>
      </w:pPr>
      <w:r w:rsidRPr="00EE4B36">
        <w:t>–</w:t>
      </w:r>
      <w:r w:rsidRPr="00EE4B36">
        <w:tab/>
        <w:t>uwzględniając sprawozdanie Komisji Budżetowej (A10-0116/2025),</w:t>
      </w:r>
    </w:p>
    <w:p w14:paraId="4E33EE7B" w14:textId="77777777" w:rsidR="00F50308" w:rsidRPr="00EE4B36" w:rsidRDefault="00F50308" w:rsidP="00F50308">
      <w:pPr>
        <w:pStyle w:val="NormalHanging12a"/>
      </w:pPr>
      <w:r w:rsidRPr="00EE4B36">
        <w:t>A.</w:t>
      </w:r>
      <w:r w:rsidRPr="00EE4B36">
        <w:tab/>
      </w:r>
      <w:r w:rsidRPr="00EE4B36">
        <w:rPr>
          <w:color w:val="000000"/>
        </w:rPr>
        <w:t>mając na uwadze, że celem projektu budżetu korygującego nr 1/2025 jest zapisanie w budżecie na 2025 r. nadwyżki wynikającej z wykonania budżetu na 2024 r.; wynosi ona 1 345 mln EUR;</w:t>
      </w:r>
    </w:p>
    <w:p w14:paraId="3950D2E7" w14:textId="77777777" w:rsidR="00F50308" w:rsidRPr="00EE4B36" w:rsidRDefault="00F50308" w:rsidP="00F50308">
      <w:pPr>
        <w:pStyle w:val="NormalHanging12a"/>
      </w:pPr>
      <w:r w:rsidRPr="00EE4B36">
        <w:t>B.</w:t>
      </w:r>
      <w:r w:rsidRPr="00EE4B36">
        <w:tab/>
      </w:r>
      <w:r w:rsidRPr="00EE4B36">
        <w:rPr>
          <w:color w:val="000000"/>
        </w:rPr>
        <w:t>mając na uwadze, że główne elementy tej nadwyżki to dodatni wynik po stronie dochodów w wysokości 1 072 mln EUR oraz niewykorzystanie środków w wysokości 272,5 mln EUR;</w:t>
      </w:r>
    </w:p>
    <w:p w14:paraId="6CB7C92C" w14:textId="77777777" w:rsidR="00F50308" w:rsidRPr="00EE4B36" w:rsidRDefault="00F50308" w:rsidP="00F50308">
      <w:pPr>
        <w:pStyle w:val="NormalHanging12a"/>
      </w:pPr>
      <w:r w:rsidRPr="00EE4B36">
        <w:t>C.</w:t>
      </w:r>
      <w:r w:rsidRPr="00EE4B36">
        <w:tab/>
      </w:r>
      <w:r w:rsidRPr="00EE4B36">
        <w:rPr>
          <w:color w:val="000000"/>
        </w:rPr>
        <w:t>mając na uwadze, że po stronie dochodów głównym czynnikiem wpływającym na wielkość nadwyżki jest kwota 1 211 mln EUR pochodząca z dochodów finansowych, odsetek za zwłokę i grzywien; mając na uwadze, że wynik uzyskany w zakresie zasobów własnych w tytule 1 pozostaje bardzo zbliżony do kwot zapisanych w budżecie na 2024 r. (w tym w budżetach korygujących 1–5);</w:t>
      </w:r>
    </w:p>
    <w:p w14:paraId="61AD9458" w14:textId="77777777" w:rsidR="00F50308" w:rsidRPr="00EE4B36" w:rsidRDefault="00F50308" w:rsidP="00F50308">
      <w:pPr>
        <w:pStyle w:val="NormalHanging12a"/>
      </w:pPr>
      <w:r w:rsidRPr="00EE4B36">
        <w:t>D.</w:t>
      </w:r>
      <w:r w:rsidRPr="00EE4B36">
        <w:tab/>
      </w:r>
      <w:r w:rsidRPr="00EE4B36">
        <w:rPr>
          <w:color w:val="000000"/>
        </w:rPr>
        <w:t>mając na uwadze, że po stronie wydatków poziom niepełnego wykorzystania środków na płatności przez wszystkie instytucje, łącznie z anulowaniem przeniesionych środków, wyniósł 273 mln EUR (co stanowi 0,02 % zatwierdzonych środków na płatności);</w:t>
      </w:r>
    </w:p>
    <w:p w14:paraId="5B20DB72" w14:textId="77777777" w:rsidR="00F50308" w:rsidRPr="00EE4B36" w:rsidRDefault="00F50308" w:rsidP="00F50308">
      <w:pPr>
        <w:pStyle w:val="NormalHanging12a"/>
        <w:ind w:hanging="570"/>
      </w:pPr>
      <w:r w:rsidRPr="00EE4B36">
        <w:t>1.</w:t>
      </w:r>
      <w:r w:rsidRPr="00EE4B36">
        <w:tab/>
      </w:r>
      <w:r w:rsidRPr="00EE4B36">
        <w:rPr>
          <w:color w:val="000000"/>
        </w:rPr>
        <w:t>odnotowuje przedstawiony przez Komisję projekt budżetu korygującego nr 1/2025, który ma na celu wpisanie do budżetu nadwyżki środków budżetowych z 2024 r. wynoszącej 1 345 mln EUR zgodnie z art. 18 ust. 3 rozporządzenia finansowego;</w:t>
      </w:r>
      <w:sdt>
        <w:sdtPr>
          <w:tag w:val="goog_rdk_0"/>
          <w:id w:val="1937094721"/>
        </w:sdtPr>
        <w:sdtEndPr/>
        <w:sdtContent/>
      </w:sdt>
    </w:p>
    <w:p w14:paraId="168F7856" w14:textId="77777777" w:rsidR="00F50308" w:rsidRPr="00EE4B36" w:rsidRDefault="00F50308" w:rsidP="00F50308">
      <w:pPr>
        <w:pStyle w:val="NormalHanging12a"/>
        <w:ind w:hanging="570"/>
      </w:pPr>
      <w:r w:rsidRPr="00EE4B36">
        <w:t>2.</w:t>
      </w:r>
      <w:r w:rsidRPr="00EE4B36">
        <w:tab/>
      </w:r>
      <w:r w:rsidRPr="00EE4B36">
        <w:rPr>
          <w:color w:val="000000"/>
        </w:rPr>
        <w:t xml:space="preserve">z zadowoleniem przyjmuje fakt, że nadwyżka z 2024 r. wynika głównie z intensywniejszych zmian w tytule 4 (Dochody finansowe, odsetki za zwłokę i grzywny), natomiast nadwyżka wydatków pozostaje bardzo niewielka i wynosi 273 mln EUR; </w:t>
      </w:r>
    </w:p>
    <w:p w14:paraId="19083F81" w14:textId="77777777" w:rsidR="00F50308" w:rsidRPr="00EE4B36" w:rsidRDefault="00F50308" w:rsidP="00F50308">
      <w:pPr>
        <w:spacing w:after="240"/>
        <w:ind w:left="567" w:hanging="567"/>
        <w:rPr>
          <w:color w:val="000000"/>
        </w:rPr>
      </w:pPr>
      <w:r w:rsidRPr="00EE4B36">
        <w:rPr>
          <w:color w:val="000000"/>
        </w:rPr>
        <w:t>3.</w:t>
      </w:r>
      <w:r w:rsidRPr="00EE4B36">
        <w:rPr>
          <w:color w:val="000000"/>
        </w:rPr>
        <w:tab/>
        <w:t xml:space="preserve">ubolewa, że ujęcie w budżecie nadwyżki zmniejsza o proporcjonalną kwotę łączny wkład państw członkowskich z tytułu zasobów własnych opartych na DNB na rzecz finansowania budżetu na 2025 r.; podkreśla, że w czasie, gdy potrzeby finansowe pozostają wysokie, w szczególności w związku z „przekroczonymi” kosztami EURI, a pole manewru w ramach budżetu Unii pozostaje bardzo ograniczone, budżet powinien </w:t>
      </w:r>
      <w:r w:rsidRPr="00EE4B36">
        <w:rPr>
          <w:color w:val="000000"/>
        </w:rPr>
        <w:lastRenderedPageBreak/>
        <w:t xml:space="preserve">zachować wystarczający poziom elastyczności, aby umożliwić Unii radzenie sobie z nieprzewidzianymi wydarzeniami i nowymi priorytetami; podkreśla, że elastyczność budżetu Unii jest jedną z kluczowych kwestii, którymi należy się zająć podczas negocjacji w sprawie wieloletnich ram finansowych na okres po 2027 r.; </w:t>
      </w:r>
    </w:p>
    <w:p w14:paraId="6C78FD8B" w14:textId="77777777" w:rsidR="00F50308" w:rsidRPr="00EE4B36" w:rsidRDefault="00F50308" w:rsidP="00F50308">
      <w:pPr>
        <w:spacing w:after="240"/>
        <w:ind w:left="567" w:hanging="567"/>
        <w:rPr>
          <w:color w:val="000000"/>
        </w:rPr>
      </w:pPr>
      <w:r w:rsidRPr="00EE4B36">
        <w:rPr>
          <w:color w:val="000000"/>
        </w:rPr>
        <w:t>4.</w:t>
      </w:r>
      <w:r w:rsidRPr="00EE4B36">
        <w:rPr>
          <w:color w:val="000000"/>
        </w:rPr>
        <w:tab/>
      </w:r>
      <w:r w:rsidRPr="00EE4B36">
        <w:t xml:space="preserve">wzywa również Komisję do opracowania solidnej i trwałej struktury następnych wieloletnich ram finansowych, która umożliwi zrównoważone zarządzanie wszystkimi </w:t>
      </w:r>
      <w:proofErr w:type="spellStart"/>
      <w:r w:rsidRPr="00EE4B36">
        <w:t>nieuznaniowymi</w:t>
      </w:r>
      <w:proofErr w:type="spellEnd"/>
      <w:r w:rsidRPr="00EE4B36">
        <w:t xml:space="preserve"> kosztami i zobowiązaniami, przy pełnym zachowaniu programów unijnych oraz elastyczności budżetu i jego zdolności reagowania, w szczególności w odniesieniu do klęsk żywiołowych i stanów zagrożenia zdrowia, z myślą o pełnym wdrożeniu unijnej strategii na rzecz gotowości;</w:t>
      </w:r>
      <w:r w:rsidRPr="00EE4B36">
        <w:rPr>
          <w:color w:val="000000"/>
        </w:rPr>
        <w:t xml:space="preserve"> </w:t>
      </w:r>
    </w:p>
    <w:p w14:paraId="78A3BAD9" w14:textId="77777777" w:rsidR="00F50308" w:rsidRPr="00EE4B36" w:rsidRDefault="00F50308" w:rsidP="00F50308">
      <w:pPr>
        <w:pStyle w:val="NormalHanging12a"/>
      </w:pPr>
      <w:r w:rsidRPr="00EE4B36">
        <w:t>5.</w:t>
      </w:r>
      <w:r w:rsidRPr="00EE4B36">
        <w:tab/>
      </w:r>
      <w:r w:rsidRPr="00EE4B36">
        <w:rPr>
          <w:color w:val="000000"/>
        </w:rPr>
        <w:t>przypomina swoje od dawna przedstawiane stanowisko, zgodnie z którym nadzwyczajne zyski wynikające z grzywien i opłat, lub równoważne kwoty, powinny być wykorzystywane jako dodatkowe dochody w budżecie Unii i być przeznaczane na reagowanie kryzysowe lub na nieoczekiwane potrzeby i nie powinny prowadzić do odpowiedniego zmniejszenia wkładów opartych na DNB;</w:t>
      </w:r>
    </w:p>
    <w:p w14:paraId="3C4412B0" w14:textId="77777777" w:rsidR="00F50308" w:rsidRPr="00EE4B36" w:rsidRDefault="00F50308" w:rsidP="00F50308">
      <w:pPr>
        <w:pStyle w:val="NormalHanging12a"/>
        <w:ind w:hanging="570"/>
      </w:pPr>
      <w:r w:rsidRPr="00EE4B36">
        <w:t>6.</w:t>
      </w:r>
      <w:r w:rsidRPr="00EE4B36">
        <w:tab/>
        <w:t>odnotowuje pozycję ujemnych dochodów w ramach nowego art. 425, wynoszącą 534 mln EUR, i z zadowoleniem przyjmuje tę metodę uwzględniania w budżecie kosztów wynikających z płatności dokonanych na podstawie ugody wiążącej się z odsetkami wyrównawczymi i odsetkami za zwłokę w związku ze zwrotem grzywien za naruszenie zasad konkurencji, anulowanych lub obniżonych zgodnie z odpowiednimi wyrokami Trybunału Sprawiedliwości; przypomina, że podczas negocjacji w sprawie przekształcenia rozporządzenia finansowego Parlament nalegał na zastosowanie tego podejścia, ponieważ alternatywnym rozwiązaniem byłyby dodatkowe środki na wydatki w już przeciążonym dziale 7; przypomina, że rozwiązanie to przestaje obowiązywać 31 grudnia 2027 r.; zwraca się do Komisji o zaprop</w:t>
      </w:r>
      <w:r w:rsidR="006D4F6A">
        <w:t>onowanie na potrzeby następnych wieloletnich ram finansowych</w:t>
      </w:r>
      <w:r w:rsidRPr="00EE4B36">
        <w:t xml:space="preserve"> ostatecznego rozwiązania, które umożliwi osiągnięcie tego samego celu, tj. uniknięcia jakiegokolwiek wpływu na stronę wydatków w budżecie;</w:t>
      </w:r>
    </w:p>
    <w:p w14:paraId="1A8DCD85" w14:textId="77777777" w:rsidR="00F50308" w:rsidRPr="00EE4B36" w:rsidRDefault="00F50308" w:rsidP="00F50308">
      <w:pPr>
        <w:pStyle w:val="NormalHanging12a"/>
        <w:ind w:hanging="570"/>
        <w:rPr>
          <w:color w:val="000000"/>
        </w:rPr>
      </w:pPr>
      <w:r w:rsidRPr="00EE4B36">
        <w:t>7.</w:t>
      </w:r>
      <w:r w:rsidRPr="00EE4B36">
        <w:tab/>
      </w:r>
      <w:r w:rsidRPr="00EE4B36">
        <w:rPr>
          <w:color w:val="000000"/>
        </w:rPr>
        <w:t xml:space="preserve">podkreśla potrzebę trwałych dochodów w budżecie Unii; </w:t>
      </w:r>
      <w:r w:rsidRPr="00EE4B36">
        <w:t>ubolewa zatem z powodu absolutnego braku postępów w Radzie w zakresie reformy systemu zasobów własnych zgodnie z duchem prawnie wiążącego harmonogramu zawartego w porozumieniu międzyinstytucjonalnym z 16 grudnia 2020 r.;</w:t>
      </w:r>
      <w:r w:rsidRPr="00EE4B36">
        <w:rPr>
          <w:color w:val="1E1E1F"/>
        </w:rPr>
        <w:t xml:space="preserve"> </w:t>
      </w:r>
      <w:r w:rsidRPr="00EE4B36">
        <w:t>przypomina o swoim stanowisku, zgodnie z którym popiera zmienione wnioski Komisji, oraz wzywa Radę do pilnego przyjęcia tych wniosków w celu zróżnicowania i skonsolidowania zasobów własnych dostępnych w budżecie Unii;</w:t>
      </w:r>
    </w:p>
    <w:p w14:paraId="4D122A27" w14:textId="77777777" w:rsidR="00F50308" w:rsidRPr="00EE4B36" w:rsidRDefault="00F50308" w:rsidP="00F50308">
      <w:pPr>
        <w:pStyle w:val="NormalHanging12a"/>
        <w:ind w:hanging="570"/>
        <w:rPr>
          <w:color w:val="000000"/>
        </w:rPr>
      </w:pPr>
      <w:r w:rsidRPr="00EE4B36">
        <w:t>8.</w:t>
      </w:r>
      <w:r w:rsidRPr="00EE4B36">
        <w:tab/>
        <w:t xml:space="preserve">wzywa ponadto Komisję do kontynuowania wysiłków na rzecz określenia dodatkowych innowacyjnych i prawdziwych nowych zasobów własnych i innych źródeł dochodów poza tymi określonymi w porozumieniu międzyinstytucjonalnym z 16 grudnia 2020 r.; podkreśla, że nowe zasoby własne mają zasadnicze znaczenie nie tylko dla umożliwienia spłaty pożyczek zaciągniętych w ramach </w:t>
      </w:r>
      <w:proofErr w:type="spellStart"/>
      <w:r w:rsidR="006D4F6A">
        <w:t>NextGenerationEU</w:t>
      </w:r>
      <w:proofErr w:type="spellEnd"/>
      <w:r w:rsidRPr="00EE4B36">
        <w:t>, lecz także dla dopilnowania, by Unia była przygotowana na zaspokojenie większych potrzeb w zakresie wydatków, w szczególności w kontekście licznych wyzwań, przed którymi obecnie stoi, w tym w nowym kontekście geopolitycznym; uważa, że wszystkie nowe polityki i wyzwania Unii muszą wiązać się z nowymi środkami finansowymi i dodatkowymi nowymi zasobami;</w:t>
      </w:r>
    </w:p>
    <w:p w14:paraId="4CE7F4E8" w14:textId="77777777" w:rsidR="00F50308" w:rsidRPr="00EE4B36" w:rsidRDefault="00F50308" w:rsidP="00F50308">
      <w:pPr>
        <w:pStyle w:val="NormalHanging12a"/>
        <w:ind w:hanging="570"/>
      </w:pPr>
      <w:r w:rsidRPr="00EE4B36">
        <w:lastRenderedPageBreak/>
        <w:t>9.</w:t>
      </w:r>
      <w:r w:rsidRPr="00EE4B36">
        <w:tab/>
      </w:r>
      <w:r w:rsidRPr="00EE4B36">
        <w:rPr>
          <w:color w:val="000000"/>
        </w:rPr>
        <w:t>zatwierdza stanowisko Rady dotyczące projektu budżetu korygującego nr 1/2025</w:t>
      </w:r>
      <w:r w:rsidRPr="00EE4B36">
        <w:t>;</w:t>
      </w:r>
    </w:p>
    <w:p w14:paraId="79AB40D8" w14:textId="77777777" w:rsidR="00F50308" w:rsidRPr="00EE4B36" w:rsidRDefault="00F50308" w:rsidP="00F50308">
      <w:pPr>
        <w:pStyle w:val="NormalHanging12a"/>
        <w:ind w:hanging="570"/>
      </w:pPr>
      <w:r w:rsidRPr="00EE4B36">
        <w:t>10.</w:t>
      </w:r>
      <w:r w:rsidRPr="00EE4B36">
        <w:tab/>
        <w:t xml:space="preserve">zobowiązuje swoją przewodniczącą do ogłoszenia, że budżet korygujący nr 1/2025 został ostatecznie przyjęty, i do zarządzenia jego publikacji w </w:t>
      </w:r>
      <w:r w:rsidRPr="00EE4B36">
        <w:rPr>
          <w:i/>
        </w:rPr>
        <w:t>Dzienniku Urzędowym Unii Europejskiej</w:t>
      </w:r>
      <w:r w:rsidRPr="00EE4B36">
        <w:t>;</w:t>
      </w:r>
    </w:p>
    <w:p w14:paraId="39E39322" w14:textId="77777777" w:rsidR="00EE4B36" w:rsidRPr="00EE4B36" w:rsidRDefault="00F50308" w:rsidP="00EE4B36">
      <w:pPr>
        <w:pStyle w:val="NormalHanging12a"/>
        <w:ind w:hanging="570"/>
      </w:pPr>
      <w:r w:rsidRPr="00EE4B36">
        <w:t>11.</w:t>
      </w:r>
      <w:r w:rsidRPr="00EE4B36">
        <w:tab/>
        <w:t>zobowiązuje swoją przewodniczącą do przekazania niniejszej rezolucji Radzie, Komisji, innym zainteresowanym instytucjom i organom oraz parlamentom narodowym.</w:t>
      </w:r>
    </w:p>
    <w:p w14:paraId="6A905225" w14:textId="77777777" w:rsidR="00E365E1" w:rsidRPr="00EE4B36" w:rsidRDefault="00E365E1" w:rsidP="005B67AC"/>
    <w:sectPr w:rsidR="00E365E1" w:rsidRPr="00EE4B36" w:rsidSect="00EE4B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0DEBF" w14:textId="77777777" w:rsidR="005B67AC" w:rsidRPr="00EE4B36" w:rsidRDefault="005B67AC">
      <w:r w:rsidRPr="00EE4B36">
        <w:separator/>
      </w:r>
    </w:p>
  </w:endnote>
  <w:endnote w:type="continuationSeparator" w:id="0">
    <w:p w14:paraId="4CF73289" w14:textId="77777777" w:rsidR="005B67AC" w:rsidRPr="00EE4B36" w:rsidRDefault="005B67AC">
      <w:r w:rsidRPr="00EE4B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4FB4" w14:textId="77777777" w:rsidR="00064002" w:rsidRPr="00EE4B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FDEEE" w14:textId="77777777" w:rsidR="00064002" w:rsidRPr="00EE4B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291DF" w14:textId="77777777" w:rsidR="00064002" w:rsidRPr="00EE4B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0C205" w14:textId="77777777" w:rsidR="005B67AC" w:rsidRPr="00EE4B36" w:rsidRDefault="005B67AC">
      <w:r w:rsidRPr="00EE4B36">
        <w:separator/>
      </w:r>
    </w:p>
  </w:footnote>
  <w:footnote w:type="continuationSeparator" w:id="0">
    <w:p w14:paraId="0D39FF84" w14:textId="77777777" w:rsidR="005B67AC" w:rsidRPr="00EE4B36" w:rsidRDefault="005B67AC">
      <w:r w:rsidRPr="00EE4B36">
        <w:continuationSeparator/>
      </w:r>
    </w:p>
  </w:footnote>
  <w:footnote w:id="1">
    <w:p w14:paraId="55C1CE27" w14:textId="77777777" w:rsidR="00F50308" w:rsidRPr="00EE4B36" w:rsidRDefault="00F50308" w:rsidP="00EE4B36">
      <w:pPr>
        <w:pStyle w:val="FootnoteText"/>
        <w:ind w:left="567" w:hanging="567"/>
        <w:rPr>
          <w:sz w:val="24"/>
          <w:lang w:val="pl-PL"/>
        </w:rPr>
      </w:pPr>
      <w:r w:rsidRPr="00EE4B36">
        <w:rPr>
          <w:rStyle w:val="FootnoteReference"/>
          <w:sz w:val="24"/>
          <w:lang w:val="pl-PL"/>
        </w:rPr>
        <w:footnoteRef/>
      </w:r>
      <w:r w:rsidR="00EE4B36" w:rsidRPr="00EE4B36">
        <w:rPr>
          <w:sz w:val="24"/>
          <w:lang w:val="pl-PL"/>
        </w:rPr>
        <w:t xml:space="preserve"> </w:t>
      </w:r>
      <w:r w:rsidR="00EE4B36" w:rsidRPr="00EE4B36">
        <w:rPr>
          <w:sz w:val="24"/>
          <w:lang w:val="pl-PL"/>
        </w:rPr>
        <w:tab/>
      </w:r>
      <w:r w:rsidRPr="00EE4B36">
        <w:rPr>
          <w:sz w:val="24"/>
          <w:lang w:val="pl-PL"/>
        </w:rPr>
        <w:t xml:space="preserve">Dz.U. L, 2024/2509, 26.9.2024, </w:t>
      </w:r>
      <w:hyperlink r:id="rId1" w:history="1">
        <w:r w:rsidRPr="00EE4B36">
          <w:rPr>
            <w:rStyle w:val="Hyperlink"/>
            <w:sz w:val="24"/>
            <w:lang w:val="pl-PL"/>
          </w:rPr>
          <w:t>http://data.europa.eu/eli/reg/2024/2509/oj</w:t>
        </w:r>
      </w:hyperlink>
      <w:r w:rsidRPr="00EE4B36">
        <w:rPr>
          <w:sz w:val="24"/>
          <w:lang w:val="pl-PL"/>
        </w:rPr>
        <w:t>.</w:t>
      </w:r>
    </w:p>
  </w:footnote>
  <w:footnote w:id="2">
    <w:p w14:paraId="070E9293" w14:textId="77777777" w:rsidR="00F50308" w:rsidRPr="00EE4B36" w:rsidRDefault="00F50308" w:rsidP="00EE4B36">
      <w:pPr>
        <w:pStyle w:val="FootnoteText"/>
        <w:ind w:left="567" w:hanging="567"/>
        <w:rPr>
          <w:sz w:val="24"/>
          <w:lang w:val="pl-PL"/>
        </w:rPr>
      </w:pPr>
      <w:r w:rsidRPr="00EE4B36">
        <w:rPr>
          <w:rStyle w:val="FootnoteReference"/>
          <w:sz w:val="24"/>
          <w:lang w:val="pl-PL"/>
        </w:rPr>
        <w:footnoteRef/>
      </w:r>
      <w:r w:rsidR="00EE4B36" w:rsidRPr="00EE4B36">
        <w:rPr>
          <w:sz w:val="24"/>
          <w:lang w:val="pl-PL"/>
        </w:rPr>
        <w:t xml:space="preserve"> </w:t>
      </w:r>
      <w:r w:rsidR="00EE4B36" w:rsidRPr="00EE4B36">
        <w:rPr>
          <w:sz w:val="24"/>
          <w:lang w:val="pl-PL"/>
        </w:rPr>
        <w:tab/>
      </w:r>
      <w:r w:rsidRPr="00EE4B36">
        <w:rPr>
          <w:sz w:val="24"/>
          <w:lang w:val="pl-PL"/>
        </w:rPr>
        <w:t>Dz.U. L, 2025/31, 27.2.2025</w:t>
      </w:r>
      <w:r w:rsidRPr="00EE4B36">
        <w:rPr>
          <w:i/>
          <w:sz w:val="24"/>
          <w:lang w:val="pl-PL"/>
        </w:rPr>
        <w:t>,</w:t>
      </w:r>
      <w:r w:rsidRPr="00EE4B36">
        <w:rPr>
          <w:sz w:val="24"/>
          <w:lang w:val="pl-PL"/>
        </w:rPr>
        <w:t xml:space="preserve"> </w:t>
      </w:r>
      <w:r w:rsidR="008C433D">
        <w:fldChar w:fldCharType="begin"/>
      </w:r>
      <w:r w:rsidR="008C433D" w:rsidRPr="008C433D">
        <w:rPr>
          <w:lang w:val="pl-PL"/>
        </w:rPr>
        <w:instrText>HYPERLINK "http://data.europa.eu/eli/budget/2025/31/oj%20"</w:instrText>
      </w:r>
      <w:r w:rsidR="008C433D">
        <w:fldChar w:fldCharType="separate"/>
      </w:r>
      <w:r w:rsidRPr="00EE4B36">
        <w:rPr>
          <w:rStyle w:val="Hyperlink"/>
          <w:sz w:val="24"/>
          <w:lang w:val="pl-PL"/>
        </w:rPr>
        <w:t>http://data.europa.eu/eli/budget/2025/31/oj</w:t>
      </w:r>
      <w:r w:rsidR="008C433D">
        <w:rPr>
          <w:rStyle w:val="Hyperlink"/>
          <w:sz w:val="24"/>
          <w:lang w:val="pl-PL"/>
        </w:rPr>
        <w:fldChar w:fldCharType="end"/>
      </w:r>
      <w:r w:rsidRPr="00EE4B36">
        <w:rPr>
          <w:rStyle w:val="Hyperlink"/>
          <w:sz w:val="24"/>
          <w:lang w:val="pl-PL"/>
        </w:rPr>
        <w:t>.</w:t>
      </w:r>
    </w:p>
  </w:footnote>
  <w:footnote w:id="3">
    <w:p w14:paraId="5519D42A" w14:textId="77777777" w:rsidR="00F50308" w:rsidRPr="00EE4B36" w:rsidRDefault="00F50308" w:rsidP="00EE4B36">
      <w:pPr>
        <w:pStyle w:val="FootnoteText"/>
        <w:ind w:left="567" w:hanging="567"/>
        <w:rPr>
          <w:sz w:val="24"/>
          <w:lang w:val="pl-PL"/>
        </w:rPr>
      </w:pPr>
      <w:r w:rsidRPr="00EE4B36">
        <w:rPr>
          <w:rStyle w:val="FootnoteReference"/>
          <w:sz w:val="24"/>
          <w:lang w:val="pl-PL"/>
        </w:rPr>
        <w:footnoteRef/>
      </w:r>
      <w:r w:rsidR="00EE4B36" w:rsidRPr="00EE4B36">
        <w:rPr>
          <w:sz w:val="24"/>
          <w:lang w:val="pl-PL"/>
        </w:rPr>
        <w:t xml:space="preserve"> </w:t>
      </w:r>
      <w:r w:rsidR="00EE4B36" w:rsidRPr="00EE4B36">
        <w:rPr>
          <w:sz w:val="24"/>
          <w:lang w:val="pl-PL"/>
        </w:rPr>
        <w:tab/>
      </w:r>
      <w:r w:rsidRPr="00EE4B36">
        <w:rPr>
          <w:sz w:val="24"/>
          <w:lang w:val="pl-PL"/>
        </w:rPr>
        <w:t xml:space="preserve">Dz.U. L 433 I z 22.12.2020, s. 11, ELI: </w:t>
      </w:r>
      <w:hyperlink r:id="rId2" w:history="1">
        <w:r w:rsidRPr="00EE4B36">
          <w:rPr>
            <w:rStyle w:val="Hyperlink"/>
            <w:sz w:val="24"/>
            <w:lang w:val="pl-PL"/>
          </w:rPr>
          <w:t>http://data.europa.eu/eli/reg/2020/2093/oj</w:t>
        </w:r>
      </w:hyperlink>
      <w:r w:rsidRPr="00EE4B36">
        <w:rPr>
          <w:sz w:val="24"/>
          <w:lang w:val="pl-PL"/>
        </w:rPr>
        <w:t>.</w:t>
      </w:r>
    </w:p>
  </w:footnote>
  <w:footnote w:id="4">
    <w:p w14:paraId="5AED2307" w14:textId="77777777" w:rsidR="00F50308" w:rsidRPr="00EE4B36" w:rsidRDefault="00F50308" w:rsidP="00EE4B36">
      <w:pPr>
        <w:pStyle w:val="FootnoteText"/>
        <w:ind w:left="567" w:hanging="567"/>
        <w:rPr>
          <w:sz w:val="24"/>
          <w:lang w:val="pl-PL"/>
        </w:rPr>
      </w:pPr>
      <w:r w:rsidRPr="00EE4B36">
        <w:rPr>
          <w:rStyle w:val="FootnoteReference"/>
          <w:sz w:val="24"/>
          <w:lang w:val="pl-PL"/>
        </w:rPr>
        <w:footnoteRef/>
      </w:r>
      <w:r w:rsidR="00EE4B36" w:rsidRPr="00EE4B36">
        <w:rPr>
          <w:sz w:val="24"/>
          <w:lang w:val="pl-PL"/>
        </w:rPr>
        <w:t xml:space="preserve"> </w:t>
      </w:r>
      <w:r w:rsidR="00EE4B36" w:rsidRPr="00EE4B36">
        <w:rPr>
          <w:sz w:val="24"/>
          <w:lang w:val="pl-PL"/>
        </w:rPr>
        <w:tab/>
      </w:r>
      <w:r w:rsidRPr="00EE4B36">
        <w:rPr>
          <w:sz w:val="24"/>
          <w:lang w:val="pl-PL"/>
        </w:rPr>
        <w:t xml:space="preserve">Dz.U. L 433 I z 22.12.2020, s. 28, ELI: </w:t>
      </w:r>
      <w:hyperlink r:id="rId3" w:history="1">
        <w:r w:rsidRPr="00EE4B36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EE4B36">
        <w:rPr>
          <w:rStyle w:val="Hyperlink"/>
          <w:sz w:val="24"/>
          <w:lang w:val="pl-PL"/>
        </w:rPr>
        <w:t>.</w:t>
      </w:r>
    </w:p>
  </w:footnote>
  <w:footnote w:id="5">
    <w:p w14:paraId="5665A03A" w14:textId="77777777" w:rsidR="00F50308" w:rsidRPr="00EE4B36" w:rsidRDefault="00F50308" w:rsidP="00EE4B36">
      <w:pPr>
        <w:pStyle w:val="FootnoteText"/>
        <w:ind w:left="567" w:hanging="567"/>
        <w:rPr>
          <w:sz w:val="24"/>
          <w:lang w:val="pl-PL"/>
        </w:rPr>
      </w:pPr>
      <w:r w:rsidRPr="00EE4B36">
        <w:rPr>
          <w:rStyle w:val="FootnoteReference"/>
          <w:sz w:val="24"/>
          <w:lang w:val="pl-PL"/>
        </w:rPr>
        <w:footnoteRef/>
      </w:r>
      <w:r w:rsidR="00EE4B36" w:rsidRPr="00EE4B36">
        <w:rPr>
          <w:sz w:val="24"/>
          <w:lang w:val="pl-PL"/>
        </w:rPr>
        <w:t xml:space="preserve"> </w:t>
      </w:r>
      <w:r w:rsidR="00EE4B36" w:rsidRPr="00EE4B36">
        <w:rPr>
          <w:sz w:val="24"/>
          <w:lang w:val="pl-PL"/>
        </w:rPr>
        <w:tab/>
      </w:r>
      <w:r w:rsidRPr="00EE4B36">
        <w:rPr>
          <w:sz w:val="24"/>
          <w:lang w:val="pl-PL"/>
        </w:rPr>
        <w:t xml:space="preserve">Dz.U. L 424 z 15.12.2020, s. 1, ELI: </w:t>
      </w:r>
      <w:r w:rsidR="008C433D">
        <w:fldChar w:fldCharType="begin"/>
      </w:r>
      <w:r w:rsidR="008C433D" w:rsidRPr="008C433D">
        <w:rPr>
          <w:lang w:val="pl-PL"/>
        </w:rPr>
        <w:instrText>HYPERLINK "http://data.europa.eu/eli/dec/2020/2053/oj"</w:instrText>
      </w:r>
      <w:r w:rsidR="008C433D">
        <w:fldChar w:fldCharType="separate"/>
      </w:r>
      <w:r w:rsidRPr="00EE4B36">
        <w:rPr>
          <w:rStyle w:val="Hyperlink"/>
          <w:sz w:val="24"/>
          <w:lang w:val="pl-PL"/>
        </w:rPr>
        <w:t>http://data.europa.eu/eli/dec/2020/2053/oj</w:t>
      </w:r>
      <w:r w:rsidR="008C433D">
        <w:rPr>
          <w:rStyle w:val="Hyperlink"/>
          <w:sz w:val="24"/>
          <w:lang w:val="pl-PL"/>
        </w:rPr>
        <w:fldChar w:fldCharType="end"/>
      </w:r>
      <w:r w:rsidRPr="00EE4B36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19FC2" w14:textId="77777777" w:rsidR="00064002" w:rsidRPr="00EE4B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2713A" w14:textId="77777777" w:rsidR="00064002" w:rsidRPr="00EE4B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70C93" w14:textId="77777777" w:rsidR="00064002" w:rsidRPr="00EE4B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73849951">
    <w:abstractNumId w:val="9"/>
  </w:num>
  <w:num w:numId="2" w16cid:durableId="2110738624">
    <w:abstractNumId w:val="9"/>
  </w:num>
  <w:num w:numId="3" w16cid:durableId="2032760728">
    <w:abstractNumId w:val="7"/>
  </w:num>
  <w:num w:numId="4" w16cid:durableId="2034915380">
    <w:abstractNumId w:val="7"/>
  </w:num>
  <w:num w:numId="5" w16cid:durableId="209273010">
    <w:abstractNumId w:val="6"/>
  </w:num>
  <w:num w:numId="6" w16cid:durableId="823157381">
    <w:abstractNumId w:val="6"/>
  </w:num>
  <w:num w:numId="7" w16cid:durableId="1554803547">
    <w:abstractNumId w:val="5"/>
  </w:num>
  <w:num w:numId="8" w16cid:durableId="570895726">
    <w:abstractNumId w:val="5"/>
  </w:num>
  <w:num w:numId="9" w16cid:durableId="1205825764">
    <w:abstractNumId w:val="4"/>
  </w:num>
  <w:num w:numId="10" w16cid:durableId="515965771">
    <w:abstractNumId w:val="4"/>
  </w:num>
  <w:num w:numId="11" w16cid:durableId="1398625740">
    <w:abstractNumId w:val="8"/>
  </w:num>
  <w:num w:numId="12" w16cid:durableId="529687092">
    <w:abstractNumId w:val="8"/>
  </w:num>
  <w:num w:numId="13" w16cid:durableId="410085671">
    <w:abstractNumId w:val="3"/>
  </w:num>
  <w:num w:numId="14" w16cid:durableId="660961584">
    <w:abstractNumId w:val="3"/>
  </w:num>
  <w:num w:numId="15" w16cid:durableId="1328827962">
    <w:abstractNumId w:val="2"/>
  </w:num>
  <w:num w:numId="16" w16cid:durableId="267583533">
    <w:abstractNumId w:val="2"/>
  </w:num>
  <w:num w:numId="17" w16cid:durableId="1899196952">
    <w:abstractNumId w:val="1"/>
  </w:num>
  <w:num w:numId="18" w16cid:durableId="1507095516">
    <w:abstractNumId w:val="1"/>
  </w:num>
  <w:num w:numId="19" w16cid:durableId="340015111">
    <w:abstractNumId w:val="0"/>
  </w:num>
  <w:num w:numId="20" w16cid:durableId="1565213012">
    <w:abstractNumId w:val="0"/>
  </w:num>
  <w:num w:numId="21" w16cid:durableId="1339965604">
    <w:abstractNumId w:val="9"/>
  </w:num>
  <w:num w:numId="22" w16cid:durableId="506411075">
    <w:abstractNumId w:val="7"/>
  </w:num>
  <w:num w:numId="23" w16cid:durableId="611207392">
    <w:abstractNumId w:val="6"/>
  </w:num>
  <w:num w:numId="24" w16cid:durableId="1311789211">
    <w:abstractNumId w:val="5"/>
  </w:num>
  <w:num w:numId="25" w16cid:durableId="431363374">
    <w:abstractNumId w:val="4"/>
  </w:num>
  <w:num w:numId="26" w16cid:durableId="1683706289">
    <w:abstractNumId w:val="8"/>
  </w:num>
  <w:num w:numId="27" w16cid:durableId="1514762133">
    <w:abstractNumId w:val="3"/>
  </w:num>
  <w:num w:numId="28" w16cid:durableId="2002154033">
    <w:abstractNumId w:val="2"/>
  </w:num>
  <w:num w:numId="29" w16cid:durableId="2130201795">
    <w:abstractNumId w:val="1"/>
  </w:num>
  <w:num w:numId="30" w16cid:durableId="499660780">
    <w:abstractNumId w:val="0"/>
  </w:num>
  <w:num w:numId="31" w16cid:durableId="435373521">
    <w:abstractNumId w:val="9"/>
  </w:num>
  <w:num w:numId="32" w16cid:durableId="1466119480">
    <w:abstractNumId w:val="7"/>
  </w:num>
  <w:num w:numId="33" w16cid:durableId="453182855">
    <w:abstractNumId w:val="6"/>
  </w:num>
  <w:num w:numId="34" w16cid:durableId="1431387764">
    <w:abstractNumId w:val="5"/>
  </w:num>
  <w:num w:numId="35" w16cid:durableId="1298756962">
    <w:abstractNumId w:val="4"/>
  </w:num>
  <w:num w:numId="36" w16cid:durableId="665284308">
    <w:abstractNumId w:val="8"/>
  </w:num>
  <w:num w:numId="37" w16cid:durableId="210773488">
    <w:abstractNumId w:val="3"/>
  </w:num>
  <w:num w:numId="38" w16cid:durableId="1016661767">
    <w:abstractNumId w:val="2"/>
  </w:num>
  <w:num w:numId="39" w16cid:durableId="1819416381">
    <w:abstractNumId w:val="1"/>
  </w:num>
  <w:num w:numId="40" w16cid:durableId="506529760">
    <w:abstractNumId w:val="0"/>
  </w:num>
  <w:num w:numId="41" w16cid:durableId="1371101839">
    <w:abstractNumId w:val="10"/>
  </w:num>
  <w:num w:numId="42" w16cid:durableId="580287731">
    <w:abstractNumId w:val="10"/>
  </w:num>
  <w:num w:numId="43" w16cid:durableId="1207529806">
    <w:abstractNumId w:val="10"/>
  </w:num>
  <w:num w:numId="44" w16cid:durableId="1924276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6/2025"/>
    <w:docVar w:name="dvlangue" w:val="PL"/>
    <w:docVar w:name="dvnumam" w:val="0"/>
    <w:docVar w:name="dvpe" w:val="773.098"/>
    <w:docVar w:name="dvrapporteur" w:val="Sprawozdawca: "/>
    <w:docVar w:name="dvstar" w:val="??"/>
    <w:docVar w:name="dvtitre" w:val="Rezolucja Parlamentu Europejskiego z dnia  2025 r. w sprawie stanowiska Rady dotyczącego projektu budżetu korygującego nr 1/2025 Unii Europejskiej na rok budżetowy 2025 – zapisanie nadwyżki z roku budżetowego 2024(09619/2025 – C10-0125/2025 – 2025/0091(BUD))"/>
  </w:docVars>
  <w:rsids>
    <w:rsidRoot w:val="005B67AC"/>
    <w:rsid w:val="00002272"/>
    <w:rsid w:val="00064002"/>
    <w:rsid w:val="000677B9"/>
    <w:rsid w:val="000831BA"/>
    <w:rsid w:val="000937BC"/>
    <w:rsid w:val="000A42CC"/>
    <w:rsid w:val="000E7DD9"/>
    <w:rsid w:val="0010095E"/>
    <w:rsid w:val="00125B37"/>
    <w:rsid w:val="00187494"/>
    <w:rsid w:val="001F052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7AC"/>
    <w:rsid w:val="005C2568"/>
    <w:rsid w:val="005F1B17"/>
    <w:rsid w:val="006037C0"/>
    <w:rsid w:val="006631B6"/>
    <w:rsid w:val="00680577"/>
    <w:rsid w:val="006D4F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33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6DE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DBF"/>
    <w:rsid w:val="00EB4772"/>
    <w:rsid w:val="00ED169E"/>
    <w:rsid w:val="00ED4235"/>
    <w:rsid w:val="00EE4B36"/>
    <w:rsid w:val="00F04346"/>
    <w:rsid w:val="00F075DC"/>
    <w:rsid w:val="00F11C08"/>
    <w:rsid w:val="00F149E9"/>
    <w:rsid w:val="00F5030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37C638"/>
  <w15:chartTrackingRefBased/>
  <w15:docId w15:val="{23A85175-7698-4F41-986D-9FBD4C96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030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5030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F5030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5030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A44EF-1ADF-4E95-A0AA-3EF379AEC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1054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2025-10-23T09:55:00Z</dcterms:created>
  <dcterms:modified xsi:type="dcterms:W3CDTF">2025-10-23T09:55:00Z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P10_TA(2025)0151_</vt:lpwstr>
  </property>
  <property fmtid="{D5CDD505-2E9C-101B-9397-08002B2CF9AE}" pid="4" name="&lt;Type&gt;">
    <vt:lpwstr>RR</vt:lpwstr>
  </property>
</Properties>
</file>