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D03BD" w14:paraId="358965C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046785" w14:textId="77777777" w:rsidR="00751A4A" w:rsidRPr="00FD03BD" w:rsidRDefault="00D9429A" w:rsidP="0010095E">
            <w:pPr>
              <w:pStyle w:val="EPName"/>
            </w:pPr>
            <w:r w:rsidRPr="00FD03BD">
              <w:t>Parlamento Europeu</w:t>
            </w:r>
          </w:p>
          <w:p w14:paraId="64040C6A" w14:textId="77777777" w:rsidR="00751A4A" w:rsidRPr="00FD03B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03BD">
              <w:t>2024</w:t>
            </w:r>
            <w:r w:rsidR="00817416" w:rsidRPr="00FD03BD">
              <w:t>-202</w:t>
            </w:r>
            <w:r w:rsidRPr="00FD03BD">
              <w:t>9</w:t>
            </w:r>
          </w:p>
        </w:tc>
        <w:tc>
          <w:tcPr>
            <w:tcW w:w="2268" w:type="dxa"/>
            <w:shd w:val="clear" w:color="auto" w:fill="auto"/>
          </w:tcPr>
          <w:p w14:paraId="0A5D3A11" w14:textId="77777777" w:rsidR="00751A4A" w:rsidRPr="00FD03BD" w:rsidRDefault="00187494" w:rsidP="0010095E">
            <w:pPr>
              <w:pStyle w:val="EPLogo"/>
            </w:pPr>
            <w:r w:rsidRPr="00FD03BD">
              <w:rPr>
                <w:noProof/>
                <w:lang w:val="en-GB"/>
              </w:rPr>
              <w:drawing>
                <wp:inline distT="0" distB="0" distL="0" distR="0" wp14:anchorId="5F998A88" wp14:editId="2064662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13828C" w14:textId="77777777" w:rsidR="00D058B8" w:rsidRPr="00FD03BD" w:rsidRDefault="00D058B8" w:rsidP="004C5D52">
      <w:pPr>
        <w:pStyle w:val="LineTop"/>
      </w:pPr>
    </w:p>
    <w:p w14:paraId="4E843895" w14:textId="77777777" w:rsidR="00680577" w:rsidRPr="00FD03BD" w:rsidRDefault="00D9429A" w:rsidP="00680577">
      <w:pPr>
        <w:pStyle w:val="EPBodyTA1"/>
      </w:pPr>
      <w:r w:rsidRPr="00FD03BD">
        <w:t>TEXTOS APROVADOS</w:t>
      </w:r>
    </w:p>
    <w:p w14:paraId="417B928E" w14:textId="77777777" w:rsidR="00D058B8" w:rsidRPr="00FD03BD" w:rsidRDefault="00D058B8" w:rsidP="00D058B8">
      <w:pPr>
        <w:pStyle w:val="LineBottom"/>
      </w:pPr>
    </w:p>
    <w:p w14:paraId="3CB2370A" w14:textId="2E889D90" w:rsidR="00D9429A" w:rsidRPr="00FD03BD" w:rsidRDefault="00D9429A" w:rsidP="00D9429A">
      <w:pPr>
        <w:pStyle w:val="ATHeading1"/>
      </w:pPr>
      <w:bookmarkStart w:id="0" w:name="TANumber"/>
      <w:r w:rsidRPr="00FD03BD">
        <w:t>P10_</w:t>
      </w:r>
      <w:proofErr w:type="gramStart"/>
      <w:r w:rsidRPr="00FD03BD">
        <w:t>TA(</w:t>
      </w:r>
      <w:proofErr w:type="gramEnd"/>
      <w:r w:rsidRPr="00FD03BD">
        <w:t>2025)0</w:t>
      </w:r>
      <w:r w:rsidR="00BC4992">
        <w:t>151</w:t>
      </w:r>
      <w:bookmarkStart w:id="1" w:name="_GoBack"/>
      <w:bookmarkEnd w:id="0"/>
      <w:bookmarkEnd w:id="1"/>
    </w:p>
    <w:p w14:paraId="1BF6523A" w14:textId="77777777" w:rsidR="00D9429A" w:rsidRPr="00FD03BD" w:rsidRDefault="00D9429A" w:rsidP="00D9429A">
      <w:pPr>
        <w:pStyle w:val="ATHeading2"/>
      </w:pPr>
      <w:bookmarkStart w:id="2" w:name="title"/>
      <w:r w:rsidRPr="00FD03BD">
        <w:t>Projeto de orçamento retificativo n.º 1/2025: inscrição do excedente do exercício de 2024</w:t>
      </w:r>
      <w:bookmarkEnd w:id="2"/>
    </w:p>
    <w:p w14:paraId="53BD3B82" w14:textId="77777777" w:rsidR="00D9429A" w:rsidRPr="00FD03BD" w:rsidRDefault="00D9429A" w:rsidP="00D9429A">
      <w:pPr>
        <w:rPr>
          <w:i/>
          <w:vanish/>
        </w:rPr>
      </w:pPr>
      <w:r w:rsidRPr="00FD03BD">
        <w:rPr>
          <w:i/>
        </w:rPr>
        <w:fldChar w:fldCharType="begin"/>
      </w:r>
      <w:r w:rsidRPr="00FD03BD">
        <w:rPr>
          <w:i/>
        </w:rPr>
        <w:instrText xml:space="preserve"> TC"(</w:instrText>
      </w:r>
      <w:bookmarkStart w:id="3" w:name="DocNumber"/>
      <w:r w:rsidRPr="00FD03BD">
        <w:rPr>
          <w:i/>
        </w:rPr>
        <w:instrText>A10-0116/2025</w:instrText>
      </w:r>
      <w:bookmarkEnd w:id="3"/>
      <w:r w:rsidRPr="00FD03BD">
        <w:rPr>
          <w:i/>
        </w:rPr>
        <w:instrText xml:space="preserve"> - Relator: Victor </w:instrText>
      </w:r>
      <w:proofErr w:type="spellStart"/>
      <w:r w:rsidRPr="00FD03BD">
        <w:rPr>
          <w:i/>
        </w:rPr>
        <w:instrText>Negrescu</w:instrText>
      </w:r>
      <w:proofErr w:type="spellEnd"/>
      <w:r w:rsidRPr="00FD03BD">
        <w:rPr>
          <w:i/>
        </w:rPr>
        <w:instrText xml:space="preserve">)"\l3 \n&gt; \* MERGEFORMAT </w:instrText>
      </w:r>
      <w:r w:rsidRPr="00FD03BD">
        <w:rPr>
          <w:i/>
        </w:rPr>
        <w:fldChar w:fldCharType="end"/>
      </w:r>
    </w:p>
    <w:p w14:paraId="1DA0CC29" w14:textId="77777777" w:rsidR="00D9429A" w:rsidRPr="00FD03BD" w:rsidRDefault="00D9429A" w:rsidP="00D9429A">
      <w:pPr>
        <w:rPr>
          <w:vanish/>
        </w:rPr>
      </w:pPr>
      <w:bookmarkStart w:id="4" w:name="Commission"/>
      <w:r w:rsidRPr="00FD03BD">
        <w:rPr>
          <w:vanish/>
        </w:rPr>
        <w:t>Comissão dos Orçamentos</w:t>
      </w:r>
      <w:bookmarkEnd w:id="4"/>
    </w:p>
    <w:p w14:paraId="3CC503E2" w14:textId="77777777" w:rsidR="00D9429A" w:rsidRPr="00FD03BD" w:rsidRDefault="00D9429A" w:rsidP="00D9429A">
      <w:pPr>
        <w:rPr>
          <w:vanish/>
        </w:rPr>
      </w:pPr>
      <w:bookmarkStart w:id="5" w:name="PE"/>
      <w:r w:rsidRPr="00FD03BD">
        <w:rPr>
          <w:vanish/>
        </w:rPr>
        <w:t>PE773.098</w:t>
      </w:r>
      <w:bookmarkEnd w:id="5"/>
    </w:p>
    <w:p w14:paraId="6D32B769" w14:textId="502B4559" w:rsidR="00D9429A" w:rsidRPr="00FD03BD" w:rsidRDefault="00D9429A" w:rsidP="00D9429A">
      <w:pPr>
        <w:pStyle w:val="ATHeading3"/>
      </w:pPr>
      <w:bookmarkStart w:id="6" w:name="Sujet"/>
      <w:r w:rsidRPr="00FD03BD">
        <w:t xml:space="preserve">Resolução do Parlamento Europeu, de </w:t>
      </w:r>
      <w:r w:rsidR="004143D7">
        <w:t>9</w:t>
      </w:r>
      <w:r w:rsidR="004143D7" w:rsidRPr="00FD03BD">
        <w:t xml:space="preserve"> </w:t>
      </w:r>
      <w:r w:rsidRPr="00FD03BD">
        <w:t xml:space="preserve">de </w:t>
      </w:r>
      <w:r w:rsidR="004143D7">
        <w:t>julho</w:t>
      </w:r>
      <w:r w:rsidR="004143D7" w:rsidRPr="00FD03BD">
        <w:t xml:space="preserve"> </w:t>
      </w:r>
      <w:r w:rsidRPr="00FD03BD">
        <w:t>de 2025, referente à posição do Conselho sobre o projeto de orçamento retificativo n.º 1/2025 da União Europeia para o exercício de 2025, que inscreve o excedente do exercício de 2024</w:t>
      </w:r>
      <w:bookmarkEnd w:id="6"/>
      <w:r w:rsidRPr="00FD03BD">
        <w:t xml:space="preserve"> </w:t>
      </w:r>
      <w:bookmarkStart w:id="7" w:name="References"/>
      <w:r w:rsidRPr="00FD03BD">
        <w:t>(09619/2025 – C10-0125/2025 – 2025/0091(BUD))</w:t>
      </w:r>
      <w:bookmarkEnd w:id="7"/>
    </w:p>
    <w:p w14:paraId="4DB32DD5" w14:textId="77777777" w:rsidR="00BA162A" w:rsidRPr="00FD03BD" w:rsidRDefault="00BA162A" w:rsidP="00BA162A">
      <w:pPr>
        <w:pStyle w:val="EPComma"/>
      </w:pPr>
      <w:bookmarkStart w:id="8" w:name="TextBodyBegin"/>
      <w:bookmarkEnd w:id="8"/>
      <w:r w:rsidRPr="00FD03BD">
        <w:rPr>
          <w:i/>
          <w:iCs/>
        </w:rPr>
        <w:t>O Parlamento Europeu,</w:t>
      </w:r>
    </w:p>
    <w:p w14:paraId="6DF2136D" w14:textId="77777777" w:rsidR="00BA162A" w:rsidRPr="00FD03BD" w:rsidRDefault="00BA162A" w:rsidP="00BA162A">
      <w:pPr>
        <w:pStyle w:val="NormalHanging12a"/>
      </w:pPr>
      <w:r w:rsidRPr="00FD03BD">
        <w:t>–</w:t>
      </w:r>
      <w:r w:rsidRPr="00FD03BD">
        <w:tab/>
        <w:t>Tendo em conta o artigo 314.º do Tratado sobre o Funcionamento da União Europeia,</w:t>
      </w:r>
    </w:p>
    <w:p w14:paraId="7AE02EA3" w14:textId="77777777" w:rsidR="00BA162A" w:rsidRPr="00FD03BD" w:rsidRDefault="00BA162A" w:rsidP="00BA162A">
      <w:pPr>
        <w:pStyle w:val="NormalHanging12a"/>
      </w:pPr>
      <w:r w:rsidRPr="00FD03BD">
        <w:t>–</w:t>
      </w:r>
      <w:r w:rsidRPr="00FD03BD">
        <w:tab/>
        <w:t>Tendo em conta o artigo 106.º</w:t>
      </w:r>
      <w:r w:rsidRPr="00FD03BD">
        <w:noBreakHyphen/>
        <w:t>A do Tratado que institui a Comunidade Europeia da Energia Atómica,</w:t>
      </w:r>
    </w:p>
    <w:p w14:paraId="056A0EBE" w14:textId="77777777" w:rsidR="00BA162A" w:rsidRPr="00FD03BD" w:rsidRDefault="00BA162A" w:rsidP="00BA162A">
      <w:pPr>
        <w:pStyle w:val="NormalHanging12a"/>
      </w:pPr>
      <w:r w:rsidRPr="00FD03BD">
        <w:t>–</w:t>
      </w:r>
      <w:r w:rsidRPr="00FD03BD">
        <w:tab/>
        <w:t>Tendo em conta o Regulamento (UE, Euratom) 2024/2509 do Parlamento Europeu e do Conselho, de 23 de setembro de 2024, relativo às regras financeiras aplicáveis ao orçamento geral da União</w:t>
      </w:r>
      <w:r w:rsidRPr="00FD03BD">
        <w:rPr>
          <w:rStyle w:val="FootnoteReference"/>
        </w:rPr>
        <w:footnoteReference w:id="1"/>
      </w:r>
      <w:r w:rsidRPr="00FD03BD">
        <w:t>, nomeadamente o artigo 44.º,</w:t>
      </w:r>
    </w:p>
    <w:p w14:paraId="50C43550" w14:textId="2317ACDF" w:rsidR="00BA162A" w:rsidRPr="00FD03BD" w:rsidRDefault="00BA162A" w:rsidP="00BA162A">
      <w:pPr>
        <w:pStyle w:val="NormalHanging12a"/>
      </w:pPr>
      <w:r w:rsidRPr="00FD03BD">
        <w:t>–</w:t>
      </w:r>
      <w:r w:rsidRPr="00FD03BD">
        <w:tab/>
        <w:t xml:space="preserve">Tendo em conta o orçamento geral da União Europeia para o exercício de 2025, que foi definitivamente </w:t>
      </w:r>
      <w:r w:rsidR="00530DC1">
        <w:t>aprovado</w:t>
      </w:r>
      <w:r w:rsidR="00530DC1" w:rsidRPr="00FD03BD">
        <w:t xml:space="preserve"> </w:t>
      </w:r>
      <w:r w:rsidRPr="00FD03BD">
        <w:t>em 27 de novembro de 2024</w:t>
      </w:r>
      <w:r w:rsidRPr="00FD03BD">
        <w:rPr>
          <w:rStyle w:val="FootnoteReference"/>
        </w:rPr>
        <w:footnoteReference w:id="2"/>
      </w:r>
      <w:r w:rsidRPr="00FD03BD">
        <w:t>,</w:t>
      </w:r>
    </w:p>
    <w:p w14:paraId="123E10F0" w14:textId="5E4FB310" w:rsidR="00BA162A" w:rsidRPr="00FD03BD" w:rsidRDefault="00BA162A" w:rsidP="00BA162A">
      <w:pPr>
        <w:pStyle w:val="NormalHanging12a"/>
      </w:pPr>
      <w:r w:rsidRPr="00FD03BD">
        <w:t>–</w:t>
      </w:r>
      <w:r w:rsidRPr="00FD03BD">
        <w:tab/>
        <w:t xml:space="preserve">Tendo em conta o Regulamento (UE, Euratom) 2020/2093 do Conselho, de 17 de dezembro de 2020, que estabelece o quadro financeiro plurianual para o período </w:t>
      </w:r>
      <w:r w:rsidR="00530DC1">
        <w:t xml:space="preserve">de </w:t>
      </w:r>
      <w:r w:rsidRPr="00FD03BD">
        <w:t>2021 a 2027</w:t>
      </w:r>
      <w:r w:rsidRPr="00FD03BD">
        <w:rPr>
          <w:rStyle w:val="FootnoteReference"/>
        </w:rPr>
        <w:footnoteReference w:id="3"/>
      </w:r>
      <w:r w:rsidRPr="00FD03BD">
        <w:t>,</w:t>
      </w:r>
    </w:p>
    <w:p w14:paraId="721C769D" w14:textId="77777777" w:rsidR="00BA162A" w:rsidRPr="00FD03BD" w:rsidRDefault="00BA162A" w:rsidP="00BA162A">
      <w:pPr>
        <w:pStyle w:val="NormalHanging12a"/>
      </w:pPr>
      <w:r w:rsidRPr="00FD03BD">
        <w:t>–</w:t>
      </w:r>
      <w:r w:rsidRPr="00FD03BD">
        <w:tab/>
        <w:t xml:space="preserve">Tendo em conta o Acordo Interinstitucional, de 16 de dezembro de 2020, entre o Parlamento Europeu, o Conselho da União Europeia e a Comissão Europeia sobre a disciplina orçamental, a cooperação em matéria orçamental e a boa gestão financeira, bem como sobre os novos recursos próprios, incluindo um roteiro para a introdução de </w:t>
      </w:r>
      <w:r w:rsidRPr="00FD03BD">
        <w:lastRenderedPageBreak/>
        <w:t>novos recursos próprios</w:t>
      </w:r>
      <w:r w:rsidRPr="00FD03BD">
        <w:rPr>
          <w:rStyle w:val="FootnoteReference"/>
        </w:rPr>
        <w:footnoteReference w:id="4"/>
      </w:r>
      <w:r w:rsidRPr="00FD03BD">
        <w:t xml:space="preserve"> (Acordo Interinstitucional de 16 de dezembro de 2020),</w:t>
      </w:r>
    </w:p>
    <w:p w14:paraId="48FF646A" w14:textId="77777777" w:rsidR="00BA162A" w:rsidRPr="00FD03BD" w:rsidRDefault="00BA162A" w:rsidP="00BA162A">
      <w:pPr>
        <w:pStyle w:val="NormalHanging12a"/>
      </w:pPr>
      <w:r w:rsidRPr="00FD03BD">
        <w:t>–</w:t>
      </w:r>
      <w:r w:rsidRPr="00FD03BD">
        <w:tab/>
        <w:t>Tendo em conta a Decisão (UE, Euratom) 2020/2053 do Conselho, de 14 de dezembro de 2020, relativa ao sistema de recursos próprios da União Europeia e que revoga a Decisão 2014/335/UE, Euratom</w:t>
      </w:r>
      <w:r w:rsidRPr="00FD03BD">
        <w:rPr>
          <w:rStyle w:val="FootnoteReference"/>
        </w:rPr>
        <w:footnoteReference w:id="5"/>
      </w:r>
      <w:r w:rsidRPr="00FD03BD">
        <w:t>,</w:t>
      </w:r>
    </w:p>
    <w:p w14:paraId="08BC0842" w14:textId="329554AA" w:rsidR="00BA162A" w:rsidRPr="00FD03BD" w:rsidRDefault="00BA162A" w:rsidP="00BA162A">
      <w:pPr>
        <w:pStyle w:val="NormalHanging12a"/>
      </w:pPr>
      <w:r w:rsidRPr="00FD03BD">
        <w:t>–</w:t>
      </w:r>
      <w:r w:rsidRPr="00FD03BD">
        <w:tab/>
        <w:t>Tendo em conta o projeto de orçamento retificativo n.º 1/2025</w:t>
      </w:r>
      <w:r w:rsidR="00530DC1">
        <w:t>, aprovado</w:t>
      </w:r>
      <w:r w:rsidRPr="00FD03BD">
        <w:t xml:space="preserve"> pela Comissão em 9 de abril de 2025 (</w:t>
      </w:r>
      <w:proofErr w:type="gramStart"/>
      <w:r w:rsidRPr="00FD03BD">
        <w:t>COM(</w:t>
      </w:r>
      <w:proofErr w:type="gramEnd"/>
      <w:r w:rsidRPr="00FD03BD">
        <w:t>2025)0350),</w:t>
      </w:r>
    </w:p>
    <w:p w14:paraId="309585F9" w14:textId="25DDCE28" w:rsidR="00BA162A" w:rsidRPr="00FD03BD" w:rsidRDefault="00BA162A" w:rsidP="00BA162A">
      <w:pPr>
        <w:pStyle w:val="NormalHanging12a"/>
      </w:pPr>
      <w:r w:rsidRPr="00FD03BD">
        <w:t>–</w:t>
      </w:r>
      <w:r w:rsidRPr="00FD03BD">
        <w:tab/>
        <w:t>Tendo em conta a posição sobre o projeto de orçamento retificativo n.º 1/2025, adotada pelo Conselho em 16 de junho de 2025 e transmitida ao Parlamento em 18 de junho de 2025 (09619/2025 – C10</w:t>
      </w:r>
      <w:r w:rsidRPr="00FD03BD">
        <w:noBreakHyphen/>
        <w:t>0125/2025),</w:t>
      </w:r>
    </w:p>
    <w:p w14:paraId="73416B8F" w14:textId="77777777" w:rsidR="00BA162A" w:rsidRPr="00FD03BD" w:rsidRDefault="00BA162A" w:rsidP="00BA162A">
      <w:pPr>
        <w:pStyle w:val="NormalHanging12a"/>
      </w:pPr>
      <w:r w:rsidRPr="00FD03BD">
        <w:t>–</w:t>
      </w:r>
      <w:r w:rsidRPr="00FD03BD">
        <w:tab/>
        <w:t>Tendo em conta os artigos 96.º e 98.º do seu Regimento,</w:t>
      </w:r>
    </w:p>
    <w:p w14:paraId="2FC83F71" w14:textId="77777777" w:rsidR="00BA162A" w:rsidRPr="00FD03BD" w:rsidRDefault="00BA162A" w:rsidP="00BA162A">
      <w:pPr>
        <w:pStyle w:val="NormalHanging12a"/>
      </w:pPr>
      <w:r w:rsidRPr="00FD03BD">
        <w:t>–</w:t>
      </w:r>
      <w:r w:rsidRPr="00FD03BD">
        <w:tab/>
        <w:t>Tendo em conta o relatório da Comissão dos Orçamentos (A10</w:t>
      </w:r>
      <w:r w:rsidRPr="00FD03BD">
        <w:noBreakHyphen/>
        <w:t>0116/2025),</w:t>
      </w:r>
    </w:p>
    <w:p w14:paraId="30369A82" w14:textId="77777777" w:rsidR="00BA162A" w:rsidRPr="00FD03BD" w:rsidRDefault="00BA162A" w:rsidP="00BA162A">
      <w:pPr>
        <w:pStyle w:val="NormalHanging12a"/>
      </w:pPr>
      <w:r w:rsidRPr="00FD03BD">
        <w:t>A.</w:t>
      </w:r>
      <w:r w:rsidRPr="00FD03BD">
        <w:tab/>
      </w:r>
      <w:r w:rsidRPr="00FD03BD">
        <w:rPr>
          <w:color w:val="000000"/>
        </w:rPr>
        <w:t>Considerando que o objetivo do projeto de orçamento retificativo n.º 1/2025 é inscrever no orçamento de 2025 o excedente resultante da execução do exercício orçamental de 2024, que se cifra em 1 345 milhões de EUR;</w:t>
      </w:r>
    </w:p>
    <w:p w14:paraId="39D23981" w14:textId="493AAA8C" w:rsidR="00BA162A" w:rsidRPr="00FD03BD" w:rsidRDefault="00BA162A" w:rsidP="00BA162A">
      <w:pPr>
        <w:pStyle w:val="NormalHanging12a"/>
      </w:pPr>
      <w:proofErr w:type="gramStart"/>
      <w:r w:rsidRPr="00FD03BD">
        <w:t>B.</w:t>
      </w:r>
      <w:r w:rsidRPr="00FD03BD">
        <w:tab/>
      </w:r>
      <w:r w:rsidRPr="00FD03BD">
        <w:rPr>
          <w:color w:val="000000"/>
        </w:rPr>
        <w:t>Considerando</w:t>
      </w:r>
      <w:proofErr w:type="gramEnd"/>
      <w:r w:rsidRPr="00FD03BD">
        <w:rPr>
          <w:color w:val="000000"/>
        </w:rPr>
        <w:t xml:space="preserve"> que os principais elementos que determinaram es</w:t>
      </w:r>
      <w:r w:rsidR="00B300BC">
        <w:rPr>
          <w:color w:val="000000"/>
        </w:rPr>
        <w:t>s</w:t>
      </w:r>
      <w:r w:rsidRPr="00FD03BD">
        <w:rPr>
          <w:color w:val="000000"/>
        </w:rPr>
        <w:t xml:space="preserve">e excedente são um resultado positivo do lado da receita equivalente a 1 072 milhões de EUR e uma </w:t>
      </w:r>
      <w:proofErr w:type="spellStart"/>
      <w:r w:rsidRPr="00FD03BD">
        <w:rPr>
          <w:color w:val="000000"/>
        </w:rPr>
        <w:t>subexecução</w:t>
      </w:r>
      <w:proofErr w:type="spellEnd"/>
      <w:r w:rsidRPr="00FD03BD">
        <w:rPr>
          <w:color w:val="000000"/>
        </w:rPr>
        <w:t xml:space="preserve"> da despesa no valor de 272,5 milhões de EUR;</w:t>
      </w:r>
    </w:p>
    <w:p w14:paraId="50F4E041" w14:textId="58413DC9" w:rsidR="00BA162A" w:rsidRPr="00FD03BD" w:rsidRDefault="00BA162A" w:rsidP="00BA162A">
      <w:pPr>
        <w:pStyle w:val="NormalHanging12a"/>
      </w:pPr>
      <w:r w:rsidRPr="00FD03BD">
        <w:t>C.</w:t>
      </w:r>
      <w:r w:rsidRPr="00FD03BD">
        <w:tab/>
      </w:r>
      <w:r w:rsidRPr="00FD03BD">
        <w:rPr>
          <w:color w:val="000000"/>
        </w:rPr>
        <w:t xml:space="preserve">Considerando que, no que respeita às receitas, o volume do excedente se deve principalmente às receitas financeiras, aos juros de mora e às coimas, que ascenderam a um montante de 1 211 milhões de EUR; </w:t>
      </w:r>
      <w:r w:rsidR="00B300BC" w:rsidRPr="00FD03BD">
        <w:rPr>
          <w:color w:val="000000"/>
        </w:rPr>
        <w:t xml:space="preserve">considerando </w:t>
      </w:r>
      <w:r w:rsidRPr="00FD03BD">
        <w:rPr>
          <w:color w:val="000000"/>
        </w:rPr>
        <w:t xml:space="preserve">que a execução dos recursos próprios no título 1 se mantém muito próxima dos montantes inscritos no orçamento de 2024 (incluindo os orçamentos retificativos </w:t>
      </w:r>
      <w:proofErr w:type="spellStart"/>
      <w:proofErr w:type="gramStart"/>
      <w:r w:rsidRPr="00FD03BD">
        <w:rPr>
          <w:color w:val="000000"/>
        </w:rPr>
        <w:t>n.</w:t>
      </w:r>
      <w:r w:rsidRPr="00FD03BD">
        <w:rPr>
          <w:color w:val="000000"/>
          <w:vertAlign w:val="superscript"/>
        </w:rPr>
        <w:t>os</w:t>
      </w:r>
      <w:proofErr w:type="spellEnd"/>
      <w:proofErr w:type="gramEnd"/>
      <w:r w:rsidRPr="00FD03BD">
        <w:rPr>
          <w:color w:val="000000"/>
        </w:rPr>
        <w:t xml:space="preserve"> 1 a 5);</w:t>
      </w:r>
    </w:p>
    <w:p w14:paraId="5D4C0803" w14:textId="6AADAAC7" w:rsidR="00BA162A" w:rsidRPr="00FD03BD" w:rsidRDefault="00BA162A" w:rsidP="00BA162A">
      <w:pPr>
        <w:pStyle w:val="NormalHanging12a"/>
      </w:pPr>
      <w:r w:rsidRPr="00FD03BD">
        <w:t>D.</w:t>
      </w:r>
      <w:r w:rsidRPr="00FD03BD">
        <w:tab/>
      </w:r>
      <w:r w:rsidRPr="00FD03BD">
        <w:rPr>
          <w:color w:val="000000"/>
        </w:rPr>
        <w:t xml:space="preserve">Considerando que, no que respeita às despesas, a </w:t>
      </w:r>
      <w:proofErr w:type="spellStart"/>
      <w:r w:rsidRPr="00FD03BD">
        <w:rPr>
          <w:color w:val="000000"/>
        </w:rPr>
        <w:t>subexecução</w:t>
      </w:r>
      <w:proofErr w:type="spellEnd"/>
      <w:r w:rsidRPr="00FD03BD">
        <w:rPr>
          <w:color w:val="000000"/>
        </w:rPr>
        <w:t xml:space="preserve"> dos pagamentos pelo conjunto das instituições, incluindo a anulação das dotações transitadas, ascendeu a 273</w:t>
      </w:r>
      <w:r w:rsidR="00B300BC">
        <w:rPr>
          <w:color w:val="000000"/>
        </w:rPr>
        <w:t> </w:t>
      </w:r>
      <w:r w:rsidRPr="00FD03BD">
        <w:rPr>
          <w:color w:val="000000"/>
        </w:rPr>
        <w:t>milhões de EUR (o que equivale a 0,02 % das dotações de pagamento autorizadas);</w:t>
      </w:r>
    </w:p>
    <w:p w14:paraId="48DC323B" w14:textId="77777777" w:rsidR="00BA162A" w:rsidRPr="00FD03BD" w:rsidRDefault="00BA162A" w:rsidP="00BA162A">
      <w:pPr>
        <w:pStyle w:val="NormalHanging12a"/>
        <w:ind w:hanging="570"/>
      </w:pPr>
      <w:r w:rsidRPr="00FD03BD">
        <w:t>1.</w:t>
      </w:r>
      <w:r w:rsidRPr="00FD03BD">
        <w:tab/>
      </w:r>
      <w:r w:rsidRPr="00FD03BD">
        <w:rPr>
          <w:color w:val="000000"/>
        </w:rPr>
        <w:t>Toma nota do projeto de orçamento retificativo n.º 1/2025 apresentado pela Comissão, que visa orçamentar o excedente de 2024, no montante de 1 345 milhões de EUR, em conformidade com o artigo 18.º, n.º 3, do Regulamento Financeiro;</w:t>
      </w:r>
      <w:sdt>
        <w:sdtPr>
          <w:tag w:val="goog_rdk_0"/>
          <w:id w:val="1937094721"/>
        </w:sdtPr>
        <w:sdtEndPr/>
        <w:sdtContent/>
      </w:sdt>
    </w:p>
    <w:p w14:paraId="427FE4CA" w14:textId="77777777" w:rsidR="00BA162A" w:rsidRPr="00FD03BD" w:rsidRDefault="00BA162A" w:rsidP="00BA162A">
      <w:pPr>
        <w:pStyle w:val="NormalHanging12a"/>
        <w:ind w:hanging="570"/>
      </w:pPr>
      <w:proofErr w:type="gramStart"/>
      <w:r w:rsidRPr="00FD03BD">
        <w:t>2.</w:t>
      </w:r>
      <w:r w:rsidRPr="00FD03BD">
        <w:tab/>
      </w:r>
      <w:r w:rsidRPr="00FD03BD">
        <w:rPr>
          <w:color w:val="000000"/>
        </w:rPr>
        <w:t>Saúda</w:t>
      </w:r>
      <w:proofErr w:type="gramEnd"/>
      <w:r w:rsidRPr="00FD03BD">
        <w:rPr>
          <w:color w:val="000000"/>
        </w:rPr>
        <w:t xml:space="preserve"> o facto de o excedente de 2024 se dever principalmente a um aumento da variação do título 4 (Receitas financeiras, juros de mora e coimas), ao passo que o excedente das despesas se mantém muito modesto cifrando</w:t>
      </w:r>
      <w:r w:rsidRPr="00FD03BD">
        <w:rPr>
          <w:color w:val="000000"/>
        </w:rPr>
        <w:noBreakHyphen/>
        <w:t xml:space="preserve">se em 273 milhões de EUR; </w:t>
      </w:r>
    </w:p>
    <w:p w14:paraId="3F78EDAD" w14:textId="77777777" w:rsidR="00BA162A" w:rsidRPr="00FD03BD" w:rsidRDefault="00BA162A" w:rsidP="00BA162A">
      <w:pPr>
        <w:spacing w:after="240"/>
        <w:ind w:left="567" w:hanging="567"/>
        <w:rPr>
          <w:color w:val="000000"/>
        </w:rPr>
      </w:pPr>
      <w:r w:rsidRPr="00FD03BD">
        <w:rPr>
          <w:color w:val="000000"/>
        </w:rPr>
        <w:t>3.</w:t>
      </w:r>
      <w:r w:rsidRPr="00FD03BD">
        <w:rPr>
          <w:color w:val="000000"/>
        </w:rPr>
        <w:tab/>
        <w:t>Lamenta que a orçamentação do excedente reduza a contribuição do recurso próprio baseado no RNB dos Estados</w:t>
      </w:r>
      <w:r w:rsidRPr="00FD03BD">
        <w:rPr>
          <w:color w:val="000000"/>
        </w:rPr>
        <w:noBreakHyphen/>
        <w:t>Membros para o orçamento de 2025 num montante proporcional; sublinha que, num momento em que as necessidades financeiras permanecem elevadas, em especial para cobrir os custos de superação do Instrumento de Recuperação da União Europeia, e em que as margens do orçamento da União são extremamente limitadas, o orçamento deve manter um nível suficiente de flexibilidade para que a União possa fazer face a imprevistos e a novas prioridades emergentes; realça que a flexibilidade do orçamento da União é um dos aspetos fundamentais a tratar durante as negociações sobre o quadro financeiro plurianual pós</w:t>
      </w:r>
      <w:r w:rsidRPr="00FD03BD">
        <w:rPr>
          <w:color w:val="000000"/>
        </w:rPr>
        <w:noBreakHyphen/>
        <w:t xml:space="preserve">2027; </w:t>
      </w:r>
    </w:p>
    <w:p w14:paraId="1D42ECF4" w14:textId="77777777" w:rsidR="00BA162A" w:rsidRPr="00FD03BD" w:rsidRDefault="00BA162A" w:rsidP="00BA162A">
      <w:pPr>
        <w:spacing w:after="240"/>
        <w:ind w:left="567" w:hanging="567"/>
        <w:rPr>
          <w:color w:val="000000"/>
        </w:rPr>
      </w:pPr>
      <w:proofErr w:type="gramStart"/>
      <w:r w:rsidRPr="00FD03BD">
        <w:rPr>
          <w:color w:val="000000"/>
        </w:rPr>
        <w:t>4.</w:t>
      </w:r>
      <w:r w:rsidRPr="00FD03BD">
        <w:rPr>
          <w:color w:val="000000"/>
        </w:rPr>
        <w:tab/>
      </w:r>
      <w:r w:rsidRPr="00FD03BD">
        <w:t>Insta</w:t>
      </w:r>
      <w:proofErr w:type="gramEnd"/>
      <w:r w:rsidRPr="00FD03BD">
        <w:t xml:space="preserve"> também a Comissão a conceber uma arquitetura sólida e duradoura para o próximo quadro financeiro plurianual que permita uma gestão sustentável de todos os custos e passivos não discricionários, preservando na íntegra os programas da União e a flexibilidade e capacidade de resposta do orçamento, sobretudo face a catástrofes naturais e emergências sanitárias, tendo em vista a execução cabal da Estratégia para uma União da Preparação;</w:t>
      </w:r>
      <w:r w:rsidRPr="00FD03BD">
        <w:rPr>
          <w:color w:val="000000"/>
        </w:rPr>
        <w:t xml:space="preserve"> </w:t>
      </w:r>
    </w:p>
    <w:p w14:paraId="2B88FDB8" w14:textId="77777777" w:rsidR="00BA162A" w:rsidRPr="00FD03BD" w:rsidRDefault="00BA162A" w:rsidP="00BA162A">
      <w:pPr>
        <w:pStyle w:val="NormalHanging12a"/>
      </w:pPr>
      <w:proofErr w:type="gramStart"/>
      <w:r w:rsidRPr="00FD03BD">
        <w:t>5.</w:t>
      </w:r>
      <w:r w:rsidRPr="00FD03BD">
        <w:tab/>
      </w:r>
      <w:r w:rsidRPr="00FD03BD">
        <w:rPr>
          <w:color w:val="000000"/>
        </w:rPr>
        <w:t>Relembra</w:t>
      </w:r>
      <w:proofErr w:type="gramEnd"/>
      <w:r w:rsidRPr="00FD03BD">
        <w:rPr>
          <w:color w:val="000000"/>
        </w:rPr>
        <w:t xml:space="preserve"> a posição que sempre tem defendido de que os ganhos excecionais decorrentes do pagamento de taxas e coimas, ou de montantes equivalentes, devem ser utilizados como receita adicional para o orçamento da União, para reagir a crises ou responder a necessidades imprevistas, e não devem conduzir a uma diminuição correspondente das contribuições baseadas no RNB;</w:t>
      </w:r>
    </w:p>
    <w:p w14:paraId="417A54B5" w14:textId="4F428949" w:rsidR="00BA162A" w:rsidRPr="00FD03BD" w:rsidRDefault="00BA162A" w:rsidP="00BA162A">
      <w:pPr>
        <w:pStyle w:val="NormalHanging12a"/>
        <w:ind w:hanging="570"/>
      </w:pPr>
      <w:r w:rsidRPr="00FD03BD">
        <w:t>6.</w:t>
      </w:r>
      <w:r w:rsidRPr="00FD03BD">
        <w:tab/>
        <w:t>Regista os montantes inscritos como receitas negativas no novo artigo 4 2 5, num total de 534</w:t>
      </w:r>
      <w:r w:rsidR="00B300BC">
        <w:t> </w:t>
      </w:r>
      <w:r w:rsidRPr="00FD03BD">
        <w:t xml:space="preserve">milhões de EUR, e acolhe favoravelmente este método de integração no orçamento dos custos decorrentes dos pagamentos efetuados no quadro de acordos de resolução que preveem o pagamento de juros compensatórios e juros de mora relacionados com o reembolso de coimas em matéria de concorrência anuladas ou reduzidas em consonância com os acórdãos pertinentes do Tribunal de Justiça; recorda que, durante as negociações sobre a reformulação do Regulamento Financeiro, o Parlamento insistiu na aplicação deste método, dado que a solução alternativa teria sido acrescentar dotações de despesas adicionais à rubrica 7, já sobrecarregada; recorda que esta solução deixará de existir em 31 de dezembro de 2027; convida a Comissão a propor uma solução definitiva para o próximo </w:t>
      </w:r>
      <w:r w:rsidR="00B300BC">
        <w:t>quadro financeiro plurianual</w:t>
      </w:r>
      <w:r w:rsidR="00B300BC" w:rsidRPr="00FD03BD">
        <w:t xml:space="preserve"> </w:t>
      </w:r>
      <w:r w:rsidRPr="00FD03BD">
        <w:t>que alcance o mesmo objetivo de evitar eventuais impactos no lado das despesas do orçamento;</w:t>
      </w:r>
    </w:p>
    <w:p w14:paraId="0D108DEE" w14:textId="77777777" w:rsidR="00BA162A" w:rsidRPr="00FD03BD" w:rsidRDefault="00BA162A" w:rsidP="00BA162A">
      <w:pPr>
        <w:pStyle w:val="NormalHanging12a"/>
        <w:ind w:hanging="570"/>
        <w:rPr>
          <w:color w:val="000000"/>
        </w:rPr>
      </w:pPr>
      <w:r w:rsidRPr="00FD03BD">
        <w:t>7.</w:t>
      </w:r>
      <w:r w:rsidRPr="00FD03BD">
        <w:tab/>
      </w:r>
      <w:r w:rsidRPr="00FD03BD">
        <w:rPr>
          <w:color w:val="000000"/>
        </w:rPr>
        <w:t xml:space="preserve">Realça a necessidade de dispor de receitas sustentáveis para o orçamento da União; </w:t>
      </w:r>
      <w:r w:rsidRPr="00FD03BD">
        <w:t>lamenta, por conseguinte, a total ausência de progressos no Conselho no que toca ao sistema de recursos próprios em consonância com o espírito do roteiro juridicamente vinculativo do Acordo Interinstitucional de 16 de dezembro de 2020;</w:t>
      </w:r>
      <w:r w:rsidRPr="00FD03BD">
        <w:rPr>
          <w:color w:val="1E1E1F"/>
        </w:rPr>
        <w:t xml:space="preserve"> </w:t>
      </w:r>
      <w:r w:rsidRPr="00FD03BD">
        <w:t>recorda a sua posição favorável às propostas alteradas da Comissão e insta o Conselho a adotar urgentemente essas propostas, tendo em vista a diversificação e a consolidação dos recursos próprios disponíveis para o orçamento da União;</w:t>
      </w:r>
    </w:p>
    <w:p w14:paraId="4F21A5B2" w14:textId="0B8DD490" w:rsidR="00BA162A" w:rsidRPr="00FD03BD" w:rsidRDefault="00BA162A" w:rsidP="00BA162A">
      <w:pPr>
        <w:pStyle w:val="NormalHanging12a"/>
        <w:ind w:hanging="570"/>
        <w:rPr>
          <w:color w:val="000000"/>
        </w:rPr>
      </w:pPr>
      <w:r w:rsidRPr="00FD03BD">
        <w:t>8.</w:t>
      </w:r>
      <w:r w:rsidRPr="00FD03BD">
        <w:tab/>
        <w:t xml:space="preserve">Solicita, ademais, à Comissão que prossiga os seus esforços para identificar recursos próprios suplementares inovadores e verdadeiramente novos, assim como outras receitas, para além das especificadas no Acordo Interinstitucional de 16 de dezembro de 2020; salienta que são essenciais novos recursos próprios, não só para permitir o reembolso dos empréstimos contraídos no âmbito do </w:t>
      </w:r>
      <w:proofErr w:type="spellStart"/>
      <w:r w:rsidR="00437423" w:rsidRPr="00437423">
        <w:t>NextGenerationEU</w:t>
      </w:r>
      <w:proofErr w:type="spellEnd"/>
      <w:r w:rsidRPr="00FD03BD">
        <w:t>, mas também para assegurar que a União esteja equipada para cobrir as suas necessidades acrescidas em termos de despesas, em especial atendendo aos múltiplos desafios que a União enfrenta atualmente, nomeadamente o novo contexto geopolítico; considera que todas as novas políticas e todos os novos desafios da União devem implicar novos meios financeiros e novos recursos adicionais;</w:t>
      </w:r>
    </w:p>
    <w:p w14:paraId="58DE8D62" w14:textId="77777777" w:rsidR="00BA162A" w:rsidRPr="00FD03BD" w:rsidRDefault="00BA162A" w:rsidP="00BA162A">
      <w:pPr>
        <w:pStyle w:val="NormalHanging12a"/>
        <w:ind w:hanging="570"/>
      </w:pPr>
      <w:proofErr w:type="gramStart"/>
      <w:r w:rsidRPr="00FD03BD">
        <w:t>9.</w:t>
      </w:r>
      <w:r w:rsidRPr="00FD03BD">
        <w:tab/>
        <w:t>Aprova</w:t>
      </w:r>
      <w:proofErr w:type="gramEnd"/>
      <w:r w:rsidRPr="00FD03BD">
        <w:t xml:space="preserve"> a posição do Conselho sobre o projeto de orçamento retificativo n.º 1/2025;</w:t>
      </w:r>
    </w:p>
    <w:p w14:paraId="6CE2BBC5" w14:textId="5B205993" w:rsidR="00BA162A" w:rsidRPr="00FD03BD" w:rsidRDefault="00BA162A" w:rsidP="00BA162A">
      <w:pPr>
        <w:pStyle w:val="NormalHanging12a"/>
        <w:ind w:hanging="570"/>
      </w:pPr>
      <w:proofErr w:type="gramStart"/>
      <w:r w:rsidRPr="00FD03BD">
        <w:t>10.</w:t>
      </w:r>
      <w:r w:rsidRPr="00FD03BD">
        <w:tab/>
        <w:t>Encarrega</w:t>
      </w:r>
      <w:proofErr w:type="gramEnd"/>
      <w:r w:rsidRPr="00FD03BD">
        <w:t xml:space="preserve"> a sua Presidente de declarar o orçamento retificativo n.º 1/2025 definitivamente </w:t>
      </w:r>
      <w:r w:rsidR="00B300BC">
        <w:t>aprovado</w:t>
      </w:r>
      <w:r w:rsidR="00B300BC" w:rsidRPr="00FD03BD">
        <w:t xml:space="preserve"> </w:t>
      </w:r>
      <w:r w:rsidRPr="00FD03BD">
        <w:t xml:space="preserve">e de prover à respetiva publicação no </w:t>
      </w:r>
      <w:r w:rsidRPr="00FD03BD">
        <w:rPr>
          <w:i/>
          <w:iCs/>
        </w:rPr>
        <w:t>Jornal Oficial da União Europeia</w:t>
      </w:r>
      <w:r w:rsidRPr="00FD03BD">
        <w:t>;</w:t>
      </w:r>
    </w:p>
    <w:p w14:paraId="514A663B" w14:textId="034D1BC4" w:rsidR="00E365E1" w:rsidRPr="00FD03BD" w:rsidRDefault="00BA162A" w:rsidP="00BC4992">
      <w:pPr>
        <w:pStyle w:val="NormalHanging12a"/>
        <w:ind w:hanging="570"/>
      </w:pPr>
      <w:proofErr w:type="gramStart"/>
      <w:r w:rsidRPr="00FD03BD">
        <w:t>11.</w:t>
      </w:r>
      <w:r w:rsidRPr="00FD03BD">
        <w:tab/>
        <w:t>Encarrega</w:t>
      </w:r>
      <w:proofErr w:type="gramEnd"/>
      <w:r w:rsidRPr="00FD03BD">
        <w:t xml:space="preserve"> a sua Presidente de transmitir a presente resolução ao Conselho e à Comissão, às restantes Instituições e aos órgãos interessados, bem como aos parlamentos nacionais.</w:t>
      </w:r>
    </w:p>
    <w:sectPr w:rsidR="00E365E1" w:rsidRPr="00FD03BD" w:rsidSect="005945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8D3A5B" w14:textId="77777777" w:rsidR="00D9429A" w:rsidRPr="00594559" w:rsidRDefault="00D9429A">
      <w:r w:rsidRPr="00594559">
        <w:separator/>
      </w:r>
    </w:p>
  </w:endnote>
  <w:endnote w:type="continuationSeparator" w:id="0">
    <w:p w14:paraId="04AB7691" w14:textId="77777777" w:rsidR="00D9429A" w:rsidRPr="00594559" w:rsidRDefault="00D9429A">
      <w:r w:rsidRPr="005945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4AF67" w14:textId="77777777" w:rsidR="00064002" w:rsidRPr="0059455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72AD38" w14:textId="77777777" w:rsidR="00064002" w:rsidRPr="0059455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499B1" w14:textId="77777777" w:rsidR="00064002" w:rsidRPr="0059455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ECE51E" w14:textId="77777777" w:rsidR="00D9429A" w:rsidRPr="00594559" w:rsidRDefault="00D9429A">
      <w:r w:rsidRPr="00594559">
        <w:separator/>
      </w:r>
    </w:p>
  </w:footnote>
  <w:footnote w:type="continuationSeparator" w:id="0">
    <w:p w14:paraId="2C0A0FAC" w14:textId="77777777" w:rsidR="00D9429A" w:rsidRPr="00594559" w:rsidRDefault="00D9429A">
      <w:r w:rsidRPr="00594559">
        <w:continuationSeparator/>
      </w:r>
    </w:p>
  </w:footnote>
  <w:footnote w:id="1">
    <w:p w14:paraId="7D50D8ED" w14:textId="77777777" w:rsidR="00BA162A" w:rsidRPr="00BC4992" w:rsidRDefault="00BA162A" w:rsidP="00594559">
      <w:pPr>
        <w:pStyle w:val="FootnoteText"/>
        <w:ind w:left="567" w:hanging="567"/>
        <w:rPr>
          <w:sz w:val="24"/>
          <w:lang w:val="fi-FI"/>
        </w:rPr>
      </w:pPr>
      <w:r w:rsidRPr="00594559">
        <w:rPr>
          <w:rStyle w:val="FootnoteReference"/>
          <w:sz w:val="24"/>
          <w:lang w:val="pt-PT"/>
        </w:rPr>
        <w:footnoteRef/>
      </w:r>
      <w:r w:rsidR="00594559" w:rsidRPr="00BC4992">
        <w:rPr>
          <w:sz w:val="24"/>
          <w:lang w:val="fi-FI"/>
        </w:rPr>
        <w:t xml:space="preserve"> </w:t>
      </w:r>
      <w:r w:rsidR="00594559" w:rsidRPr="00BC4992">
        <w:rPr>
          <w:sz w:val="24"/>
          <w:lang w:val="fi-FI"/>
        </w:rPr>
        <w:tab/>
      </w:r>
      <w:r w:rsidRPr="00BC4992">
        <w:rPr>
          <w:sz w:val="24"/>
          <w:lang w:val="fi-FI"/>
        </w:rPr>
        <w:t xml:space="preserve">JO L, 2024/2509, 26.9.2024, </w:t>
      </w:r>
      <w:hyperlink r:id="rId1" w:history="1">
        <w:r w:rsidRPr="00BC4992">
          <w:rPr>
            <w:rStyle w:val="Hyperlink"/>
            <w:sz w:val="24"/>
            <w:lang w:val="fi-FI"/>
          </w:rPr>
          <w:t>http://data.europa.eu/eli/reg/2024/2509/oj</w:t>
        </w:r>
      </w:hyperlink>
      <w:r w:rsidRPr="00BC4992">
        <w:rPr>
          <w:sz w:val="24"/>
          <w:lang w:val="fi-FI"/>
        </w:rPr>
        <w:t>.</w:t>
      </w:r>
    </w:p>
  </w:footnote>
  <w:footnote w:id="2">
    <w:p w14:paraId="219EECA4" w14:textId="77777777" w:rsidR="00BA162A" w:rsidRPr="00BC4992" w:rsidRDefault="00BA162A" w:rsidP="00594559">
      <w:pPr>
        <w:pStyle w:val="FootnoteText"/>
        <w:ind w:left="567" w:hanging="567"/>
        <w:rPr>
          <w:sz w:val="24"/>
          <w:lang w:val="fi-FI"/>
        </w:rPr>
      </w:pPr>
      <w:r w:rsidRPr="00594559">
        <w:rPr>
          <w:rStyle w:val="FootnoteReference"/>
          <w:sz w:val="24"/>
          <w:lang w:val="pt-PT"/>
        </w:rPr>
        <w:footnoteRef/>
      </w:r>
      <w:r w:rsidR="00594559" w:rsidRPr="00BC4992">
        <w:rPr>
          <w:sz w:val="24"/>
          <w:lang w:val="fi-FI"/>
        </w:rPr>
        <w:t xml:space="preserve"> </w:t>
      </w:r>
      <w:r w:rsidR="00594559" w:rsidRPr="00BC4992">
        <w:rPr>
          <w:sz w:val="24"/>
          <w:lang w:val="fi-FI"/>
        </w:rPr>
        <w:tab/>
      </w:r>
      <w:r w:rsidRPr="00BC4992">
        <w:rPr>
          <w:sz w:val="24"/>
          <w:lang w:val="fi-FI"/>
        </w:rPr>
        <w:t xml:space="preserve">JO L, 2025/31, 27.2.2025, </w:t>
      </w:r>
      <w:hyperlink r:id="rId2" w:history="1">
        <w:r w:rsidRPr="00BC4992">
          <w:rPr>
            <w:rStyle w:val="Hyperlink"/>
            <w:sz w:val="24"/>
            <w:lang w:val="fi-FI"/>
          </w:rPr>
          <w:t>http://data.europa.eu/eli/budget/2025/31/oj</w:t>
        </w:r>
      </w:hyperlink>
      <w:r w:rsidRPr="00BC4992">
        <w:rPr>
          <w:rStyle w:val="Hyperlink"/>
          <w:sz w:val="24"/>
          <w:lang w:val="fi-FI"/>
        </w:rPr>
        <w:t>.</w:t>
      </w:r>
    </w:p>
  </w:footnote>
  <w:footnote w:id="3">
    <w:p w14:paraId="68E922D2" w14:textId="77777777" w:rsidR="00BA162A" w:rsidRPr="00BC4992" w:rsidRDefault="00BA162A" w:rsidP="00594559">
      <w:pPr>
        <w:pStyle w:val="FootnoteText"/>
        <w:ind w:left="567" w:hanging="567"/>
        <w:rPr>
          <w:sz w:val="24"/>
          <w:lang w:val="da-DK"/>
        </w:rPr>
      </w:pPr>
      <w:r w:rsidRPr="00594559">
        <w:rPr>
          <w:rStyle w:val="FootnoteReference"/>
          <w:sz w:val="24"/>
          <w:lang w:val="pt-PT"/>
        </w:rPr>
        <w:footnoteRef/>
      </w:r>
      <w:r w:rsidR="00594559" w:rsidRPr="00BC4992">
        <w:rPr>
          <w:sz w:val="24"/>
          <w:lang w:val="da-DK"/>
        </w:rPr>
        <w:t xml:space="preserve"> </w:t>
      </w:r>
      <w:r w:rsidR="00594559" w:rsidRPr="00BC4992">
        <w:rPr>
          <w:sz w:val="24"/>
          <w:lang w:val="da-DK"/>
        </w:rPr>
        <w:tab/>
      </w:r>
      <w:r w:rsidRPr="00BC4992">
        <w:rPr>
          <w:sz w:val="24"/>
          <w:lang w:val="da-DK"/>
        </w:rPr>
        <w:t xml:space="preserve">JO L 433 I de 22.12.2020, p. 11, ELI: </w:t>
      </w:r>
      <w:hyperlink r:id="rId3" w:history="1">
        <w:r w:rsidRPr="00BC4992">
          <w:rPr>
            <w:rStyle w:val="Hyperlink"/>
            <w:sz w:val="24"/>
            <w:lang w:val="da-DK"/>
          </w:rPr>
          <w:t>http://data.europa.eu/eli/reg/2020/2093/oj</w:t>
        </w:r>
      </w:hyperlink>
      <w:r w:rsidRPr="00BC4992">
        <w:rPr>
          <w:sz w:val="24"/>
          <w:lang w:val="da-DK"/>
        </w:rPr>
        <w:t>.</w:t>
      </w:r>
    </w:p>
  </w:footnote>
  <w:footnote w:id="4">
    <w:p w14:paraId="52E9CAEC" w14:textId="77777777" w:rsidR="00BA162A" w:rsidRPr="00BC4992" w:rsidRDefault="00BA162A" w:rsidP="00594559">
      <w:pPr>
        <w:pStyle w:val="FootnoteText"/>
        <w:ind w:left="567" w:hanging="567"/>
        <w:rPr>
          <w:sz w:val="24"/>
          <w:lang w:val="da-DK"/>
        </w:rPr>
      </w:pPr>
      <w:r w:rsidRPr="00594559">
        <w:rPr>
          <w:rStyle w:val="FootnoteReference"/>
          <w:sz w:val="24"/>
          <w:lang w:val="pt-PT"/>
        </w:rPr>
        <w:footnoteRef/>
      </w:r>
      <w:r w:rsidR="00594559" w:rsidRPr="00BC4992">
        <w:rPr>
          <w:sz w:val="24"/>
          <w:lang w:val="da-DK"/>
        </w:rPr>
        <w:t xml:space="preserve"> </w:t>
      </w:r>
      <w:r w:rsidR="00594559" w:rsidRPr="00BC4992">
        <w:rPr>
          <w:sz w:val="24"/>
          <w:lang w:val="da-DK"/>
        </w:rPr>
        <w:tab/>
      </w:r>
      <w:r w:rsidRPr="00BC4992">
        <w:rPr>
          <w:sz w:val="24"/>
          <w:lang w:val="da-DK"/>
        </w:rPr>
        <w:t xml:space="preserve">JO L 433 I de 22.12.2020, p. 28, ELI: </w:t>
      </w:r>
      <w:hyperlink r:id="rId4" w:history="1">
        <w:r w:rsidRPr="00BC4992">
          <w:rPr>
            <w:rStyle w:val="Hyperlink"/>
            <w:sz w:val="24"/>
            <w:lang w:val="da-DK"/>
          </w:rPr>
          <w:t>http://data.europa.eu/eli/agree_interinstit/2020/1222/oj</w:t>
        </w:r>
      </w:hyperlink>
      <w:r w:rsidRPr="00BC4992">
        <w:rPr>
          <w:rStyle w:val="Hyperlink"/>
          <w:sz w:val="24"/>
          <w:lang w:val="da-DK"/>
        </w:rPr>
        <w:t>.</w:t>
      </w:r>
    </w:p>
  </w:footnote>
  <w:footnote w:id="5">
    <w:p w14:paraId="6E1AAA81" w14:textId="77777777" w:rsidR="00BA162A" w:rsidRPr="00594559" w:rsidRDefault="00BA162A" w:rsidP="00594559">
      <w:pPr>
        <w:pStyle w:val="FootnoteText"/>
        <w:ind w:left="567" w:hanging="567"/>
        <w:rPr>
          <w:sz w:val="24"/>
          <w:lang w:val="pt-PT"/>
        </w:rPr>
      </w:pPr>
      <w:r w:rsidRPr="00594559">
        <w:rPr>
          <w:rStyle w:val="FootnoteReference"/>
          <w:sz w:val="24"/>
          <w:lang w:val="pt-PT"/>
        </w:rPr>
        <w:footnoteRef/>
      </w:r>
      <w:r w:rsidR="00594559" w:rsidRPr="00594559">
        <w:rPr>
          <w:sz w:val="24"/>
          <w:lang w:val="pt-PT"/>
        </w:rPr>
        <w:t xml:space="preserve"> </w:t>
      </w:r>
      <w:r w:rsidR="00594559" w:rsidRPr="00594559">
        <w:rPr>
          <w:sz w:val="24"/>
          <w:lang w:val="pt-PT"/>
        </w:rPr>
        <w:tab/>
      </w:r>
      <w:r w:rsidRPr="00594559">
        <w:rPr>
          <w:sz w:val="24"/>
          <w:lang w:val="pt-PT"/>
        </w:rPr>
        <w:t xml:space="preserve">JO L 424 de 15.12.2020, p. 1, ELI: </w:t>
      </w:r>
      <w:hyperlink r:id="rId5" w:history="1">
        <w:r w:rsidRPr="00594559">
          <w:rPr>
            <w:rStyle w:val="Hyperlink"/>
            <w:sz w:val="24"/>
            <w:lang w:val="pt-PT"/>
          </w:rPr>
          <w:t>http://data.europa.eu/eli/dec/2020/2053/oj</w:t>
        </w:r>
      </w:hyperlink>
      <w:r w:rsidRPr="00594559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2CAAB" w14:textId="77777777" w:rsidR="00064002" w:rsidRPr="0059455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43C5E9" w14:textId="77777777" w:rsidR="00064002" w:rsidRPr="0059455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894F9" w14:textId="77777777" w:rsidR="00064002" w:rsidRPr="0059455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6/2025"/>
    <w:docVar w:name="dvlangue" w:val="PT"/>
    <w:docVar w:name="dvnumam" w:val="0"/>
    <w:docVar w:name="dvpe" w:val="773.098"/>
    <w:docVar w:name="dvrapporteur" w:val="Relator: "/>
    <w:docVar w:name="dvtitre" w:val="Resolução do Parlamento Europeu, de ... de ... de 2025,_x000d__x000a_ referente à posição do Conselho sobre o projeto de orçamento retificativo n.º 1/2025 da União Europeia para o exercício de 2025, que inscreve o excedente do exercício de 2024(09619/2025 – C10-0125/2025 – 2025/0091(BUD))"/>
  </w:docVars>
  <w:rsids>
    <w:rsidRoot w:val="00D9429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3B20"/>
    <w:rsid w:val="002767FF"/>
    <w:rsid w:val="002B18FE"/>
    <w:rsid w:val="002B5493"/>
    <w:rsid w:val="00343214"/>
    <w:rsid w:val="00361C00"/>
    <w:rsid w:val="00395FA1"/>
    <w:rsid w:val="003D5310"/>
    <w:rsid w:val="003E15D4"/>
    <w:rsid w:val="00411CCE"/>
    <w:rsid w:val="004143D7"/>
    <w:rsid w:val="0041666E"/>
    <w:rsid w:val="00421060"/>
    <w:rsid w:val="00437423"/>
    <w:rsid w:val="00471C19"/>
    <w:rsid w:val="004867E3"/>
    <w:rsid w:val="00494A28"/>
    <w:rsid w:val="004C0004"/>
    <w:rsid w:val="004C5D52"/>
    <w:rsid w:val="0050519A"/>
    <w:rsid w:val="005072A1"/>
    <w:rsid w:val="00514517"/>
    <w:rsid w:val="00530DC1"/>
    <w:rsid w:val="00545827"/>
    <w:rsid w:val="00560270"/>
    <w:rsid w:val="00594559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00BC"/>
    <w:rsid w:val="00B558F0"/>
    <w:rsid w:val="00BA162A"/>
    <w:rsid w:val="00BC499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429A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3B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A72F5F"/>
  <w15:chartTrackingRefBased/>
  <w15:docId w15:val="{D4696058-CB32-46D3-995C-E85FC50CD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A162A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BA162A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BA162A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BA162A"/>
    <w:rPr>
      <w:sz w:val="24"/>
      <w:lang w:val="pt-PT"/>
    </w:rPr>
  </w:style>
  <w:style w:type="character" w:styleId="CommentReference">
    <w:name w:val="annotation reference"/>
    <w:basedOn w:val="DefaultParagraphFont"/>
    <w:rsid w:val="003D531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D531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D5310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D53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D5310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3D53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D5310"/>
    <w:rPr>
      <w:rFonts w:ascii="Segoe UI" w:hAnsi="Segoe UI" w:cs="Segoe UI"/>
      <w:sz w:val="18"/>
      <w:szCs w:val="18"/>
      <w:lang w:val="pt-PT"/>
    </w:rPr>
  </w:style>
  <w:style w:type="character" w:styleId="FollowedHyperlink">
    <w:name w:val="FollowedHyperlink"/>
    <w:basedOn w:val="DefaultParagraphFont"/>
    <w:rsid w:val="003D53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2093/oj" TargetMode="External"/><Relationship Id="rId2" Type="http://schemas.openxmlformats.org/officeDocument/2006/relationships/hyperlink" Target="http://data.europa.eu/eli/budget/2025/31/oj%20" TargetMode="External"/><Relationship Id="rId1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dec/2020/2053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461D2-4E07-41CC-9F27-03DCD905D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1286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2025-07-09T11:27:00Z</dcterms:created>
  <dcterms:modified xsi:type="dcterms:W3CDTF">2025-07-09T11:27:00Z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A10-0116/2025</vt:lpwstr>
  </property>
  <property fmtid="{D5CDD505-2E9C-101B-9397-08002B2CF9AE}" pid="4" name="&lt;Type&gt;">
    <vt:lpwstr>RR</vt:lpwstr>
  </property>
</Properties>
</file>