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303D" w:rsidTr="0010095E">
        <w:trPr>
          <w:trHeight w:hRule="exact" w:val="1418"/>
        </w:trPr>
        <w:tc>
          <w:tcPr>
            <w:tcW w:w="6804" w:type="dxa"/>
            <w:shd w:val="clear" w:color="auto" w:fill="auto"/>
            <w:vAlign w:val="center"/>
          </w:tcPr>
          <w:p w:rsidR="00751A4A" w:rsidRPr="00FA303D" w:rsidRDefault="002E4B82" w:rsidP="0010095E">
            <w:pPr>
              <w:pStyle w:val="EPName"/>
            </w:pPr>
            <w:r w:rsidRPr="00FA303D">
              <w:t>Parlamentul European</w:t>
            </w:r>
          </w:p>
          <w:p w:rsidR="00751A4A" w:rsidRPr="00FA303D" w:rsidRDefault="005F1B17" w:rsidP="005F1B17">
            <w:pPr>
              <w:pStyle w:val="EPTerm"/>
              <w:rPr>
                <w:rStyle w:val="HideTWBExt"/>
                <w:noProof w:val="0"/>
                <w:vanish w:val="0"/>
                <w:color w:val="auto"/>
              </w:rPr>
            </w:pPr>
            <w:r w:rsidRPr="00FA303D">
              <w:t>2024</w:t>
            </w:r>
            <w:r w:rsidR="00817416" w:rsidRPr="00FA303D">
              <w:t>-202</w:t>
            </w:r>
            <w:r w:rsidRPr="00FA303D">
              <w:t>9</w:t>
            </w:r>
          </w:p>
        </w:tc>
        <w:tc>
          <w:tcPr>
            <w:tcW w:w="2268" w:type="dxa"/>
            <w:shd w:val="clear" w:color="auto" w:fill="auto"/>
          </w:tcPr>
          <w:p w:rsidR="00751A4A" w:rsidRPr="00FA303D" w:rsidRDefault="00187494" w:rsidP="0010095E">
            <w:pPr>
              <w:pStyle w:val="EPLogo"/>
            </w:pPr>
            <w:r w:rsidRPr="00FA30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303D" w:rsidRDefault="00D058B8" w:rsidP="004C5D52">
      <w:pPr>
        <w:pStyle w:val="LineTop"/>
      </w:pPr>
    </w:p>
    <w:p w:rsidR="00680577" w:rsidRPr="00FA303D" w:rsidRDefault="002E4B82" w:rsidP="00680577">
      <w:pPr>
        <w:pStyle w:val="EPBodyTA1"/>
      </w:pPr>
      <w:r w:rsidRPr="00FA303D">
        <w:t>TEXTE ADOPTATE</w:t>
      </w:r>
    </w:p>
    <w:p w:rsidR="00D058B8" w:rsidRPr="00FA303D" w:rsidRDefault="00D058B8" w:rsidP="00D058B8">
      <w:pPr>
        <w:pStyle w:val="LineBottom"/>
      </w:pPr>
    </w:p>
    <w:p w:rsidR="002E4B82" w:rsidRPr="00FA303D" w:rsidRDefault="002E4B82" w:rsidP="002E4B82">
      <w:pPr>
        <w:pStyle w:val="ATHeading1"/>
      </w:pPr>
      <w:bookmarkStart w:id="0" w:name="TANumber"/>
      <w:r w:rsidRPr="00FA303D">
        <w:t>P10_TA(2025)</w:t>
      </w:r>
      <w:bookmarkEnd w:id="0"/>
      <w:r w:rsidR="00820D49">
        <w:t>0151</w:t>
      </w:r>
      <w:bookmarkStart w:id="1" w:name="_GoBack"/>
      <w:bookmarkEnd w:id="1"/>
    </w:p>
    <w:p w:rsidR="002E4B82" w:rsidRPr="00FA303D" w:rsidRDefault="002E4B82" w:rsidP="002E4B82">
      <w:pPr>
        <w:pStyle w:val="ATHeading2"/>
      </w:pPr>
      <w:bookmarkStart w:id="2" w:name="title"/>
      <w:r w:rsidRPr="00FA303D">
        <w:t>Proiectul de buget rectificativ nr. 1/2025: înregistrarea excedentului aferent exercițiului financiar 2024</w:t>
      </w:r>
      <w:bookmarkEnd w:id="2"/>
    </w:p>
    <w:p w:rsidR="002E4B82" w:rsidRPr="00FA303D" w:rsidRDefault="002E4B82" w:rsidP="002E4B82">
      <w:pPr>
        <w:rPr>
          <w:i/>
          <w:vanish/>
        </w:rPr>
      </w:pPr>
      <w:r w:rsidRPr="00FA303D">
        <w:rPr>
          <w:i/>
        </w:rPr>
        <w:fldChar w:fldCharType="begin"/>
      </w:r>
      <w:r w:rsidRPr="00FA303D">
        <w:rPr>
          <w:i/>
        </w:rPr>
        <w:instrText xml:space="preserve"> TC"(</w:instrText>
      </w:r>
      <w:bookmarkStart w:id="3" w:name="DocNumber"/>
      <w:r w:rsidRPr="00FA303D">
        <w:rPr>
          <w:i/>
        </w:rPr>
        <w:instrText>A10-0116/2025</w:instrText>
      </w:r>
      <w:bookmarkEnd w:id="3"/>
      <w:r w:rsidRPr="00FA303D">
        <w:rPr>
          <w:i/>
        </w:rPr>
        <w:instrText xml:space="preserve"> - Raportor: Victor Negrescu)"\l3 \n&gt; \* MERGEFORMAT </w:instrText>
      </w:r>
      <w:r w:rsidRPr="00FA303D">
        <w:rPr>
          <w:i/>
        </w:rPr>
        <w:fldChar w:fldCharType="end"/>
      </w:r>
    </w:p>
    <w:p w:rsidR="002E4B82" w:rsidRPr="00FA303D" w:rsidRDefault="002E4B82" w:rsidP="002E4B82">
      <w:pPr>
        <w:rPr>
          <w:vanish/>
        </w:rPr>
      </w:pPr>
      <w:bookmarkStart w:id="4" w:name="Commission"/>
      <w:r w:rsidRPr="00FA303D">
        <w:rPr>
          <w:vanish/>
        </w:rPr>
        <w:t>Comisia pentru bugete</w:t>
      </w:r>
      <w:bookmarkEnd w:id="4"/>
    </w:p>
    <w:p w:rsidR="002E4B82" w:rsidRPr="00FA303D" w:rsidRDefault="002E4B82" w:rsidP="002E4B82">
      <w:pPr>
        <w:rPr>
          <w:vanish/>
        </w:rPr>
      </w:pPr>
      <w:bookmarkStart w:id="5" w:name="PE"/>
      <w:r w:rsidRPr="00FA303D">
        <w:rPr>
          <w:vanish/>
        </w:rPr>
        <w:t>PE773.098</w:t>
      </w:r>
      <w:bookmarkEnd w:id="5"/>
    </w:p>
    <w:p w:rsidR="002E4B82" w:rsidRPr="00FA303D" w:rsidRDefault="002E4B82" w:rsidP="007265D6">
      <w:pPr>
        <w:pStyle w:val="ATHeading3"/>
      </w:pPr>
      <w:bookmarkStart w:id="6" w:name="Sujet"/>
      <w:r w:rsidRPr="00FA303D">
        <w:t>Rezoluția Parlamentului European din 9 iulie 2025 referitoare la poziția Consiliului privind proiectul de buget rectificativ nr. 1/2025 al Uniunii Europene pentru exercițiul financiar 2025, de înregistrare a excedentului aferent exercițiului financiar 2024</w:t>
      </w:r>
      <w:bookmarkEnd w:id="6"/>
      <w:r w:rsidRPr="00FA303D">
        <w:t xml:space="preserve"> </w:t>
      </w:r>
      <w:bookmarkStart w:id="7" w:name="References"/>
      <w:r w:rsidRPr="00FA303D">
        <w:t>(09619/2025 – C10-0125/2025 – 2025/0091(BUD))</w:t>
      </w:r>
      <w:bookmarkEnd w:id="7"/>
    </w:p>
    <w:p w:rsidR="0001589B" w:rsidRPr="00FA303D" w:rsidRDefault="0001589B" w:rsidP="0001589B">
      <w:pPr>
        <w:pStyle w:val="EPComma"/>
      </w:pPr>
      <w:bookmarkStart w:id="8" w:name="TextBodyBegin"/>
      <w:bookmarkEnd w:id="8"/>
      <w:r w:rsidRPr="00FA303D">
        <w:rPr>
          <w:i/>
        </w:rPr>
        <w:t>Parlamentul European</w:t>
      </w:r>
      <w:r w:rsidRPr="00FA303D">
        <w:t>,</w:t>
      </w:r>
    </w:p>
    <w:p w:rsidR="0001589B" w:rsidRPr="00FA303D" w:rsidRDefault="0001589B" w:rsidP="0001589B">
      <w:pPr>
        <w:pStyle w:val="NormalHanging12a"/>
      </w:pPr>
      <w:r w:rsidRPr="00FA303D">
        <w:t>–</w:t>
      </w:r>
      <w:r w:rsidRPr="00FA303D">
        <w:tab/>
        <w:t>având în vedere articolul 314 din Tratatul privind funcționarea Uniunii Europene,</w:t>
      </w:r>
    </w:p>
    <w:p w:rsidR="0001589B" w:rsidRPr="00FA303D" w:rsidRDefault="0001589B" w:rsidP="0001589B">
      <w:pPr>
        <w:pStyle w:val="NormalHanging12a"/>
      </w:pPr>
      <w:r w:rsidRPr="00FA303D">
        <w:t>–</w:t>
      </w:r>
      <w:r w:rsidRPr="00FA303D">
        <w:tab/>
        <w:t>având în vedere articolul 106a din Tratatul de instituire a Comunității Europene a Energiei Atomice,</w:t>
      </w:r>
    </w:p>
    <w:p w:rsidR="0001589B" w:rsidRPr="00FA303D" w:rsidRDefault="0001589B" w:rsidP="0001589B">
      <w:pPr>
        <w:pStyle w:val="NormalHanging12a"/>
      </w:pPr>
      <w:r w:rsidRPr="00FA303D">
        <w:t>–</w:t>
      </w:r>
      <w:r w:rsidRPr="00FA303D">
        <w:tab/>
        <w:t>având în vedere Regulamentul (UE, Euratom) 2024/2509 al Parlamentului European și al Consiliului din 23 septembrie 2024 privind normele financiare aplicabile bugetului general al Uniunii</w:t>
      </w:r>
      <w:r w:rsidRPr="00FA303D">
        <w:rPr>
          <w:rStyle w:val="FootnoteReference"/>
        </w:rPr>
        <w:footnoteReference w:id="1"/>
      </w:r>
      <w:r w:rsidRPr="00FA303D">
        <w:t>, în special articolul 44,</w:t>
      </w:r>
    </w:p>
    <w:p w:rsidR="0001589B" w:rsidRPr="00FA303D" w:rsidRDefault="0001589B" w:rsidP="0001589B">
      <w:pPr>
        <w:pStyle w:val="NormalHanging12a"/>
      </w:pPr>
      <w:r w:rsidRPr="00FA303D">
        <w:t>–</w:t>
      </w:r>
      <w:r w:rsidRPr="00FA303D">
        <w:tab/>
        <w:t>având în vedere bugetul general al Uniunii Europene pentru exercițiul financiar 2025, adoptat definitiv la 27 noiembrie 2024</w:t>
      </w:r>
      <w:r w:rsidRPr="00FA303D">
        <w:rPr>
          <w:rStyle w:val="FootnoteReference"/>
        </w:rPr>
        <w:footnoteReference w:id="2"/>
      </w:r>
      <w:r w:rsidRPr="00FA303D">
        <w:t>,</w:t>
      </w:r>
    </w:p>
    <w:p w:rsidR="0001589B" w:rsidRPr="00FA303D" w:rsidRDefault="0001589B" w:rsidP="0001589B">
      <w:pPr>
        <w:pStyle w:val="NormalHanging12a"/>
      </w:pPr>
      <w:r w:rsidRPr="00FA303D">
        <w:t>–</w:t>
      </w:r>
      <w:r w:rsidRPr="00FA303D">
        <w:tab/>
        <w:t>având în vedere Regulamentul (UE, Euratom) 2020/2093 al Consiliului din 17 decembrie 2020 de stabilire a cadrului financiar multianual pentru perioada 2021-2027</w:t>
      </w:r>
      <w:r w:rsidRPr="00FA303D">
        <w:rPr>
          <w:rStyle w:val="FootnoteReference"/>
        </w:rPr>
        <w:footnoteReference w:id="3"/>
      </w:r>
      <w:r w:rsidRPr="00FA303D">
        <w:t>,</w:t>
      </w:r>
    </w:p>
    <w:p w:rsidR="0001589B" w:rsidRPr="00FA303D" w:rsidRDefault="0001589B" w:rsidP="0001589B">
      <w:pPr>
        <w:pStyle w:val="NormalHanging12a"/>
      </w:pPr>
      <w:r w:rsidRPr="00FA303D">
        <w:t>–</w:t>
      </w:r>
      <w:r w:rsidRPr="00FA303D">
        <w:tab/>
        <w:t xml:space="preserve">având în vedere Acordul interinstituțional din 16 decembrie 2020 </w:t>
      </w:r>
      <w:r w:rsidR="00015FC6" w:rsidRPr="00FA303D">
        <w:t>di</w:t>
      </w:r>
      <w:r w:rsidRPr="00FA303D">
        <w:t xml:space="preserve">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FA303D">
        <w:lastRenderedPageBreak/>
        <w:t>proprii</w:t>
      </w:r>
      <w:r w:rsidRPr="00FA303D">
        <w:rPr>
          <w:rStyle w:val="FootnoteReference"/>
        </w:rPr>
        <w:footnoteReference w:id="4"/>
      </w:r>
      <w:r w:rsidRPr="00FA303D">
        <w:t xml:space="preserve"> (denumit în continuare „Acordul interinstituțional din 16 decembrie 2020”),</w:t>
      </w:r>
    </w:p>
    <w:p w:rsidR="0001589B" w:rsidRPr="00FA303D" w:rsidRDefault="0001589B" w:rsidP="0001589B">
      <w:pPr>
        <w:pStyle w:val="NormalHanging12a"/>
      </w:pPr>
      <w:r w:rsidRPr="00FA303D">
        <w:t>–</w:t>
      </w:r>
      <w:r w:rsidRPr="00FA303D">
        <w:tab/>
        <w:t>având în vedere Decizia (UE, Euratom) 2020/2053 a Consiliului din 14 decembrie 2020 privind sistemul de resurse proprii ale Uniunii Europene și de abrogare a Deciziei 2014/335/UE, Euratom</w:t>
      </w:r>
      <w:r w:rsidRPr="00FA303D">
        <w:rPr>
          <w:rStyle w:val="FootnoteReference"/>
        </w:rPr>
        <w:footnoteReference w:id="5"/>
      </w:r>
      <w:r w:rsidRPr="00FA303D">
        <w:t>,</w:t>
      </w:r>
    </w:p>
    <w:p w:rsidR="0001589B" w:rsidRPr="00FA303D" w:rsidRDefault="0001589B" w:rsidP="0001589B">
      <w:pPr>
        <w:pStyle w:val="NormalHanging12a"/>
      </w:pPr>
      <w:r w:rsidRPr="00FA303D">
        <w:t>–</w:t>
      </w:r>
      <w:r w:rsidRPr="00FA303D">
        <w:tab/>
        <w:t>având în vedere proiectul de buget rectificativ nr. 1/2025 adoptat de Comisie la 9 aprilie 2025 (COM(2025)0350),</w:t>
      </w:r>
    </w:p>
    <w:p w:rsidR="0001589B" w:rsidRPr="00FA303D" w:rsidRDefault="0001589B" w:rsidP="0001589B">
      <w:pPr>
        <w:pStyle w:val="NormalHanging12a"/>
      </w:pPr>
      <w:r w:rsidRPr="00FA303D">
        <w:t>–</w:t>
      </w:r>
      <w:r w:rsidRPr="00FA303D">
        <w:tab/>
        <w:t>având în vedere poziția privind proiectul de buget rectificativ nr. 1/2025 adoptată de Consiliu la 16 iunie 2025 și transmisă Parlamentului European la 18 iunie 2025 (09619/2025 – C10-0125/2025),</w:t>
      </w:r>
    </w:p>
    <w:p w:rsidR="0001589B" w:rsidRPr="00FA303D" w:rsidRDefault="0001589B" w:rsidP="0001589B">
      <w:pPr>
        <w:pStyle w:val="NormalHanging12a"/>
      </w:pPr>
      <w:r w:rsidRPr="00FA303D">
        <w:t>–</w:t>
      </w:r>
      <w:r w:rsidRPr="00FA303D">
        <w:tab/>
        <w:t>având în vedere articolele 96 și 98 din Regulamentul său de procedură,</w:t>
      </w:r>
    </w:p>
    <w:p w:rsidR="0001589B" w:rsidRPr="00FA303D" w:rsidRDefault="0001589B" w:rsidP="0001589B">
      <w:pPr>
        <w:pStyle w:val="NormalHanging12a"/>
      </w:pPr>
      <w:r w:rsidRPr="00FA303D">
        <w:t>–</w:t>
      </w:r>
      <w:r w:rsidRPr="00FA303D">
        <w:tab/>
        <w:t>având în vedere raportul Comisiei pentru bugete (A10-0116/2025),</w:t>
      </w:r>
    </w:p>
    <w:p w:rsidR="0001589B" w:rsidRPr="00FA303D" w:rsidRDefault="0001589B" w:rsidP="0001589B">
      <w:pPr>
        <w:pStyle w:val="NormalHanging12a"/>
      </w:pPr>
      <w:r w:rsidRPr="00FA303D">
        <w:t>A.</w:t>
      </w:r>
      <w:r w:rsidRPr="00FA303D">
        <w:tab/>
      </w:r>
      <w:r w:rsidRPr="00FA303D">
        <w:rPr>
          <w:color w:val="000000"/>
        </w:rPr>
        <w:t>întrucât proiectul de buget rectificativ nr. 1/2025 este menit să înscrie în bugetul pe 2025 excedentul rezultat din execuția exercițiului financiar 2024, care se ridică la 1 345 de milioane EUR;</w:t>
      </w:r>
    </w:p>
    <w:p w:rsidR="0001589B" w:rsidRPr="00FA303D" w:rsidRDefault="0001589B" w:rsidP="0001589B">
      <w:pPr>
        <w:pStyle w:val="NormalHanging12a"/>
      </w:pPr>
      <w:r w:rsidRPr="00FA303D">
        <w:t>B.</w:t>
      </w:r>
      <w:r w:rsidRPr="00FA303D">
        <w:tab/>
      </w:r>
      <w:r w:rsidRPr="00FA303D">
        <w:rPr>
          <w:color w:val="000000"/>
        </w:rPr>
        <w:t>întrucât principalele elemente ale acestui excedent sunt un sold pozitiv al veniturilor de 1 072 de milioane EUR și o subutilizare a cheltuielilor de 272,5 milioane EUR;</w:t>
      </w:r>
    </w:p>
    <w:p w:rsidR="0001589B" w:rsidRPr="00FA303D" w:rsidRDefault="0001589B" w:rsidP="0001589B">
      <w:pPr>
        <w:pStyle w:val="NormalHanging12a"/>
      </w:pPr>
      <w:r w:rsidRPr="00FA303D">
        <w:t>C.</w:t>
      </w:r>
      <w:r w:rsidRPr="00FA303D">
        <w:tab/>
      </w:r>
      <w:r w:rsidRPr="00FA303D">
        <w:rPr>
          <w:color w:val="000000"/>
        </w:rPr>
        <w:t>întrucât, în ceea ce privește veniturile, factorul determinant al volumului excedentului, care este de 1 211 milioane EUR, l-au reprezentat veniturile financiare, dobânzile de întârziere și amenzile; întrucât execuția resurselor proprii de la titlul 1 rămâne foarte apropiată de sumele înscrise în bugetul pe 2024 (inclusiv bugetele rectificative nr. 1-nr. 5);</w:t>
      </w:r>
    </w:p>
    <w:p w:rsidR="0001589B" w:rsidRPr="00FA303D" w:rsidRDefault="0001589B" w:rsidP="0001589B">
      <w:pPr>
        <w:pStyle w:val="NormalHanging12a"/>
      </w:pPr>
      <w:r w:rsidRPr="00FA303D">
        <w:t>D.</w:t>
      </w:r>
      <w:r w:rsidRPr="00FA303D">
        <w:tab/>
      </w:r>
      <w:r w:rsidRPr="00FA303D">
        <w:rPr>
          <w:color w:val="000000"/>
        </w:rPr>
        <w:t>întrucât, în ceea ce privește cheltuielile, subutilizarea creditor de plată de către toate instituțiile, inclusiv anulările creditelor reportate, a reprezentat 273 de milioane EUR (echivalentul a 0,02 % din creditele de plată autorizate),</w:t>
      </w:r>
    </w:p>
    <w:p w:rsidR="0001589B" w:rsidRPr="00FA303D" w:rsidRDefault="0001589B" w:rsidP="0001589B">
      <w:pPr>
        <w:pStyle w:val="NormalHanging12a"/>
        <w:ind w:hanging="570"/>
      </w:pPr>
      <w:r w:rsidRPr="00FA303D">
        <w:t>1.</w:t>
      </w:r>
      <w:r w:rsidRPr="00FA303D">
        <w:tab/>
      </w:r>
      <w:r w:rsidRPr="00FA303D">
        <w:rPr>
          <w:color w:val="000000"/>
        </w:rPr>
        <w:t>ia act de proiectul de buget rectificativ nr. 1/2025, astfel cum a fost prezentat de Comisie, consacrat înscrierii în buget a excedentului din 2024, cu suma de 1 345 de milioane EUR, în conformitate cu articolul 18 alineatul (3) din Regulamentul financiar;</w:t>
      </w:r>
      <w:sdt>
        <w:sdtPr>
          <w:tag w:val="goog_rdk_0"/>
          <w:id w:val="1937094721"/>
        </w:sdtPr>
        <w:sdtEndPr/>
        <w:sdtContent/>
      </w:sdt>
    </w:p>
    <w:p w:rsidR="0001589B" w:rsidRPr="00FA303D" w:rsidRDefault="0001589B" w:rsidP="0001589B">
      <w:pPr>
        <w:pStyle w:val="NormalHanging12a"/>
        <w:ind w:hanging="570"/>
      </w:pPr>
      <w:r w:rsidRPr="00FA303D">
        <w:t>2.</w:t>
      </w:r>
      <w:r w:rsidRPr="00FA303D">
        <w:tab/>
      </w:r>
      <w:r w:rsidRPr="00FA303D">
        <w:rPr>
          <w:color w:val="000000"/>
        </w:rPr>
        <w:t xml:space="preserve">consideră bine-venit faptul că excedentul din 2024 este determinat în principal de o creștere a variației de la titlul 4 (Venituri financiare, dobânzi de întârziere și amenzi), în timp ce excedentul de cheltuieli rămâne foarte modest, în valoare de 273 de milioane EUR; </w:t>
      </w:r>
    </w:p>
    <w:p w:rsidR="0001589B" w:rsidRPr="00FA303D" w:rsidRDefault="0001589B" w:rsidP="0001589B">
      <w:pPr>
        <w:spacing w:after="240"/>
        <w:ind w:left="567" w:hanging="567"/>
        <w:rPr>
          <w:color w:val="000000"/>
        </w:rPr>
      </w:pPr>
      <w:r w:rsidRPr="00FA303D">
        <w:rPr>
          <w:color w:val="000000"/>
        </w:rPr>
        <w:t>3.</w:t>
      </w:r>
      <w:r w:rsidRPr="00FA303D">
        <w:rPr>
          <w:color w:val="000000"/>
        </w:rPr>
        <w:tab/>
        <w:t xml:space="preserve">regretă că înscrierea în buget a excedentului reduce contribuția totală la resursele proprii bazate pe VNB a statelor membre la finanțarea bugetului 2025 cu o sumă proporțională; subliniază că într-un moment în care nevoile de finanțare rămân ridicate, în special pentru costurile de depășire a EURI, iar marja de manevră din cadrul bugetului Uniunii </w:t>
      </w:r>
      <w:r w:rsidRPr="00FA303D">
        <w:rPr>
          <w:color w:val="000000"/>
        </w:rPr>
        <w:lastRenderedPageBreak/>
        <w:t xml:space="preserve">rămâne foarte redusă, bugetul ar trebui să păstreze suficientă flexibilitate pentru ca Uniunea să poată face să față evenimentelor neprevăzute și noilor priorități emergente; subliniază că flexibilitatea bugetului Uniunii este unul dintre aspectele-cheie care trebuie tratate în negocierile pentru cadrul financiar multianual de după 2027; </w:t>
      </w:r>
    </w:p>
    <w:p w:rsidR="0001589B" w:rsidRPr="00FA303D" w:rsidRDefault="0001589B" w:rsidP="0001589B">
      <w:pPr>
        <w:spacing w:after="240"/>
        <w:ind w:left="567" w:hanging="567"/>
        <w:rPr>
          <w:color w:val="000000"/>
        </w:rPr>
      </w:pPr>
      <w:r w:rsidRPr="00FA303D">
        <w:rPr>
          <w:color w:val="000000"/>
        </w:rPr>
        <w:t>4.</w:t>
      </w:r>
      <w:r w:rsidRPr="00FA303D">
        <w:rPr>
          <w:color w:val="000000"/>
        </w:rPr>
        <w:tab/>
      </w:r>
      <w:r w:rsidRPr="00FA303D">
        <w:t>invită, de asemenea, Comisia să conceapă o arhitectură temeinică și durabilă pentru următorul cadru financiar multianual, care să permită gestionarea sustenabilă a tuturor costurilor și datoriilor nediscreționare, păstrând în totalitate programele Uniunii și flexibilitatea și capacitatea de răspuns a bugetului, mai cu seamă în caz de catastrofe naturale și de urgențe sanitare, cu scopul de a pune în aplicare pe deplin strategia de pregătire a Uniunii;</w:t>
      </w:r>
      <w:r w:rsidRPr="00FA303D">
        <w:rPr>
          <w:color w:val="000000"/>
        </w:rPr>
        <w:t xml:space="preserve"> </w:t>
      </w:r>
    </w:p>
    <w:p w:rsidR="0001589B" w:rsidRPr="00FA303D" w:rsidRDefault="0001589B" w:rsidP="0001589B">
      <w:pPr>
        <w:pStyle w:val="NormalHanging12a"/>
      </w:pPr>
      <w:r w:rsidRPr="00FA303D">
        <w:t>5.</w:t>
      </w:r>
      <w:r w:rsidRPr="00FA303D">
        <w:tab/>
      </w:r>
      <w:r w:rsidRPr="00FA303D">
        <w:rPr>
          <w:color w:val="000000"/>
        </w:rPr>
        <w:t>reamintește poziția sa de mult adoptată potrivit căreia veniturile excepționale obținute din amenzi și taxe sau sume echivalente ar trebui considerate venituri suplimentare la bugetul Uniunii, menite să contribuie la răspunsul la crize sau la satisfacerea unor nevoi neprevăzute, și nu ar trebui să determine scăderea echivalentă a contribuțiilor bazate pe VNB;</w:t>
      </w:r>
    </w:p>
    <w:p w:rsidR="0001589B" w:rsidRPr="00FA303D" w:rsidRDefault="0001589B" w:rsidP="0001589B">
      <w:pPr>
        <w:pStyle w:val="NormalHanging12a"/>
        <w:ind w:hanging="570"/>
      </w:pPr>
      <w:r w:rsidRPr="00FA303D">
        <w:t>6.</w:t>
      </w:r>
      <w:r w:rsidRPr="00FA303D">
        <w:tab/>
        <w:t xml:space="preserve">ia cunoștință de postul cu venituri negative de la noul articol 425, care totalizează 534 de milioane EUR, și consideră oportună această metodă prin care se integrează în buget costurile ce decurg din plățile efectuate în cadrul acordurilor de plată care generează dobânzi compensatorii și compensații pentru dobânzile penalizatoare aferente rambursării amenzilor în materie de concurență anulate sau reduse, în conformitate cu hotărârile pertinente ale Curții de Justiție; reamintește că, atunci când a negociat reformarea Regulamentului financiar, Parlamentul a insistat să se aplice această abordare, deoarece, altfel, ar fi trebuit să se adauge credite pentru cheltuieli suplimentare la rubrica 7, care era deja suprasolicitată; reamintește că această soluție se încheie la 31 decembrie 2027; invită Comisia să propună o soluție definitivă pentru următorul </w:t>
      </w:r>
      <w:r w:rsidR="006D3E2E" w:rsidRPr="00FA303D">
        <w:t>cadru financiar multianual</w:t>
      </w:r>
      <w:r w:rsidRPr="00FA303D">
        <w:t>, care să realizeze același obiectiv de a evita orice impact asupra părții de cheltuieli a bugetului;</w:t>
      </w:r>
    </w:p>
    <w:p w:rsidR="0001589B" w:rsidRPr="00FA303D" w:rsidRDefault="0001589B" w:rsidP="0001589B">
      <w:pPr>
        <w:pStyle w:val="NormalHanging12a"/>
        <w:ind w:hanging="570"/>
        <w:rPr>
          <w:color w:val="000000"/>
        </w:rPr>
      </w:pPr>
      <w:r w:rsidRPr="00FA303D">
        <w:t>7.</w:t>
      </w:r>
      <w:r w:rsidRPr="00FA303D">
        <w:tab/>
      </w:r>
      <w:r w:rsidRPr="00FA303D">
        <w:rPr>
          <w:color w:val="000000"/>
        </w:rPr>
        <w:t xml:space="preserve">subliniază că veniturile la bugetul Uniunii trebuie să fie sustenabile; </w:t>
      </w:r>
      <w:r w:rsidRPr="00FA303D">
        <w:t>regretă deci că nu s-a avansat deloc în Consiliu în privința reformei sistemului de resurse proprii, în conformitate spiritul foii de parcurs cu caracter juridic obligatoriu din Acordul interinstituțional din 16 decembrie 2020;</w:t>
      </w:r>
      <w:r w:rsidRPr="00FA303D">
        <w:rPr>
          <w:color w:val="1E1E1F"/>
        </w:rPr>
        <w:t xml:space="preserve"> </w:t>
      </w:r>
      <w:r w:rsidRPr="00FA303D">
        <w:t>reamintește poziția sa de susținere a propunerilor modificate ale Comisiei și invită insistent Consiliul să adopte urgent aceste propuneri pentru a diversifica și consolida resursele proprii de care dispune bugetul Uniunii;</w:t>
      </w:r>
    </w:p>
    <w:p w:rsidR="0001589B" w:rsidRPr="00FA303D" w:rsidRDefault="0001589B" w:rsidP="0001589B">
      <w:pPr>
        <w:pStyle w:val="NormalHanging12a"/>
        <w:ind w:hanging="570"/>
        <w:rPr>
          <w:color w:val="000000"/>
        </w:rPr>
      </w:pPr>
      <w:r w:rsidRPr="00FA303D">
        <w:t>8.</w:t>
      </w:r>
      <w:r w:rsidRPr="00FA303D">
        <w:tab/>
        <w:t xml:space="preserve">invită, de asemenea, Comisia să își continue eforturile de a identifica noi resurse proprii inovatoare și autentice și alte surse de venituri, pe lângă cele menționate în Acordul interinstituțional din 16 decembrie 2020; subliniază că noi resurse proprii sunt esențiale nu doar pentru a permite rambursarea împrumuturilor contractate pentru </w:t>
      </w:r>
      <w:proofErr w:type="spellStart"/>
      <w:r w:rsidR="006D3E2E" w:rsidRPr="00FA303D">
        <w:t>NextGenerationEU</w:t>
      </w:r>
      <w:proofErr w:type="spellEnd"/>
      <w:r w:rsidRPr="00FA303D">
        <w:t xml:space="preserve">, ci și pentru a dota Uniunea cu mijloacele necesare pentru a-și acoperi necesarul mai mare de cheltuieli, mai ales în contextul numeroaselor dificultăți întâmpinate în prezent de Uniune, inclusiv în noul context geopolitic; consideră că toate noile politici ale Uniunii și dificultățile pe care le întâmpină trebuie să atragă noi mijloace financiare și </w:t>
      </w:r>
      <w:r w:rsidR="00D825F8" w:rsidRPr="00FA303D">
        <w:t xml:space="preserve">noi </w:t>
      </w:r>
      <w:r w:rsidRPr="00FA303D">
        <w:t>resurse suplimentare;</w:t>
      </w:r>
    </w:p>
    <w:p w:rsidR="0001589B" w:rsidRPr="00FA303D" w:rsidRDefault="0001589B" w:rsidP="0001589B">
      <w:pPr>
        <w:pStyle w:val="NormalHanging12a"/>
        <w:ind w:hanging="570"/>
      </w:pPr>
      <w:r w:rsidRPr="00FA303D">
        <w:t>9.</w:t>
      </w:r>
      <w:r w:rsidRPr="00FA303D">
        <w:tab/>
      </w:r>
      <w:r w:rsidRPr="00FA303D">
        <w:rPr>
          <w:color w:val="000000"/>
        </w:rPr>
        <w:t>aprobă poziția Consiliului privind proiectul de buget rectificativ nr. 1/2025</w:t>
      </w:r>
      <w:r w:rsidRPr="00FA303D">
        <w:t>;</w:t>
      </w:r>
    </w:p>
    <w:p w:rsidR="0001589B" w:rsidRPr="00FA303D" w:rsidRDefault="0001589B" w:rsidP="0001589B">
      <w:pPr>
        <w:pStyle w:val="NormalHanging12a"/>
        <w:ind w:hanging="570"/>
      </w:pPr>
      <w:r w:rsidRPr="00FA303D">
        <w:lastRenderedPageBreak/>
        <w:t>10.</w:t>
      </w:r>
      <w:r w:rsidRPr="00FA303D">
        <w:tab/>
        <w:t xml:space="preserve">încredințează Președintei sarcina de a constata adoptarea definitivă a bugetului rectificativ nr. 1/2025 și de a asigura publicarea acestuia în </w:t>
      </w:r>
      <w:r w:rsidRPr="00FA303D">
        <w:rPr>
          <w:i/>
        </w:rPr>
        <w:t>Jurnalul Oficial al Uniunii Europene</w:t>
      </w:r>
      <w:r w:rsidRPr="00FA303D">
        <w:t>;</w:t>
      </w:r>
    </w:p>
    <w:p w:rsidR="00217A2B" w:rsidRPr="00FA303D" w:rsidRDefault="0001589B" w:rsidP="00217A2B">
      <w:pPr>
        <w:pStyle w:val="NormalHanging12a"/>
        <w:ind w:hanging="570"/>
      </w:pPr>
      <w:r w:rsidRPr="00FA303D">
        <w:t>11.</w:t>
      </w:r>
      <w:r w:rsidRPr="00FA303D">
        <w:tab/>
        <w:t>încredințează Președintei sarcina de a transmite prezenta rezoluție Consiliului și Comisiei, precum și celorlalte instituții și organelor interesate și parlamentelor naționale.</w:t>
      </w:r>
    </w:p>
    <w:p w:rsidR="00E365E1" w:rsidRPr="00FA303D" w:rsidRDefault="00E365E1" w:rsidP="002E4B82"/>
    <w:sectPr w:rsidR="00E365E1" w:rsidRPr="00FA303D" w:rsidSect="00217A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B82" w:rsidRPr="00217A2B" w:rsidRDefault="002E4B82">
      <w:r w:rsidRPr="00217A2B">
        <w:separator/>
      </w:r>
    </w:p>
  </w:endnote>
  <w:endnote w:type="continuationSeparator" w:id="0">
    <w:p w:rsidR="002E4B82" w:rsidRPr="00217A2B" w:rsidRDefault="002E4B82">
      <w:r w:rsidRPr="00217A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B82" w:rsidRPr="00217A2B" w:rsidRDefault="002E4B82">
      <w:r w:rsidRPr="00217A2B">
        <w:separator/>
      </w:r>
    </w:p>
  </w:footnote>
  <w:footnote w:type="continuationSeparator" w:id="0">
    <w:p w:rsidR="002E4B82" w:rsidRPr="00217A2B" w:rsidRDefault="002E4B82">
      <w:r w:rsidRPr="00217A2B">
        <w:continuationSeparator/>
      </w:r>
    </w:p>
  </w:footnote>
  <w:footnote w:id="1">
    <w:p w:rsidR="0001589B" w:rsidRPr="00217A2B" w:rsidRDefault="0001589B" w:rsidP="00217A2B">
      <w:pPr>
        <w:pStyle w:val="FootnoteText"/>
        <w:ind w:left="567" w:hanging="567"/>
        <w:rPr>
          <w:sz w:val="24"/>
          <w:lang w:val="ro-RO"/>
        </w:rPr>
      </w:pPr>
      <w:r w:rsidRPr="00217A2B">
        <w:rPr>
          <w:rStyle w:val="FootnoteReference"/>
          <w:sz w:val="24"/>
          <w:lang w:val="ro-RO"/>
        </w:rPr>
        <w:footnoteRef/>
      </w:r>
      <w:r w:rsidR="00217A2B" w:rsidRPr="00217A2B">
        <w:rPr>
          <w:sz w:val="24"/>
          <w:lang w:val="ro-RO"/>
        </w:rPr>
        <w:t xml:space="preserve"> </w:t>
      </w:r>
      <w:r w:rsidR="00217A2B" w:rsidRPr="00217A2B">
        <w:rPr>
          <w:sz w:val="24"/>
          <w:lang w:val="ro-RO"/>
        </w:rPr>
        <w:tab/>
      </w:r>
      <w:r w:rsidRPr="00217A2B">
        <w:rPr>
          <w:sz w:val="24"/>
          <w:lang w:val="ro-RO"/>
        </w:rPr>
        <w:t xml:space="preserve">JO L, 2024/2509, 26.9.2024, </w:t>
      </w:r>
      <w:hyperlink r:id="rId1" w:history="1">
        <w:r w:rsidRPr="00217A2B">
          <w:rPr>
            <w:rStyle w:val="Hyperlink"/>
            <w:sz w:val="24"/>
            <w:lang w:val="ro-RO"/>
          </w:rPr>
          <w:t>http://data.europa.eu/eli/reg/2024/2509/oj</w:t>
        </w:r>
      </w:hyperlink>
      <w:r w:rsidRPr="00217A2B">
        <w:rPr>
          <w:sz w:val="24"/>
          <w:lang w:val="ro-RO"/>
        </w:rPr>
        <w:t>.</w:t>
      </w:r>
    </w:p>
  </w:footnote>
  <w:footnote w:id="2">
    <w:p w:rsidR="0001589B" w:rsidRPr="00217A2B" w:rsidRDefault="0001589B" w:rsidP="00217A2B">
      <w:pPr>
        <w:pStyle w:val="FootnoteText"/>
        <w:ind w:left="567" w:hanging="567"/>
        <w:rPr>
          <w:sz w:val="24"/>
          <w:lang w:val="ro-RO"/>
        </w:rPr>
      </w:pPr>
      <w:r w:rsidRPr="00217A2B">
        <w:rPr>
          <w:rStyle w:val="FootnoteReference"/>
          <w:sz w:val="24"/>
          <w:lang w:val="ro-RO"/>
        </w:rPr>
        <w:footnoteRef/>
      </w:r>
      <w:r w:rsidR="00217A2B" w:rsidRPr="00217A2B">
        <w:rPr>
          <w:sz w:val="24"/>
          <w:lang w:val="ro-RO"/>
        </w:rPr>
        <w:t xml:space="preserve"> </w:t>
      </w:r>
      <w:r w:rsidR="00217A2B" w:rsidRPr="00217A2B">
        <w:rPr>
          <w:sz w:val="24"/>
          <w:lang w:val="ro-RO"/>
        </w:rPr>
        <w:tab/>
      </w:r>
      <w:r w:rsidRPr="00217A2B">
        <w:rPr>
          <w:sz w:val="24"/>
          <w:lang w:val="ro-RO"/>
        </w:rPr>
        <w:t>JO L, 2025/31, 27.2.2025</w:t>
      </w:r>
      <w:r w:rsidRPr="00217A2B">
        <w:rPr>
          <w:i/>
          <w:sz w:val="24"/>
          <w:lang w:val="ro-RO"/>
        </w:rPr>
        <w:t>,</w:t>
      </w:r>
      <w:r w:rsidRPr="00217A2B">
        <w:rPr>
          <w:sz w:val="24"/>
          <w:lang w:val="ro-RO"/>
        </w:rPr>
        <w:t xml:space="preserve"> </w:t>
      </w:r>
      <w:hyperlink r:id="rId2" w:history="1">
        <w:r w:rsidRPr="00217A2B">
          <w:rPr>
            <w:rStyle w:val="Hyperlink"/>
            <w:sz w:val="24"/>
            <w:lang w:val="ro-RO"/>
          </w:rPr>
          <w:t>http://data.europa.eu/eli/budget/2025/31/oj</w:t>
        </w:r>
      </w:hyperlink>
      <w:r w:rsidRPr="00217A2B">
        <w:rPr>
          <w:rStyle w:val="Hyperlink"/>
          <w:sz w:val="24"/>
          <w:lang w:val="ro-RO"/>
        </w:rPr>
        <w:t>.</w:t>
      </w:r>
    </w:p>
  </w:footnote>
  <w:footnote w:id="3">
    <w:p w:rsidR="0001589B" w:rsidRPr="00217A2B" w:rsidRDefault="0001589B" w:rsidP="00217A2B">
      <w:pPr>
        <w:pStyle w:val="FootnoteText"/>
        <w:ind w:left="567" w:hanging="567"/>
        <w:rPr>
          <w:sz w:val="24"/>
          <w:lang w:val="ro-RO"/>
        </w:rPr>
      </w:pPr>
      <w:r w:rsidRPr="00217A2B">
        <w:rPr>
          <w:rStyle w:val="FootnoteReference"/>
          <w:sz w:val="24"/>
          <w:lang w:val="ro-RO"/>
        </w:rPr>
        <w:footnoteRef/>
      </w:r>
      <w:r w:rsidR="00217A2B" w:rsidRPr="00217A2B">
        <w:rPr>
          <w:sz w:val="24"/>
          <w:lang w:val="ro-RO"/>
        </w:rPr>
        <w:t xml:space="preserve"> </w:t>
      </w:r>
      <w:r w:rsidR="00217A2B" w:rsidRPr="00217A2B">
        <w:rPr>
          <w:sz w:val="24"/>
          <w:lang w:val="ro-RO"/>
        </w:rPr>
        <w:tab/>
      </w:r>
      <w:r w:rsidRPr="00217A2B">
        <w:rPr>
          <w:sz w:val="24"/>
          <w:lang w:val="ro-RO"/>
        </w:rPr>
        <w:t xml:space="preserve">JO L 433 I, 22.12.2020, p. 11, </w:t>
      </w:r>
      <w:proofErr w:type="spellStart"/>
      <w:r w:rsidRPr="00217A2B">
        <w:rPr>
          <w:sz w:val="24"/>
          <w:lang w:val="ro-RO"/>
        </w:rPr>
        <w:t>ELI</w:t>
      </w:r>
      <w:proofErr w:type="spellEnd"/>
      <w:r w:rsidRPr="00217A2B">
        <w:rPr>
          <w:sz w:val="24"/>
          <w:lang w:val="ro-RO"/>
        </w:rPr>
        <w:t xml:space="preserve">: </w:t>
      </w:r>
      <w:hyperlink r:id="rId3" w:history="1">
        <w:r w:rsidRPr="00217A2B">
          <w:rPr>
            <w:rStyle w:val="Hyperlink"/>
            <w:sz w:val="24"/>
            <w:lang w:val="ro-RO"/>
          </w:rPr>
          <w:t>http://data.europa.eu/eli/reg/2020/2093/oj</w:t>
        </w:r>
      </w:hyperlink>
      <w:r w:rsidRPr="00217A2B">
        <w:rPr>
          <w:sz w:val="24"/>
          <w:lang w:val="ro-RO"/>
        </w:rPr>
        <w:t>.</w:t>
      </w:r>
    </w:p>
  </w:footnote>
  <w:footnote w:id="4">
    <w:p w:rsidR="0001589B" w:rsidRPr="00217A2B" w:rsidRDefault="0001589B" w:rsidP="00217A2B">
      <w:pPr>
        <w:pStyle w:val="FootnoteText"/>
        <w:ind w:left="567" w:hanging="567"/>
        <w:rPr>
          <w:sz w:val="24"/>
          <w:lang w:val="ro-RO"/>
        </w:rPr>
      </w:pPr>
      <w:r w:rsidRPr="00217A2B">
        <w:rPr>
          <w:rStyle w:val="FootnoteReference"/>
          <w:sz w:val="24"/>
          <w:lang w:val="ro-RO"/>
        </w:rPr>
        <w:footnoteRef/>
      </w:r>
      <w:r w:rsidR="00217A2B" w:rsidRPr="00217A2B">
        <w:rPr>
          <w:sz w:val="24"/>
          <w:lang w:val="ro-RO"/>
        </w:rPr>
        <w:t xml:space="preserve"> </w:t>
      </w:r>
      <w:r w:rsidR="00217A2B" w:rsidRPr="00217A2B">
        <w:rPr>
          <w:sz w:val="24"/>
          <w:lang w:val="ro-RO"/>
        </w:rPr>
        <w:tab/>
      </w:r>
      <w:r w:rsidRPr="00217A2B">
        <w:rPr>
          <w:sz w:val="24"/>
          <w:lang w:val="ro-RO"/>
        </w:rPr>
        <w:t xml:space="preserve">JO L 433 I, 22.12.2020, p. 28, </w:t>
      </w:r>
      <w:proofErr w:type="spellStart"/>
      <w:r w:rsidRPr="00217A2B">
        <w:rPr>
          <w:sz w:val="24"/>
          <w:lang w:val="ro-RO"/>
        </w:rPr>
        <w:t>ELI</w:t>
      </w:r>
      <w:proofErr w:type="spellEnd"/>
      <w:r w:rsidRPr="00217A2B">
        <w:rPr>
          <w:sz w:val="24"/>
          <w:lang w:val="ro-RO"/>
        </w:rPr>
        <w:t xml:space="preserve">: </w:t>
      </w:r>
      <w:hyperlink r:id="rId4" w:history="1">
        <w:r w:rsidRPr="00217A2B">
          <w:rPr>
            <w:rStyle w:val="Hyperlink"/>
            <w:sz w:val="24"/>
            <w:lang w:val="ro-RO"/>
          </w:rPr>
          <w:t>http://data.europa.eu/eli/agree_interinstit/2020/1222/oj</w:t>
        </w:r>
      </w:hyperlink>
      <w:r w:rsidRPr="00217A2B">
        <w:rPr>
          <w:rStyle w:val="Hyperlink"/>
          <w:sz w:val="24"/>
          <w:lang w:val="ro-RO"/>
        </w:rPr>
        <w:t>.</w:t>
      </w:r>
    </w:p>
  </w:footnote>
  <w:footnote w:id="5">
    <w:p w:rsidR="0001589B" w:rsidRPr="00217A2B" w:rsidRDefault="0001589B" w:rsidP="00217A2B">
      <w:pPr>
        <w:pStyle w:val="FootnoteText"/>
        <w:ind w:left="567" w:hanging="567"/>
        <w:rPr>
          <w:sz w:val="24"/>
          <w:lang w:val="ro-RO"/>
        </w:rPr>
      </w:pPr>
      <w:r w:rsidRPr="00217A2B">
        <w:rPr>
          <w:rStyle w:val="FootnoteReference"/>
          <w:sz w:val="24"/>
          <w:lang w:val="ro-RO"/>
        </w:rPr>
        <w:footnoteRef/>
      </w:r>
      <w:r w:rsidR="00217A2B" w:rsidRPr="00217A2B">
        <w:rPr>
          <w:sz w:val="24"/>
          <w:lang w:val="ro-RO"/>
        </w:rPr>
        <w:t xml:space="preserve"> </w:t>
      </w:r>
      <w:r w:rsidR="00217A2B" w:rsidRPr="00217A2B">
        <w:rPr>
          <w:sz w:val="24"/>
          <w:lang w:val="ro-RO"/>
        </w:rPr>
        <w:tab/>
      </w:r>
      <w:r w:rsidRPr="00217A2B">
        <w:rPr>
          <w:sz w:val="24"/>
          <w:lang w:val="ro-RO"/>
        </w:rPr>
        <w:t xml:space="preserve">JO L 424, 15.12.2020, p. 1, </w:t>
      </w:r>
      <w:proofErr w:type="spellStart"/>
      <w:r w:rsidRPr="00217A2B">
        <w:rPr>
          <w:sz w:val="24"/>
          <w:lang w:val="ro-RO"/>
        </w:rPr>
        <w:t>ELI</w:t>
      </w:r>
      <w:proofErr w:type="spellEnd"/>
      <w:r w:rsidRPr="00217A2B">
        <w:rPr>
          <w:sz w:val="24"/>
          <w:lang w:val="ro-RO"/>
        </w:rPr>
        <w:t xml:space="preserve">: </w:t>
      </w:r>
      <w:hyperlink r:id="rId5" w:history="1">
        <w:r w:rsidRPr="00217A2B">
          <w:rPr>
            <w:rStyle w:val="Hyperlink"/>
            <w:sz w:val="24"/>
            <w:lang w:val="ro-RO"/>
          </w:rPr>
          <w:t>http://data.europa.eu/eli/dec/2020/2053/oj</w:t>
        </w:r>
      </w:hyperlink>
      <w:r w:rsidRPr="00217A2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7A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RO"/>
    <w:docVar w:name="dvnumam" w:val="0"/>
    <w:docVar w:name="dvpe" w:val="773.098"/>
    <w:docVar w:name="dvrapporteur" w:val="Raportor: "/>
    <w:docVar w:name="dvtitre" w:val="Rezoluția legislativă a Parlamentului European din 9 iulie 2025 referitoare la poziția Consiliului privind proiectul de buget rectificativ nr. 1/2025 al Uniunii Europene pentru exercițiul financiar 2025, de înregistrare a excedentului aferent exercițiului financiar 2024(09619/2025 – C10-0125/2025 – 2025/0091(BUD))"/>
  </w:docVars>
  <w:rsids>
    <w:rsidRoot w:val="002E4B82"/>
    <w:rsid w:val="00002272"/>
    <w:rsid w:val="0001589B"/>
    <w:rsid w:val="00015FC6"/>
    <w:rsid w:val="00064002"/>
    <w:rsid w:val="000677B9"/>
    <w:rsid w:val="000831BA"/>
    <w:rsid w:val="000A42CC"/>
    <w:rsid w:val="000E7DD9"/>
    <w:rsid w:val="0010095E"/>
    <w:rsid w:val="00125B37"/>
    <w:rsid w:val="00187494"/>
    <w:rsid w:val="001F32AE"/>
    <w:rsid w:val="00217A2B"/>
    <w:rsid w:val="002767FF"/>
    <w:rsid w:val="002B18FE"/>
    <w:rsid w:val="002B5493"/>
    <w:rsid w:val="002E4B8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E2E"/>
    <w:rsid w:val="006F74FA"/>
    <w:rsid w:val="007265D6"/>
    <w:rsid w:val="00731ADD"/>
    <w:rsid w:val="00734777"/>
    <w:rsid w:val="00747932"/>
    <w:rsid w:val="00751A4A"/>
    <w:rsid w:val="00756632"/>
    <w:rsid w:val="00762C74"/>
    <w:rsid w:val="00786EC0"/>
    <w:rsid w:val="007D1690"/>
    <w:rsid w:val="007E22AD"/>
    <w:rsid w:val="00817416"/>
    <w:rsid w:val="00820D4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5F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03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695F5"/>
  <w15:chartTrackingRefBased/>
  <w15:docId w15:val="{7418F79D-C677-40DF-A96F-918782ED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58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589B"/>
    <w:pPr>
      <w:spacing w:before="480" w:after="240"/>
    </w:pPr>
  </w:style>
  <w:style w:type="paragraph" w:customStyle="1" w:styleId="NormalHanging12a">
    <w:name w:val="NormalHanging12a"/>
    <w:basedOn w:val="Normal"/>
    <w:link w:val="NormalHanging12aChar"/>
    <w:rsid w:val="0001589B"/>
    <w:pPr>
      <w:spacing w:after="240"/>
      <w:ind w:left="567" w:hanging="567"/>
    </w:pPr>
  </w:style>
  <w:style w:type="paragraph" w:styleId="Header">
    <w:name w:val="header"/>
    <w:basedOn w:val="Normal"/>
    <w:link w:val="HeaderChar"/>
    <w:rsid w:val="0001589B"/>
    <w:pPr>
      <w:tabs>
        <w:tab w:val="center" w:pos="4513"/>
        <w:tab w:val="right" w:pos="9026"/>
      </w:tabs>
    </w:pPr>
  </w:style>
  <w:style w:type="character" w:customStyle="1" w:styleId="HeaderChar">
    <w:name w:val="Header Char"/>
    <w:basedOn w:val="DefaultParagraphFont"/>
    <w:link w:val="Header"/>
    <w:rsid w:val="0001589B"/>
    <w:rPr>
      <w:sz w:val="24"/>
      <w:lang w:val="ro-RO"/>
    </w:rPr>
  </w:style>
  <w:style w:type="paragraph" w:customStyle="1" w:styleId="EPFooter">
    <w:name w:val="EPFooter"/>
    <w:basedOn w:val="Normal"/>
    <w:rsid w:val="0001589B"/>
    <w:pPr>
      <w:tabs>
        <w:tab w:val="center" w:pos="4535"/>
        <w:tab w:val="right" w:pos="9071"/>
      </w:tabs>
      <w:spacing w:before="240" w:after="240"/>
    </w:pPr>
    <w:rPr>
      <w:color w:val="010000"/>
      <w:sz w:val="22"/>
    </w:rPr>
  </w:style>
  <w:style w:type="character" w:styleId="Hyperlink">
    <w:name w:val="Hyperlink"/>
    <w:basedOn w:val="DefaultParagraphFont"/>
    <w:uiPriority w:val="99"/>
    <w:rsid w:val="0001589B"/>
    <w:rPr>
      <w:color w:val="0563C1" w:themeColor="hyperlink"/>
      <w:u w:val="single"/>
    </w:rPr>
  </w:style>
  <w:style w:type="character" w:customStyle="1" w:styleId="NormalHanging12aChar">
    <w:name w:val="NormalHanging12a Char"/>
    <w:basedOn w:val="DefaultParagraphFont"/>
    <w:link w:val="NormalHanging12a"/>
    <w:locked/>
    <w:rsid w:val="0001589B"/>
    <w:rPr>
      <w:sz w:val="24"/>
      <w:lang w:val="ro-RO"/>
    </w:rPr>
  </w:style>
  <w:style w:type="paragraph" w:styleId="BalloonText">
    <w:name w:val="Balloon Text"/>
    <w:basedOn w:val="Normal"/>
    <w:link w:val="BalloonTextChar"/>
    <w:rsid w:val="006D3E2E"/>
    <w:rPr>
      <w:rFonts w:ascii="Segoe UI" w:hAnsi="Segoe UI" w:cs="Segoe UI"/>
      <w:sz w:val="18"/>
      <w:szCs w:val="18"/>
    </w:rPr>
  </w:style>
  <w:style w:type="character" w:customStyle="1" w:styleId="BalloonTextChar">
    <w:name w:val="Balloon Text Char"/>
    <w:basedOn w:val="DefaultParagraphFont"/>
    <w:link w:val="BalloonText"/>
    <w:rsid w:val="006D3E2E"/>
    <w:rPr>
      <w:rFonts w:ascii="Segoe UI" w:hAnsi="Segoe UI" w:cs="Segoe UI"/>
      <w:sz w:val="18"/>
      <w:szCs w:val="18"/>
      <w:lang w:val="ro-RO"/>
    </w:rPr>
  </w:style>
  <w:style w:type="character" w:styleId="FollowedHyperlink">
    <w:name w:val="FollowedHyperlink"/>
    <w:basedOn w:val="DefaultParagraphFont"/>
    <w:rsid w:val="00D825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037DD-BE3D-4B49-93FF-6EC4EA5FF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2025-07-09T11:17:00Z</dcterms:created>
  <dcterms:modified xsi:type="dcterms:W3CDTF">2025-07-09T11:17:00Z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P10_TA(2025)0152_</vt:lpwstr>
  </property>
  <property fmtid="{D5CDD505-2E9C-101B-9397-08002B2CF9AE}" pid="4" name="&lt;Type&gt;">
    <vt:lpwstr>RR</vt:lpwstr>
  </property>
</Properties>
</file>