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7AD9" w14:paraId="01B586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3DABA7" w14:textId="77777777" w:rsidR="00751A4A" w:rsidRPr="007A7AD9" w:rsidRDefault="00851585" w:rsidP="0010095E">
            <w:pPr>
              <w:pStyle w:val="EPName"/>
            </w:pPr>
            <w:r w:rsidRPr="007A7AD9">
              <w:t>Európsky parlament</w:t>
            </w:r>
          </w:p>
          <w:p w14:paraId="55EEDB2A" w14:textId="77777777" w:rsidR="00751A4A" w:rsidRPr="007A7A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7AD9">
              <w:t>2024</w:t>
            </w:r>
            <w:r w:rsidR="00817416" w:rsidRPr="007A7AD9">
              <w:t>-202</w:t>
            </w:r>
            <w:r w:rsidRPr="007A7AD9">
              <w:t>9</w:t>
            </w:r>
          </w:p>
        </w:tc>
        <w:tc>
          <w:tcPr>
            <w:tcW w:w="2268" w:type="dxa"/>
            <w:shd w:val="clear" w:color="auto" w:fill="auto"/>
          </w:tcPr>
          <w:p w14:paraId="475ACE9F" w14:textId="77777777" w:rsidR="00751A4A" w:rsidRPr="007A7AD9" w:rsidRDefault="00187494" w:rsidP="0010095E">
            <w:pPr>
              <w:pStyle w:val="EPLogo"/>
            </w:pPr>
            <w:r w:rsidRPr="007A7AD9">
              <w:rPr>
                <w:noProof/>
                <w:lang w:eastAsia="ja-JP"/>
              </w:rPr>
              <w:drawing>
                <wp:inline distT="0" distB="0" distL="0" distR="0" wp14:anchorId="4627CD65" wp14:editId="7FFF63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7D6CD" w14:textId="77777777" w:rsidR="00D058B8" w:rsidRPr="007A7AD9" w:rsidRDefault="00D058B8" w:rsidP="004C5D52">
      <w:pPr>
        <w:pStyle w:val="LineTop"/>
      </w:pPr>
    </w:p>
    <w:p w14:paraId="43C82FDF" w14:textId="77777777" w:rsidR="00680577" w:rsidRPr="007A7AD9" w:rsidRDefault="00851585" w:rsidP="00680577">
      <w:pPr>
        <w:pStyle w:val="EPBodyTA1"/>
      </w:pPr>
      <w:r w:rsidRPr="007A7AD9">
        <w:t>PRIJATÉ TEXTY</w:t>
      </w:r>
    </w:p>
    <w:p w14:paraId="71E14DBC" w14:textId="77777777" w:rsidR="00D058B8" w:rsidRPr="007A7AD9" w:rsidRDefault="00D058B8" w:rsidP="00D058B8">
      <w:pPr>
        <w:pStyle w:val="LineBottom"/>
      </w:pPr>
    </w:p>
    <w:p w14:paraId="6B700953" w14:textId="5A5FB069" w:rsidR="00851585" w:rsidRPr="007A7AD9" w:rsidRDefault="00851585" w:rsidP="00851585">
      <w:pPr>
        <w:pStyle w:val="ATHeading1"/>
      </w:pPr>
      <w:bookmarkStart w:id="0" w:name="TANumber"/>
      <w:r w:rsidRPr="007A7AD9">
        <w:t>P10_TA(2025)0</w:t>
      </w:r>
      <w:r w:rsidR="007A7AD9" w:rsidRPr="007A7AD9">
        <w:t>15</w:t>
      </w:r>
      <w:r w:rsidR="00B8786E">
        <w:t>1</w:t>
      </w:r>
      <w:bookmarkEnd w:id="0"/>
    </w:p>
    <w:p w14:paraId="7FA8D76D" w14:textId="2A86ED31" w:rsidR="00851585" w:rsidRPr="007A7AD9" w:rsidRDefault="00851585" w:rsidP="00851585">
      <w:pPr>
        <w:pStyle w:val="ATHeading2"/>
      </w:pPr>
      <w:bookmarkStart w:id="1" w:name="title"/>
      <w:r w:rsidRPr="007A7AD9">
        <w:t>Návrh opravného rozpočtu č. 1</w:t>
      </w:r>
      <w:r w:rsidR="004F0B8B" w:rsidRPr="007A7AD9">
        <w:t>/</w:t>
      </w:r>
      <w:r w:rsidRPr="007A7AD9">
        <w:t>2025</w:t>
      </w:r>
      <w:r w:rsidR="004F0B8B" w:rsidRPr="007A7AD9">
        <w:t>:</w:t>
      </w:r>
      <w:r w:rsidRPr="007A7AD9">
        <w:t xml:space="preserve"> zahrnutie prebytku z</w:t>
      </w:r>
      <w:r w:rsidR="004F0B8B" w:rsidRPr="007A7AD9">
        <w:t xml:space="preserve"> </w:t>
      </w:r>
      <w:r w:rsidRPr="007A7AD9">
        <w:t>rozpočtového roka 2024</w:t>
      </w:r>
      <w:bookmarkEnd w:id="1"/>
    </w:p>
    <w:p w14:paraId="0B5D74A0" w14:textId="77777777" w:rsidR="00851585" w:rsidRPr="007A7AD9" w:rsidRDefault="00851585" w:rsidP="00851585">
      <w:pPr>
        <w:rPr>
          <w:i/>
          <w:vanish/>
        </w:rPr>
      </w:pPr>
      <w:r w:rsidRPr="007A7AD9">
        <w:rPr>
          <w:i/>
        </w:rPr>
        <w:fldChar w:fldCharType="begin"/>
      </w:r>
      <w:r w:rsidRPr="007A7AD9">
        <w:rPr>
          <w:i/>
        </w:rPr>
        <w:instrText xml:space="preserve"> TC"(</w:instrText>
      </w:r>
      <w:bookmarkStart w:id="2" w:name="DocNumber"/>
      <w:r w:rsidRPr="007A7AD9">
        <w:rPr>
          <w:i/>
        </w:rPr>
        <w:instrText>A10-0116/2025</w:instrText>
      </w:r>
      <w:bookmarkEnd w:id="2"/>
      <w:r w:rsidRPr="007A7AD9">
        <w:rPr>
          <w:i/>
        </w:rPr>
        <w:instrText xml:space="preserve"> - Spravodajca: </w:instrText>
      </w:r>
      <w:proofErr w:type="spellStart"/>
      <w:r w:rsidRPr="007A7AD9">
        <w:rPr>
          <w:i/>
        </w:rPr>
        <w:instrText>Victor</w:instrText>
      </w:r>
      <w:proofErr w:type="spellEnd"/>
      <w:r w:rsidRPr="007A7AD9">
        <w:rPr>
          <w:i/>
        </w:rPr>
        <w:instrText xml:space="preserve"> </w:instrText>
      </w:r>
      <w:proofErr w:type="spellStart"/>
      <w:r w:rsidRPr="007A7AD9">
        <w:rPr>
          <w:i/>
        </w:rPr>
        <w:instrText>Negrescu</w:instrText>
      </w:r>
      <w:proofErr w:type="spellEnd"/>
      <w:r w:rsidRPr="007A7AD9">
        <w:rPr>
          <w:i/>
        </w:rPr>
        <w:instrText xml:space="preserve">)"\l3 \n&gt; \* MERGEFORMAT </w:instrText>
      </w:r>
      <w:r w:rsidRPr="007A7AD9">
        <w:rPr>
          <w:i/>
        </w:rPr>
        <w:fldChar w:fldCharType="end"/>
      </w:r>
    </w:p>
    <w:p w14:paraId="1B4FD3B4" w14:textId="77777777" w:rsidR="00851585" w:rsidRPr="007A7AD9" w:rsidRDefault="00851585" w:rsidP="00851585">
      <w:pPr>
        <w:rPr>
          <w:vanish/>
        </w:rPr>
      </w:pPr>
      <w:bookmarkStart w:id="3" w:name="Commission"/>
      <w:r w:rsidRPr="007A7AD9">
        <w:rPr>
          <w:vanish/>
        </w:rPr>
        <w:t>Výbor pre rozpočet</w:t>
      </w:r>
      <w:bookmarkEnd w:id="3"/>
    </w:p>
    <w:p w14:paraId="60794EFF" w14:textId="77777777" w:rsidR="00851585" w:rsidRPr="007A7AD9" w:rsidRDefault="00851585" w:rsidP="00851585">
      <w:pPr>
        <w:rPr>
          <w:vanish/>
        </w:rPr>
      </w:pPr>
      <w:bookmarkStart w:id="4" w:name="PE"/>
      <w:r w:rsidRPr="007A7AD9">
        <w:rPr>
          <w:vanish/>
        </w:rPr>
        <w:t>PE773.098</w:t>
      </w:r>
      <w:bookmarkEnd w:id="4"/>
    </w:p>
    <w:p w14:paraId="28D865BA" w14:textId="41E99AD2" w:rsidR="00851585" w:rsidRPr="007A7AD9" w:rsidRDefault="00851585" w:rsidP="00851585">
      <w:pPr>
        <w:pStyle w:val="ATHeading3"/>
      </w:pPr>
      <w:bookmarkStart w:id="5" w:name="Sujet"/>
      <w:r w:rsidRPr="007A7AD9">
        <w:t>Uznesenie Európskeho parlamentu z</w:t>
      </w:r>
      <w:r w:rsidR="004F0B8B" w:rsidRPr="007A7AD9">
        <w:t> 9</w:t>
      </w:r>
      <w:r w:rsidRPr="007A7AD9">
        <w:t>. júla 2025 o pozícii Rady k návrhu opravného rozpočtu Európskej únie č. 1/2025 na rozpočtový rok 2025 – zahrnutie prebytku z rozpočtového roka 2024</w:t>
      </w:r>
      <w:bookmarkEnd w:id="5"/>
      <w:r w:rsidRPr="007A7AD9">
        <w:t xml:space="preserve"> </w:t>
      </w:r>
      <w:bookmarkStart w:id="6" w:name="References"/>
      <w:r w:rsidRPr="007A7AD9">
        <w:t>(09619/2025 – C10-0125/2025 – 2025/0091(BUD))</w:t>
      </w:r>
      <w:bookmarkEnd w:id="6"/>
    </w:p>
    <w:p w14:paraId="167CAA28" w14:textId="77777777" w:rsidR="000B3903" w:rsidRPr="007A7AD9" w:rsidRDefault="000B3903" w:rsidP="000B3903">
      <w:pPr>
        <w:pStyle w:val="EPComma"/>
      </w:pPr>
      <w:bookmarkStart w:id="7" w:name="TextBodyBegin"/>
      <w:bookmarkEnd w:id="7"/>
      <w:r w:rsidRPr="007A7AD9">
        <w:rPr>
          <w:i/>
        </w:rPr>
        <w:t>Európsky parlament</w:t>
      </w:r>
      <w:r w:rsidRPr="007A7AD9">
        <w:t>,</w:t>
      </w:r>
    </w:p>
    <w:p w14:paraId="47986CBD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článok 314 Zmluvy o fungovaní Európskej únie,</w:t>
      </w:r>
    </w:p>
    <w:p w14:paraId="3D906EF2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článok 106a Zmluvy o založení Európskeho spoločenstva pre atómovú energiu,</w:t>
      </w:r>
    </w:p>
    <w:p w14:paraId="68FCFD0C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 xml:space="preserve">so zreteľom na nariadenie Európskeho parlamentu a Rady (EÚ, </w:t>
      </w:r>
      <w:proofErr w:type="spellStart"/>
      <w:r w:rsidRPr="007A7AD9">
        <w:t>Euratom</w:t>
      </w:r>
      <w:proofErr w:type="spellEnd"/>
      <w:r w:rsidRPr="007A7AD9">
        <w:t>) 2024/2509 z 23. septembra 2024 o rozpočtových pravidlách, ktoré sa vzťahujú na všeobecný rozpočet Únie</w:t>
      </w:r>
      <w:r w:rsidRPr="007A7AD9">
        <w:rPr>
          <w:rStyle w:val="FootnoteReference"/>
        </w:rPr>
        <w:footnoteReference w:id="1"/>
      </w:r>
      <w:r w:rsidRPr="007A7AD9">
        <w:t>, a najmä na jeho článok 44,</w:t>
      </w:r>
    </w:p>
    <w:p w14:paraId="4C84ABF8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všeobecný rozpočet Európskej únie na rozpočtový rok 2025 prijatý s konečnou platnosťou 27. novembra 2024</w:t>
      </w:r>
      <w:r w:rsidRPr="007A7AD9">
        <w:rPr>
          <w:rStyle w:val="FootnoteReference"/>
        </w:rPr>
        <w:footnoteReference w:id="2"/>
      </w:r>
      <w:r w:rsidRPr="007A7AD9">
        <w:t>,</w:t>
      </w:r>
    </w:p>
    <w:p w14:paraId="18C6378A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 xml:space="preserve">so zreteľom na nariadenie Rady (EÚ, </w:t>
      </w:r>
      <w:proofErr w:type="spellStart"/>
      <w:r w:rsidRPr="007A7AD9">
        <w:t>Euratom</w:t>
      </w:r>
      <w:proofErr w:type="spellEnd"/>
      <w:r w:rsidRPr="007A7AD9">
        <w:t>) 2020/2093 zo 17. decembra 2020, ktorým sa stanovuje viacročný finančný rámec na roky 2021 až 2027</w:t>
      </w:r>
      <w:r w:rsidRPr="007A7AD9">
        <w:rPr>
          <w:rStyle w:val="FootnoteReference"/>
        </w:rPr>
        <w:footnoteReference w:id="3"/>
      </w:r>
      <w:r w:rsidRPr="007A7AD9">
        <w:t>,</w:t>
      </w:r>
    </w:p>
    <w:p w14:paraId="074D78EF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 xml:space="preserve">so zreteľom na </w:t>
      </w:r>
      <w:proofErr w:type="spellStart"/>
      <w:r w:rsidRPr="007A7AD9">
        <w:t>Medziinštitucionálnu</w:t>
      </w:r>
      <w:proofErr w:type="spellEnd"/>
      <w:r w:rsidRPr="007A7AD9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7A7AD9">
        <w:rPr>
          <w:rStyle w:val="FootnoteReference"/>
        </w:rPr>
        <w:footnoteReference w:id="4"/>
      </w:r>
      <w:r w:rsidRPr="007A7AD9">
        <w:t xml:space="preserve"> (</w:t>
      </w:r>
      <w:proofErr w:type="spellStart"/>
      <w:r w:rsidRPr="007A7AD9">
        <w:t>medziinštitucionálna</w:t>
      </w:r>
      <w:proofErr w:type="spellEnd"/>
      <w:r w:rsidRPr="007A7AD9">
        <w:t xml:space="preserve"> dohoda zo 16. decembra 2020),</w:t>
      </w:r>
    </w:p>
    <w:p w14:paraId="42252D75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 xml:space="preserve">so zreteľom na rozhodnutie Rady (EÚ, </w:t>
      </w:r>
      <w:proofErr w:type="spellStart"/>
      <w:r w:rsidRPr="007A7AD9">
        <w:t>Euratom</w:t>
      </w:r>
      <w:proofErr w:type="spellEnd"/>
      <w:r w:rsidRPr="007A7AD9">
        <w:t xml:space="preserve">) 2020/2053 zo 14. decembra 2020 </w:t>
      </w:r>
      <w:r w:rsidRPr="007A7AD9">
        <w:lastRenderedPageBreak/>
        <w:t xml:space="preserve">o systéme vlastných zdrojov Európskej únie a o zrušení rozhodnutia 2014/335/EÚ, </w:t>
      </w:r>
      <w:proofErr w:type="spellStart"/>
      <w:r w:rsidRPr="007A7AD9">
        <w:t>Euratom</w:t>
      </w:r>
      <w:proofErr w:type="spellEnd"/>
      <w:r w:rsidRPr="007A7AD9">
        <w:rPr>
          <w:rStyle w:val="FootnoteReference"/>
        </w:rPr>
        <w:footnoteReference w:id="5"/>
      </w:r>
      <w:r w:rsidRPr="007A7AD9">
        <w:t>,</w:t>
      </w:r>
    </w:p>
    <w:p w14:paraId="274DCA08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návrh opravného rozpočtu č. 1/2025, ktorý prijala Komisia 9. apríla 2025 (COM(2025)0350),</w:t>
      </w:r>
    </w:p>
    <w:p w14:paraId="6E4C574A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pozíciu k návrhu opravného rozpočtu č. 1/2025, ktorú prijala Rada 16. júna 2025 a postúpila Európskemu parlamentu 18. júna 2025 (09619/2025 – C10-0125/2025),</w:t>
      </w:r>
    </w:p>
    <w:p w14:paraId="01BDAF8B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články 96 a 98 rokovacieho poriadku,</w:t>
      </w:r>
    </w:p>
    <w:p w14:paraId="65040C22" w14:textId="77777777" w:rsidR="000B3903" w:rsidRPr="007A7AD9" w:rsidRDefault="000B3903" w:rsidP="000B3903">
      <w:pPr>
        <w:pStyle w:val="NormalHanging12a"/>
      </w:pPr>
      <w:r w:rsidRPr="007A7AD9">
        <w:t>–</w:t>
      </w:r>
      <w:r w:rsidRPr="007A7AD9">
        <w:tab/>
        <w:t>so zreteľom na správu Výboru pre rozpočet (A10-0116/2025),</w:t>
      </w:r>
    </w:p>
    <w:p w14:paraId="67526DBC" w14:textId="77777777" w:rsidR="000B3903" w:rsidRPr="007A7AD9" w:rsidRDefault="000B3903" w:rsidP="000B3903">
      <w:pPr>
        <w:pStyle w:val="NormalHanging12a"/>
      </w:pPr>
      <w:r w:rsidRPr="007A7AD9">
        <w:t>A.</w:t>
      </w:r>
      <w:r w:rsidRPr="007A7AD9">
        <w:tab/>
      </w:r>
      <w:r w:rsidRPr="007A7AD9">
        <w:rPr>
          <w:color w:val="000000"/>
        </w:rPr>
        <w:t>keďže účelom návrhu opravného rozpočtu č. 1/2025 je zahrnúť do rozpočtu na rok 2025 prebytok vyplývajúci z plnenia rozpočtového roka 2024, ktorý predstavuje 1 345 miliónov EUR;</w:t>
      </w:r>
    </w:p>
    <w:p w14:paraId="6048C007" w14:textId="77777777" w:rsidR="000B3903" w:rsidRPr="007A7AD9" w:rsidRDefault="000B3903" w:rsidP="000B3903">
      <w:pPr>
        <w:pStyle w:val="NormalHanging12a"/>
      </w:pPr>
      <w:r w:rsidRPr="007A7AD9">
        <w:t>B.</w:t>
      </w:r>
      <w:r w:rsidRPr="007A7AD9">
        <w:tab/>
      </w:r>
      <w:r w:rsidRPr="007A7AD9">
        <w:rPr>
          <w:color w:val="000000"/>
        </w:rPr>
        <w:t>keďže hlavnými zložkami tohto prebytku sú kladný výsledok plnenia rozpočtu na strane príjmov vo výške 1 072 miliónov EUR, ako aj nevyčerpané prostriedky vo výške 272,5 milióna EUR;</w:t>
      </w:r>
    </w:p>
    <w:p w14:paraId="61FBBA9C" w14:textId="77777777" w:rsidR="000B3903" w:rsidRPr="007A7AD9" w:rsidRDefault="000B3903" w:rsidP="000B3903">
      <w:pPr>
        <w:pStyle w:val="NormalHanging12a"/>
      </w:pPr>
      <w:r w:rsidRPr="007A7AD9">
        <w:t>C.</w:t>
      </w:r>
      <w:r w:rsidRPr="007A7AD9">
        <w:tab/>
      </w:r>
      <w:r w:rsidRPr="007A7AD9">
        <w:rPr>
          <w:color w:val="000000"/>
        </w:rPr>
        <w:t>keďže na strane príjmov je hlavnou hnacou silou objemu prebytku suma 1 211 miliónov EUR vo finančných príjmoch, úrokoch z omeškania a pokutách; keďže výsledok vlastných zdrojov v hlave 1 zostáva veľmi blízko rozpočtovaných súm v rozpočte na rok 2024 (vrátane opravných rozpočtov č. 1 – 5);</w:t>
      </w:r>
    </w:p>
    <w:p w14:paraId="1132EC5C" w14:textId="77777777" w:rsidR="000B3903" w:rsidRPr="007A7AD9" w:rsidRDefault="000B3903" w:rsidP="000B3903">
      <w:pPr>
        <w:pStyle w:val="NormalHanging12a"/>
      </w:pPr>
      <w:r w:rsidRPr="007A7AD9">
        <w:t>D.</w:t>
      </w:r>
      <w:r w:rsidRPr="007A7AD9">
        <w:tab/>
      </w:r>
      <w:r w:rsidRPr="007A7AD9">
        <w:rPr>
          <w:color w:val="000000"/>
        </w:rPr>
        <w:t>keďže na strane výdavkov dosiahlo nedostatočné plnenie platieb všetkých inštitúcií vrátane zrušených prenesených rozpočtových prostriedkov celkovú výšku 273 miliónov EUR (čo predstavuje 0,02 % schválených platobných rozpočtových prostriedkov);</w:t>
      </w:r>
    </w:p>
    <w:p w14:paraId="69A2384C" w14:textId="77777777" w:rsidR="000B3903" w:rsidRPr="007A7AD9" w:rsidRDefault="000B3903" w:rsidP="000B3903">
      <w:pPr>
        <w:pStyle w:val="NormalHanging12a"/>
        <w:ind w:hanging="570"/>
      </w:pPr>
      <w:r w:rsidRPr="007A7AD9">
        <w:t>1.</w:t>
      </w:r>
      <w:r w:rsidRPr="007A7AD9">
        <w:tab/>
      </w:r>
      <w:r w:rsidRPr="007A7AD9">
        <w:rPr>
          <w:color w:val="000000"/>
        </w:rPr>
        <w:t>berie na vedomie návrh opravného rozpočtu č. 1/2025 predložený Komisiou, ktorého cieľom je zahrnúť do rozpočtu prebytok z roku 2024 vo výške 345 miliónov EUR v súlade s článkom 18 ods. 3 nariadenia o rozpočtových pravidlách;</w:t>
      </w:r>
      <w:sdt>
        <w:sdtPr>
          <w:tag w:val="goog_rdk_0"/>
          <w:id w:val="1937094721"/>
        </w:sdtPr>
        <w:sdtEndPr/>
        <w:sdtContent/>
      </w:sdt>
    </w:p>
    <w:p w14:paraId="0F56A244" w14:textId="77777777" w:rsidR="000B3903" w:rsidRPr="007A7AD9" w:rsidRDefault="000B3903" w:rsidP="000B3903">
      <w:pPr>
        <w:pStyle w:val="NormalHanging12a"/>
        <w:ind w:hanging="570"/>
      </w:pPr>
      <w:r w:rsidRPr="007A7AD9">
        <w:t>2.</w:t>
      </w:r>
      <w:r w:rsidRPr="007A7AD9">
        <w:tab/>
      </w:r>
      <w:r w:rsidRPr="007A7AD9">
        <w:rPr>
          <w:color w:val="000000"/>
        </w:rPr>
        <w:t xml:space="preserve">víta skutočnosť, že prebytok v roku 2024 je spôsobený najmä zvýšením zmeny v hlave 4 (Finančné príjmy, úroky z omeškania a pokuty), zatiaľ čo prebytok výdavkov zostáva veľmi nízky na úrovni 273 miliónov EUR; </w:t>
      </w:r>
    </w:p>
    <w:p w14:paraId="099BB857" w14:textId="77777777" w:rsidR="000B3903" w:rsidRPr="007A7AD9" w:rsidRDefault="000B3903" w:rsidP="000B3903">
      <w:pPr>
        <w:spacing w:after="240"/>
        <w:ind w:left="567" w:hanging="567"/>
        <w:rPr>
          <w:color w:val="000000"/>
        </w:rPr>
      </w:pPr>
      <w:r w:rsidRPr="007A7AD9">
        <w:rPr>
          <w:color w:val="000000"/>
        </w:rPr>
        <w:t>3.</w:t>
      </w:r>
      <w:r w:rsidRPr="007A7AD9">
        <w:rPr>
          <w:color w:val="000000"/>
        </w:rPr>
        <w:tab/>
        <w:t xml:space="preserve">vyjadruje poľutovanie nad tým, že zahrnutím prebytku do rozpočtu sa znižuje o zodpovedajúcu sumu celkový príspevok členských štátov k financovaniu rozpočtu na rok 2025 založený na HND; zdôrazňuje, že v čase, keď sú potreby financovania naďalej vysoké, najmä pokiaľ ide o tzv. prekročené náklady nástroja EURI, a manévrovací priestor v rámci rozpočtu Únie zostáva mimoriadne obmedzený, rozpočet by si mal zachovať dostatočnú úroveň flexibility, aby Únia dokázala čeliť nepredvídaným udalostiam a novým prioritám; zdôrazňuje, že flexibilita rozpočtu Únie je jednou z kľúčových otázok, ktoré treba riešiť pri rokovaniach o viacročnom finančnom rámci na obdobie po roku 2027; </w:t>
      </w:r>
    </w:p>
    <w:p w14:paraId="35FB8679" w14:textId="77777777" w:rsidR="000B3903" w:rsidRPr="007A7AD9" w:rsidRDefault="000B3903" w:rsidP="000B3903">
      <w:pPr>
        <w:spacing w:after="240"/>
        <w:ind w:left="567" w:hanging="567"/>
        <w:rPr>
          <w:color w:val="000000"/>
        </w:rPr>
      </w:pPr>
      <w:r w:rsidRPr="007A7AD9">
        <w:rPr>
          <w:color w:val="000000"/>
        </w:rPr>
        <w:t>4.</w:t>
      </w:r>
      <w:r w:rsidRPr="007A7AD9">
        <w:rPr>
          <w:color w:val="000000"/>
        </w:rPr>
        <w:tab/>
      </w:r>
      <w:r w:rsidRPr="007A7AD9">
        <w:t xml:space="preserve">vyzýva tiež Komisiu, aby navrhla spoľahlivú a trvalú architektúru budúceho </w:t>
      </w:r>
      <w:r w:rsidRPr="007A7AD9">
        <w:lastRenderedPageBreak/>
        <w:t xml:space="preserve">viacročného finančného rámca, ktorá umožní udržateľné riadenie všetkých </w:t>
      </w:r>
      <w:proofErr w:type="spellStart"/>
      <w:r w:rsidRPr="007A7AD9">
        <w:t>nediskrečných</w:t>
      </w:r>
      <w:proofErr w:type="spellEnd"/>
      <w:r w:rsidRPr="007A7AD9">
        <w:t xml:space="preserve"> nákladov a záväzkov, a v plnom rozsahu zachová programy Únie a flexibilitu a schopnosť reakcie rozpočtu, najmä pokiaľ ide o prírodné katastrofy a núdzové situácie v oblasti zdravia, s cieľom v plnej miere vykonávať stratégiu pripravenosti Únie;</w:t>
      </w:r>
      <w:r w:rsidRPr="007A7AD9">
        <w:rPr>
          <w:color w:val="000000"/>
        </w:rPr>
        <w:t xml:space="preserve"> </w:t>
      </w:r>
    </w:p>
    <w:p w14:paraId="0D629186" w14:textId="77777777" w:rsidR="000B3903" w:rsidRPr="007A7AD9" w:rsidRDefault="000B3903" w:rsidP="000B3903">
      <w:pPr>
        <w:pStyle w:val="NormalHanging12a"/>
      </w:pPr>
      <w:r w:rsidRPr="007A7AD9">
        <w:t>5.</w:t>
      </w:r>
      <w:r w:rsidRPr="007A7AD9">
        <w:tab/>
      </w:r>
      <w:r w:rsidRPr="007A7AD9">
        <w:rPr>
          <w:color w:val="000000"/>
        </w:rPr>
        <w:t>pripomína svoju dlhodobú pozíciu, že neočakávané zisky z pokút a poplatkov alebo ich ekvivalentné sumy by sa mali použiť ako dodatočný príjem do rozpočtu Únie na účely reakcie na krízu alebo na neočakávané potreby a nemali by viesť k zodpovedajúcemu zníženiu príspevkov založených na HND;</w:t>
      </w:r>
    </w:p>
    <w:p w14:paraId="197572AF" w14:textId="2AA644FA" w:rsidR="000B3903" w:rsidRPr="007A7AD9" w:rsidRDefault="000B3903" w:rsidP="000B3903">
      <w:pPr>
        <w:pStyle w:val="NormalHanging12a"/>
        <w:ind w:hanging="570"/>
      </w:pPr>
      <w:r w:rsidRPr="007A7AD9">
        <w:t>6.</w:t>
      </w:r>
      <w:r w:rsidRPr="007A7AD9">
        <w:tab/>
        <w:t xml:space="preserve">berie na vedomie zápornú príjmovú položku v rámci nového článku 425 vo výške 534 miliónov EUR a víta tento spôsob zahrnutia rozpočtových nákladov vyplývajúcich z platieb uskutočnených na základe dohody o urovnaní, ktorý zahŕňa kompenzačné úroky a náhradu úrokov z omeškania v súvislosti s vrátením zrušených alebo znížených pokút za hospodársku súťaž v súlade s príslušnými rozsudkami Súdneho dvora; pripomína, že Parlament pri rokovaniach o prepracovanom znení nariadenia o rozpočtových pravidlách trval na uplatňovaní tohto prístupu, keďže alternatívnym riešením by boli dodatočné výdavkové rozpočtové prostriedky v už preťaženom okruhu 7; pripomína, že toto riešenie sa skončí 31. decembra 2027; vyzýva Komisiu, aby pre nasledujúci </w:t>
      </w:r>
      <w:r w:rsidR="004F0B8B" w:rsidRPr="007A7AD9">
        <w:t>viacročný finančný rámec</w:t>
      </w:r>
      <w:r w:rsidRPr="007A7AD9">
        <w:t xml:space="preserve"> navrhla konečné riešenie, ktorým sa dosiahne rovnaký cieľ, a to vyhnúť sa akémukoľvek vplyvu na výdavkovú časť rozpočtu;</w:t>
      </w:r>
    </w:p>
    <w:p w14:paraId="49BD7578" w14:textId="77777777" w:rsidR="000B3903" w:rsidRPr="007A7AD9" w:rsidRDefault="000B3903" w:rsidP="000B3903">
      <w:pPr>
        <w:pStyle w:val="NormalHanging12a"/>
        <w:ind w:hanging="570"/>
        <w:rPr>
          <w:color w:val="000000"/>
        </w:rPr>
      </w:pPr>
      <w:r w:rsidRPr="007A7AD9">
        <w:t>7.</w:t>
      </w:r>
      <w:r w:rsidRPr="007A7AD9">
        <w:tab/>
      </w:r>
      <w:r w:rsidRPr="007A7AD9">
        <w:rPr>
          <w:color w:val="000000"/>
        </w:rPr>
        <w:t xml:space="preserve">zdôrazňuje potrebu udržateľných príjmov do rozpočtu Únie; </w:t>
      </w:r>
      <w:r w:rsidRPr="007A7AD9">
        <w:t xml:space="preserve">vyjadruje preto poľutovanie nad tým, že Rada nedosiahla pokrok v reforme systému vlastných zdrojov v súlade s duchom právne záväzného plánu uvedeného v </w:t>
      </w:r>
      <w:proofErr w:type="spellStart"/>
      <w:r w:rsidRPr="007A7AD9">
        <w:t>medziinštitucionálnej</w:t>
      </w:r>
      <w:proofErr w:type="spellEnd"/>
      <w:r w:rsidRPr="007A7AD9">
        <w:t xml:space="preserve"> dohode zo 16. decembra 2020;</w:t>
      </w:r>
      <w:r w:rsidRPr="007A7AD9">
        <w:rPr>
          <w:color w:val="1E1E1F"/>
        </w:rPr>
        <w:t xml:space="preserve"> </w:t>
      </w:r>
      <w:r w:rsidRPr="007A7AD9">
        <w:t xml:space="preserve">pripomína svoju pozíciu na podporu zmenených návrhov Komisie a naliehavo vyzýva Radu, aby čo najskôr prijala tieto návrhy s cieľom </w:t>
      </w:r>
      <w:proofErr w:type="spellStart"/>
      <w:r w:rsidRPr="007A7AD9">
        <w:t>diverzifikovať</w:t>
      </w:r>
      <w:proofErr w:type="spellEnd"/>
      <w:r w:rsidRPr="007A7AD9">
        <w:t xml:space="preserve"> a konsolidovať vlastné zdroje dostupné pre rozpočet Únie;</w:t>
      </w:r>
    </w:p>
    <w:p w14:paraId="04506AE4" w14:textId="47B0E378" w:rsidR="000B3903" w:rsidRPr="007A7AD9" w:rsidRDefault="000B3903" w:rsidP="000B3903">
      <w:pPr>
        <w:pStyle w:val="NormalHanging12a"/>
        <w:ind w:hanging="570"/>
        <w:rPr>
          <w:color w:val="000000"/>
        </w:rPr>
      </w:pPr>
      <w:r w:rsidRPr="007A7AD9">
        <w:t>8.</w:t>
      </w:r>
      <w:r w:rsidRPr="007A7AD9">
        <w:tab/>
        <w:t xml:space="preserve">ďalej vyzýva Komisiu, aby pokračovala v úsilí o identifikáciu ďalších inovatívnych a skutočných nových vlastných zdrojov a iných zdrojov príjmov popri zdrojoch uvedených v </w:t>
      </w:r>
      <w:proofErr w:type="spellStart"/>
      <w:r w:rsidRPr="007A7AD9">
        <w:t>medziinštitucionálnej</w:t>
      </w:r>
      <w:proofErr w:type="spellEnd"/>
      <w:r w:rsidRPr="007A7AD9">
        <w:t xml:space="preserve"> dohode zo 16. decembra 2020; zdôrazňuje, že nové vlastné zdroje sú nevyhnutné nielen na to, aby umožnili splácať úvery a pôžičky </w:t>
      </w:r>
      <w:proofErr w:type="spellStart"/>
      <w:r w:rsidR="004F0B8B" w:rsidRPr="007A7AD9">
        <w:t>NextGenerationEU</w:t>
      </w:r>
      <w:proofErr w:type="spellEnd"/>
      <w:r w:rsidRPr="007A7AD9">
        <w:t>, ale aj na zabezpečenie toho, aby Únia mala dostatočné zdroje na pokrytie svojich vyšších výdavkových potrieb, najmä v súvislosti s početnými výzvami, ktorým Únia v súčasnosti čelí, vrátane nového geopolitického kontextu; domnieva sa, že všetky nové politiky a výzvy Únie musia zahŕňať nové finančné prostriedky a dodatočné nové zdroje;</w:t>
      </w:r>
    </w:p>
    <w:p w14:paraId="1C216EB1" w14:textId="77777777" w:rsidR="000B3903" w:rsidRPr="007A7AD9" w:rsidRDefault="000B3903" w:rsidP="000B3903">
      <w:pPr>
        <w:pStyle w:val="NormalHanging12a"/>
        <w:ind w:hanging="570"/>
      </w:pPr>
      <w:r w:rsidRPr="007A7AD9">
        <w:t>9.</w:t>
      </w:r>
      <w:r w:rsidRPr="007A7AD9">
        <w:tab/>
        <w:t>schvaľuje pozíciu Rady k návrhu opravného rozpočtu č. 1/2025;</w:t>
      </w:r>
    </w:p>
    <w:p w14:paraId="49A0492D" w14:textId="77777777" w:rsidR="000B3903" w:rsidRPr="007A7AD9" w:rsidRDefault="000B3903" w:rsidP="000B3903">
      <w:pPr>
        <w:pStyle w:val="NormalHanging12a"/>
        <w:ind w:hanging="570"/>
      </w:pPr>
      <w:r w:rsidRPr="007A7AD9">
        <w:t>10.</w:t>
      </w:r>
      <w:r w:rsidRPr="007A7AD9">
        <w:tab/>
        <w:t xml:space="preserve">poveruje svoju predsedníčku, aby vyhlásila opravný rozpočet č. 1/2025 za prijatý s konečnou platnosťou a aby zabezpečila jeho uverejnenie v </w:t>
      </w:r>
      <w:r w:rsidRPr="007A7AD9">
        <w:rPr>
          <w:i/>
          <w:iCs/>
        </w:rPr>
        <w:t>Úradnom vestníku Európskej únie</w:t>
      </w:r>
      <w:r w:rsidRPr="007A7AD9">
        <w:t>;</w:t>
      </w:r>
    </w:p>
    <w:p w14:paraId="400969F5" w14:textId="2298ED78" w:rsidR="00E365E1" w:rsidRPr="007A7AD9" w:rsidRDefault="000B3903" w:rsidP="00FA4DF0">
      <w:pPr>
        <w:pStyle w:val="NormalHanging12a"/>
        <w:ind w:hanging="570"/>
      </w:pPr>
      <w:r w:rsidRPr="007A7AD9">
        <w:t>11.</w:t>
      </w:r>
      <w:r w:rsidRPr="007A7AD9">
        <w:tab/>
        <w:t>poveruje svoju predsedníčku, aby postúpila toto uznesenie Rade, Komisii a ďalším príslušným inštitúciám a orgánom, ako aj národným parlamentom.</w:t>
      </w:r>
    </w:p>
    <w:sectPr w:rsidR="00E365E1" w:rsidRPr="007A7AD9" w:rsidSect="00784C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68B93" w14:textId="77777777" w:rsidR="00851585" w:rsidRPr="00784CAC" w:rsidRDefault="00851585">
      <w:r w:rsidRPr="00784CAC">
        <w:separator/>
      </w:r>
    </w:p>
  </w:endnote>
  <w:endnote w:type="continuationSeparator" w:id="0">
    <w:p w14:paraId="0AC4E899" w14:textId="77777777" w:rsidR="00851585" w:rsidRPr="00784CAC" w:rsidRDefault="00851585">
      <w:r w:rsidRPr="00784C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B8CF" w14:textId="77777777" w:rsidR="00064002" w:rsidRPr="00784C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0C0" w14:textId="77777777" w:rsidR="00064002" w:rsidRPr="00784C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F4798" w14:textId="77777777" w:rsidR="00064002" w:rsidRPr="00784C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84F7C" w14:textId="77777777" w:rsidR="00851585" w:rsidRPr="00784CAC" w:rsidRDefault="00851585">
      <w:r w:rsidRPr="00784CAC">
        <w:separator/>
      </w:r>
    </w:p>
  </w:footnote>
  <w:footnote w:type="continuationSeparator" w:id="0">
    <w:p w14:paraId="286C887A" w14:textId="77777777" w:rsidR="00851585" w:rsidRPr="00784CAC" w:rsidRDefault="00851585">
      <w:r w:rsidRPr="00784CAC">
        <w:continuationSeparator/>
      </w:r>
    </w:p>
  </w:footnote>
  <w:footnote w:id="1">
    <w:p w14:paraId="7AB19353" w14:textId="31C5AE84" w:rsidR="000B3903" w:rsidRPr="00784CAC" w:rsidRDefault="000B3903" w:rsidP="00784CAC">
      <w:pPr>
        <w:pStyle w:val="FootnoteText"/>
        <w:ind w:left="567" w:hanging="567"/>
        <w:rPr>
          <w:sz w:val="24"/>
          <w:lang w:val="sk-SK"/>
        </w:rPr>
      </w:pPr>
      <w:r w:rsidRPr="00784CAC">
        <w:rPr>
          <w:rStyle w:val="FootnoteReference"/>
          <w:sz w:val="24"/>
          <w:lang w:val="sk-SK"/>
        </w:rPr>
        <w:footnoteRef/>
      </w:r>
      <w:r w:rsidR="00784CAC" w:rsidRPr="00784CAC">
        <w:rPr>
          <w:sz w:val="24"/>
          <w:lang w:val="sk-SK"/>
        </w:rPr>
        <w:t xml:space="preserve"> </w:t>
      </w:r>
      <w:r w:rsidR="00784CAC" w:rsidRPr="00784CAC">
        <w:rPr>
          <w:sz w:val="24"/>
          <w:lang w:val="sk-SK"/>
        </w:rPr>
        <w:tab/>
      </w:r>
      <w:r w:rsidRPr="00784CAC">
        <w:rPr>
          <w:sz w:val="24"/>
          <w:lang w:val="sk-SK"/>
        </w:rPr>
        <w:t xml:space="preserve">Ú. v. EÚ L, 2024/2509, 26.9.2024, </w:t>
      </w:r>
      <w:hyperlink r:id="rId1" w:history="1">
        <w:r w:rsidRPr="00784CAC">
          <w:rPr>
            <w:rStyle w:val="Hyperlink"/>
            <w:sz w:val="24"/>
            <w:lang w:val="sk-SK"/>
          </w:rPr>
          <w:t>http://data.europa.eu/eli/reg/2024/2509/oj</w:t>
        </w:r>
      </w:hyperlink>
      <w:r w:rsidRPr="00784CAC">
        <w:rPr>
          <w:sz w:val="24"/>
          <w:lang w:val="sk-SK"/>
        </w:rPr>
        <w:t>.</w:t>
      </w:r>
    </w:p>
  </w:footnote>
  <w:footnote w:id="2">
    <w:p w14:paraId="096DCD78" w14:textId="2324B49D" w:rsidR="000B3903" w:rsidRPr="00784CAC" w:rsidRDefault="000B3903" w:rsidP="00784CAC">
      <w:pPr>
        <w:pStyle w:val="FootnoteText"/>
        <w:ind w:left="567" w:hanging="567"/>
        <w:rPr>
          <w:sz w:val="24"/>
          <w:lang w:val="sk-SK"/>
        </w:rPr>
      </w:pPr>
      <w:r w:rsidRPr="00784CAC">
        <w:rPr>
          <w:rStyle w:val="FootnoteReference"/>
          <w:sz w:val="24"/>
          <w:lang w:val="sk-SK"/>
        </w:rPr>
        <w:footnoteRef/>
      </w:r>
      <w:r w:rsidR="00784CAC" w:rsidRPr="00784CAC">
        <w:rPr>
          <w:sz w:val="24"/>
          <w:lang w:val="sk-SK"/>
        </w:rPr>
        <w:t xml:space="preserve"> </w:t>
      </w:r>
      <w:r w:rsidR="00784CAC" w:rsidRPr="00784CAC">
        <w:rPr>
          <w:sz w:val="24"/>
          <w:lang w:val="sk-SK"/>
        </w:rPr>
        <w:tab/>
      </w:r>
      <w:r w:rsidRPr="00784CAC">
        <w:rPr>
          <w:sz w:val="24"/>
          <w:lang w:val="sk-SK"/>
        </w:rPr>
        <w:t xml:space="preserve">Ú. v. EÚ L, 2025/31, 27.2.2025, </w:t>
      </w:r>
      <w:r w:rsidR="00B8786E">
        <w:fldChar w:fldCharType="begin"/>
      </w:r>
      <w:r w:rsidR="00B8786E" w:rsidRPr="00B8786E">
        <w:rPr>
          <w:lang w:val="es-ES"/>
        </w:rPr>
        <w:instrText>HYPERLINK "http://data.europa.eu/eli/budget/2025/31/oj%20"</w:instrText>
      </w:r>
      <w:r w:rsidR="00B8786E">
        <w:fldChar w:fldCharType="separate"/>
      </w:r>
      <w:r w:rsidRPr="00784CAC">
        <w:rPr>
          <w:rStyle w:val="Hyperlink"/>
          <w:sz w:val="24"/>
          <w:lang w:val="sk-SK"/>
        </w:rPr>
        <w:t>http://data.europa.eu/eli/budget/2025/31/oj</w:t>
      </w:r>
      <w:r w:rsidR="00B8786E">
        <w:rPr>
          <w:rStyle w:val="Hyperlink"/>
          <w:sz w:val="24"/>
          <w:lang w:val="sk-SK"/>
        </w:rPr>
        <w:fldChar w:fldCharType="end"/>
      </w:r>
      <w:r w:rsidRPr="00784CAC">
        <w:rPr>
          <w:sz w:val="24"/>
          <w:lang w:val="sk-SK"/>
        </w:rPr>
        <w:t>.</w:t>
      </w:r>
    </w:p>
  </w:footnote>
  <w:footnote w:id="3">
    <w:p w14:paraId="547020E0" w14:textId="56F0BE5C" w:rsidR="000B3903" w:rsidRPr="00784CAC" w:rsidRDefault="000B3903" w:rsidP="00784CAC">
      <w:pPr>
        <w:pStyle w:val="FootnoteText"/>
        <w:ind w:left="567" w:hanging="567"/>
        <w:rPr>
          <w:sz w:val="24"/>
          <w:lang w:val="sk-SK"/>
        </w:rPr>
      </w:pPr>
      <w:r w:rsidRPr="00784CAC">
        <w:rPr>
          <w:rStyle w:val="FootnoteReference"/>
          <w:sz w:val="24"/>
          <w:lang w:val="sk-SK"/>
        </w:rPr>
        <w:footnoteRef/>
      </w:r>
      <w:r w:rsidR="00784CAC" w:rsidRPr="00784CAC">
        <w:rPr>
          <w:sz w:val="24"/>
          <w:lang w:val="sk-SK"/>
        </w:rPr>
        <w:t xml:space="preserve"> </w:t>
      </w:r>
      <w:r w:rsidR="00784CAC" w:rsidRPr="00784CAC">
        <w:rPr>
          <w:sz w:val="24"/>
          <w:lang w:val="sk-SK"/>
        </w:rPr>
        <w:tab/>
      </w:r>
      <w:r w:rsidRPr="00784CAC">
        <w:rPr>
          <w:sz w:val="24"/>
          <w:lang w:val="sk-SK"/>
        </w:rPr>
        <w:t xml:space="preserve">Ú. v. EÚ L 433 I, 22.12.2020, s. 11, ELI: </w:t>
      </w:r>
      <w:r w:rsidR="00B8786E">
        <w:fldChar w:fldCharType="begin"/>
      </w:r>
      <w:r w:rsidR="00B8786E" w:rsidRPr="00B8786E">
        <w:rPr>
          <w:lang w:val="fi-FI"/>
        </w:rPr>
        <w:instrText>HYPERLINK "http://data.europa.eu/eli/reg/2020/2093/oj"</w:instrText>
      </w:r>
      <w:r w:rsidR="00B8786E">
        <w:fldChar w:fldCharType="separate"/>
      </w:r>
      <w:r w:rsidRPr="00784CAC">
        <w:rPr>
          <w:rStyle w:val="Hyperlink"/>
          <w:sz w:val="24"/>
          <w:lang w:val="sk-SK"/>
        </w:rPr>
        <w:t>http://data.europa.eu/eli/reg/2020/2093/oj</w:t>
      </w:r>
      <w:r w:rsidR="00B8786E">
        <w:rPr>
          <w:rStyle w:val="Hyperlink"/>
          <w:sz w:val="24"/>
          <w:lang w:val="sk-SK"/>
        </w:rPr>
        <w:fldChar w:fldCharType="end"/>
      </w:r>
      <w:r w:rsidRPr="00784CAC">
        <w:rPr>
          <w:sz w:val="24"/>
          <w:lang w:val="sk-SK"/>
        </w:rPr>
        <w:t>.</w:t>
      </w:r>
    </w:p>
  </w:footnote>
  <w:footnote w:id="4">
    <w:p w14:paraId="6CAA18A0" w14:textId="2CF5D656" w:rsidR="000B3903" w:rsidRPr="00784CAC" w:rsidRDefault="000B3903" w:rsidP="00784CAC">
      <w:pPr>
        <w:pStyle w:val="FootnoteText"/>
        <w:ind w:left="567" w:hanging="567"/>
        <w:rPr>
          <w:sz w:val="24"/>
          <w:lang w:val="sk-SK"/>
        </w:rPr>
      </w:pPr>
      <w:r w:rsidRPr="00784CAC">
        <w:rPr>
          <w:rStyle w:val="FootnoteReference"/>
          <w:sz w:val="24"/>
          <w:lang w:val="sk-SK"/>
        </w:rPr>
        <w:footnoteRef/>
      </w:r>
      <w:r w:rsidR="00784CAC" w:rsidRPr="00784CAC">
        <w:rPr>
          <w:sz w:val="24"/>
          <w:lang w:val="sk-SK"/>
        </w:rPr>
        <w:t xml:space="preserve"> </w:t>
      </w:r>
      <w:r w:rsidR="00784CAC" w:rsidRPr="00784CAC">
        <w:rPr>
          <w:sz w:val="24"/>
          <w:lang w:val="sk-SK"/>
        </w:rPr>
        <w:tab/>
      </w:r>
      <w:r w:rsidRPr="00784CAC">
        <w:rPr>
          <w:sz w:val="24"/>
          <w:lang w:val="sk-SK"/>
        </w:rPr>
        <w:t xml:space="preserve">Ú. v. EÚ L 433 I, 22.12.2020, s. 28, ELI: </w:t>
      </w:r>
      <w:r w:rsidR="00B8786E">
        <w:fldChar w:fldCharType="begin"/>
      </w:r>
      <w:r w:rsidR="00B8786E" w:rsidRPr="00B8786E">
        <w:rPr>
          <w:lang w:val="fi-FI"/>
        </w:rPr>
        <w:instrText>HYPERLINK "http://data.europa.eu/eli/agree_interinstit/2020/1222/oj"</w:instrText>
      </w:r>
      <w:r w:rsidR="00B8786E">
        <w:fldChar w:fldCharType="separate"/>
      </w:r>
      <w:r w:rsidRPr="00784CAC">
        <w:rPr>
          <w:rStyle w:val="Hyperlink"/>
          <w:sz w:val="24"/>
          <w:lang w:val="sk-SK"/>
        </w:rPr>
        <w:t>http://data.europa.eu/eli/agree_interinstit/2020/1222/oj</w:t>
      </w:r>
      <w:r w:rsidR="00B8786E">
        <w:rPr>
          <w:rStyle w:val="Hyperlink"/>
          <w:sz w:val="24"/>
          <w:lang w:val="sk-SK"/>
        </w:rPr>
        <w:fldChar w:fldCharType="end"/>
      </w:r>
      <w:r w:rsidRPr="00784CAC">
        <w:rPr>
          <w:sz w:val="24"/>
          <w:lang w:val="sk-SK"/>
        </w:rPr>
        <w:t>.</w:t>
      </w:r>
    </w:p>
  </w:footnote>
  <w:footnote w:id="5">
    <w:p w14:paraId="547F9781" w14:textId="6B87D292" w:rsidR="000B3903" w:rsidRPr="00784CAC" w:rsidRDefault="000B3903" w:rsidP="00784CAC">
      <w:pPr>
        <w:pStyle w:val="FootnoteText"/>
        <w:ind w:left="567" w:hanging="567"/>
        <w:rPr>
          <w:sz w:val="24"/>
          <w:lang w:val="sk-SK"/>
        </w:rPr>
      </w:pPr>
      <w:r w:rsidRPr="00784CAC">
        <w:rPr>
          <w:rStyle w:val="FootnoteReference"/>
          <w:sz w:val="24"/>
          <w:lang w:val="sk-SK"/>
        </w:rPr>
        <w:footnoteRef/>
      </w:r>
      <w:r w:rsidR="00784CAC" w:rsidRPr="00784CAC">
        <w:rPr>
          <w:sz w:val="24"/>
          <w:lang w:val="sk-SK"/>
        </w:rPr>
        <w:t xml:space="preserve"> </w:t>
      </w:r>
      <w:r w:rsidR="00784CAC" w:rsidRPr="00784CAC">
        <w:rPr>
          <w:sz w:val="24"/>
          <w:lang w:val="sk-SK"/>
        </w:rPr>
        <w:tab/>
      </w:r>
      <w:r w:rsidRPr="00784CAC">
        <w:rPr>
          <w:sz w:val="24"/>
          <w:lang w:val="sk-SK"/>
        </w:rPr>
        <w:t>Ú. v. EÚ L 424,</w:t>
      </w:r>
      <w:r w:rsidR="004F0B8B">
        <w:rPr>
          <w:sz w:val="24"/>
          <w:lang w:val="sk-SK"/>
        </w:rPr>
        <w:t xml:space="preserve"> </w:t>
      </w:r>
      <w:r w:rsidRPr="00784CAC">
        <w:rPr>
          <w:sz w:val="24"/>
          <w:lang w:val="sk-SK"/>
        </w:rPr>
        <w:t xml:space="preserve">15.12.2020, s. 1, ELI: </w:t>
      </w:r>
      <w:r w:rsidR="00B8786E">
        <w:fldChar w:fldCharType="begin"/>
      </w:r>
      <w:r w:rsidR="00B8786E" w:rsidRPr="00B8786E">
        <w:rPr>
          <w:lang w:val="fi-FI"/>
        </w:rPr>
        <w:instrText>HYPERLINK "http://data.europa.eu/eli/dec/2020/2053/oj"</w:instrText>
      </w:r>
      <w:r w:rsidR="00B8786E">
        <w:fldChar w:fldCharType="separate"/>
      </w:r>
      <w:r w:rsidRPr="00784CAC">
        <w:rPr>
          <w:rStyle w:val="Hyperlink"/>
          <w:sz w:val="24"/>
          <w:lang w:val="sk-SK"/>
        </w:rPr>
        <w:t>http://data.europa.eu/eli/dec/2020/2053/oj</w:t>
      </w:r>
      <w:r w:rsidR="00B8786E">
        <w:rPr>
          <w:rStyle w:val="Hyperlink"/>
          <w:sz w:val="24"/>
          <w:lang w:val="sk-SK"/>
        </w:rPr>
        <w:fldChar w:fldCharType="end"/>
      </w:r>
      <w:r w:rsidRPr="00784CA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38DB7" w14:textId="77777777" w:rsidR="00064002" w:rsidRPr="00784C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DE14" w14:textId="77777777" w:rsidR="00064002" w:rsidRPr="00784C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D614" w14:textId="77777777" w:rsidR="00064002" w:rsidRPr="00784C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2024898">
    <w:abstractNumId w:val="9"/>
  </w:num>
  <w:num w:numId="2" w16cid:durableId="1599630088">
    <w:abstractNumId w:val="9"/>
  </w:num>
  <w:num w:numId="3" w16cid:durableId="1835026333">
    <w:abstractNumId w:val="7"/>
  </w:num>
  <w:num w:numId="4" w16cid:durableId="915044615">
    <w:abstractNumId w:val="7"/>
  </w:num>
  <w:num w:numId="5" w16cid:durableId="2109806638">
    <w:abstractNumId w:val="6"/>
  </w:num>
  <w:num w:numId="6" w16cid:durableId="2020155031">
    <w:abstractNumId w:val="6"/>
  </w:num>
  <w:num w:numId="7" w16cid:durableId="1550916504">
    <w:abstractNumId w:val="5"/>
  </w:num>
  <w:num w:numId="8" w16cid:durableId="1947620283">
    <w:abstractNumId w:val="5"/>
  </w:num>
  <w:num w:numId="9" w16cid:durableId="34352929">
    <w:abstractNumId w:val="4"/>
  </w:num>
  <w:num w:numId="10" w16cid:durableId="2067951752">
    <w:abstractNumId w:val="4"/>
  </w:num>
  <w:num w:numId="11" w16cid:durableId="2119326320">
    <w:abstractNumId w:val="8"/>
  </w:num>
  <w:num w:numId="12" w16cid:durableId="688875390">
    <w:abstractNumId w:val="8"/>
  </w:num>
  <w:num w:numId="13" w16cid:durableId="498421660">
    <w:abstractNumId w:val="3"/>
  </w:num>
  <w:num w:numId="14" w16cid:durableId="1580553430">
    <w:abstractNumId w:val="3"/>
  </w:num>
  <w:num w:numId="15" w16cid:durableId="1494024470">
    <w:abstractNumId w:val="2"/>
  </w:num>
  <w:num w:numId="16" w16cid:durableId="1137912646">
    <w:abstractNumId w:val="2"/>
  </w:num>
  <w:num w:numId="17" w16cid:durableId="1134521136">
    <w:abstractNumId w:val="1"/>
  </w:num>
  <w:num w:numId="18" w16cid:durableId="1197501680">
    <w:abstractNumId w:val="1"/>
  </w:num>
  <w:num w:numId="19" w16cid:durableId="153302874">
    <w:abstractNumId w:val="0"/>
  </w:num>
  <w:num w:numId="20" w16cid:durableId="1072242921">
    <w:abstractNumId w:val="0"/>
  </w:num>
  <w:num w:numId="21" w16cid:durableId="493840113">
    <w:abstractNumId w:val="9"/>
  </w:num>
  <w:num w:numId="22" w16cid:durableId="214053037">
    <w:abstractNumId w:val="7"/>
  </w:num>
  <w:num w:numId="23" w16cid:durableId="1572690151">
    <w:abstractNumId w:val="6"/>
  </w:num>
  <w:num w:numId="24" w16cid:durableId="1476219539">
    <w:abstractNumId w:val="5"/>
  </w:num>
  <w:num w:numId="25" w16cid:durableId="107160026">
    <w:abstractNumId w:val="4"/>
  </w:num>
  <w:num w:numId="26" w16cid:durableId="485319296">
    <w:abstractNumId w:val="8"/>
  </w:num>
  <w:num w:numId="27" w16cid:durableId="293144508">
    <w:abstractNumId w:val="3"/>
  </w:num>
  <w:num w:numId="28" w16cid:durableId="1162546474">
    <w:abstractNumId w:val="2"/>
  </w:num>
  <w:num w:numId="29" w16cid:durableId="2129201391">
    <w:abstractNumId w:val="1"/>
  </w:num>
  <w:num w:numId="30" w16cid:durableId="837230318">
    <w:abstractNumId w:val="0"/>
  </w:num>
  <w:num w:numId="31" w16cid:durableId="729156056">
    <w:abstractNumId w:val="9"/>
  </w:num>
  <w:num w:numId="32" w16cid:durableId="15470656">
    <w:abstractNumId w:val="7"/>
  </w:num>
  <w:num w:numId="33" w16cid:durableId="591666107">
    <w:abstractNumId w:val="6"/>
  </w:num>
  <w:num w:numId="34" w16cid:durableId="763040625">
    <w:abstractNumId w:val="5"/>
  </w:num>
  <w:num w:numId="35" w16cid:durableId="810949338">
    <w:abstractNumId w:val="4"/>
  </w:num>
  <w:num w:numId="36" w16cid:durableId="1971085594">
    <w:abstractNumId w:val="8"/>
  </w:num>
  <w:num w:numId="37" w16cid:durableId="1874227680">
    <w:abstractNumId w:val="3"/>
  </w:num>
  <w:num w:numId="38" w16cid:durableId="1218859587">
    <w:abstractNumId w:val="2"/>
  </w:num>
  <w:num w:numId="39" w16cid:durableId="1449353415">
    <w:abstractNumId w:val="1"/>
  </w:num>
  <w:num w:numId="40" w16cid:durableId="1549297360">
    <w:abstractNumId w:val="0"/>
  </w:num>
  <w:num w:numId="41" w16cid:durableId="494807383">
    <w:abstractNumId w:val="10"/>
  </w:num>
  <w:num w:numId="42" w16cid:durableId="1409762752">
    <w:abstractNumId w:val="10"/>
  </w:num>
  <w:num w:numId="43" w16cid:durableId="1092626043">
    <w:abstractNumId w:val="10"/>
  </w:num>
  <w:num w:numId="44" w16cid:durableId="814419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6/2025"/>
    <w:docVar w:name="dvlangue" w:val="SK"/>
    <w:docVar w:name="dvnumam" w:val="0"/>
    <w:docVar w:name="dvpe" w:val="773.098"/>
    <w:docVar w:name="dvrapporteur" w:val="Spravodajca: "/>
    <w:docVar w:name="dvtitre" w:val="Uznesenie Európskeho parlamentu z xx. júla 2025 o pozícii Rady k návrhu opravného rozpočtu Európskej únie č. 1/2025 na rozpočtový rok 2025 – zahrnutie prebytku z rozpočtového roka 2024(09619/2025 – C10-0125/2025 – 2025/0091(BUD))"/>
  </w:docVars>
  <w:rsids>
    <w:rsidRoot w:val="00851585"/>
    <w:rsid w:val="00002272"/>
    <w:rsid w:val="00064002"/>
    <w:rsid w:val="000677B9"/>
    <w:rsid w:val="000831BA"/>
    <w:rsid w:val="000A42CC"/>
    <w:rsid w:val="000B390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B8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CAC"/>
    <w:rsid w:val="00786EC0"/>
    <w:rsid w:val="0079104C"/>
    <w:rsid w:val="007A7AD9"/>
    <w:rsid w:val="007D1690"/>
    <w:rsid w:val="007E22AD"/>
    <w:rsid w:val="00817416"/>
    <w:rsid w:val="00842779"/>
    <w:rsid w:val="00851585"/>
    <w:rsid w:val="00865F67"/>
    <w:rsid w:val="00881A7B"/>
    <w:rsid w:val="008840E5"/>
    <w:rsid w:val="00887B3E"/>
    <w:rsid w:val="008C2AC6"/>
    <w:rsid w:val="00910F69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267"/>
    <w:rsid w:val="00B558F0"/>
    <w:rsid w:val="00B878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DF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9A285"/>
  <w15:chartTrackingRefBased/>
  <w15:docId w15:val="{519B6C7E-7AE8-4050-87F3-2D3F2ACD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390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B390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B390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B3903"/>
    <w:rPr>
      <w:sz w:val="24"/>
      <w:lang w:val="sk-SK"/>
    </w:rPr>
  </w:style>
  <w:style w:type="paragraph" w:styleId="Revision">
    <w:name w:val="Revision"/>
    <w:hidden/>
    <w:uiPriority w:val="99"/>
    <w:semiHidden/>
    <w:rsid w:val="004F0B8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6188</Characters>
  <Application>Microsoft Office Word</Application>
  <DocSecurity>0</DocSecurity>
  <Lines>137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2025-07-09T11:11:00Z</dcterms:created>
  <dcterms:modified xsi:type="dcterms:W3CDTF">2025-07-09T11:11:00Z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A10-0116/2025</vt:lpwstr>
  </property>
  <property fmtid="{D5CDD505-2E9C-101B-9397-08002B2CF9AE}" pid="4" name="&lt;Type&gt;">
    <vt:lpwstr>RR</vt:lpwstr>
  </property>
</Properties>
</file>