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44BA" w14:paraId="3503F746" w14:textId="77777777" w:rsidTr="0010095E">
        <w:trPr>
          <w:trHeight w:hRule="exact" w:val="1418"/>
        </w:trPr>
        <w:tc>
          <w:tcPr>
            <w:tcW w:w="6804" w:type="dxa"/>
            <w:shd w:val="clear" w:color="auto" w:fill="auto"/>
            <w:vAlign w:val="center"/>
          </w:tcPr>
          <w:p w14:paraId="2D7430F0" w14:textId="77777777" w:rsidR="00751A4A" w:rsidRPr="009444BA" w:rsidRDefault="006C3047" w:rsidP="0010095E">
            <w:pPr>
              <w:pStyle w:val="EPName"/>
            </w:pPr>
            <w:r w:rsidRPr="009444BA">
              <w:t>Evropski parlament</w:t>
            </w:r>
          </w:p>
          <w:p w14:paraId="5D86382F" w14:textId="77777777" w:rsidR="00751A4A" w:rsidRPr="009444BA" w:rsidRDefault="005F1B17" w:rsidP="005F1B17">
            <w:pPr>
              <w:pStyle w:val="EPTerm"/>
              <w:rPr>
                <w:rStyle w:val="HideTWBExt"/>
                <w:noProof w:val="0"/>
                <w:vanish w:val="0"/>
                <w:color w:val="auto"/>
              </w:rPr>
            </w:pPr>
            <w:r w:rsidRPr="009444BA">
              <w:t>2024</w:t>
            </w:r>
            <w:r w:rsidR="00817416" w:rsidRPr="009444BA">
              <w:t>-202</w:t>
            </w:r>
            <w:r w:rsidRPr="009444BA">
              <w:t>9</w:t>
            </w:r>
          </w:p>
        </w:tc>
        <w:tc>
          <w:tcPr>
            <w:tcW w:w="2268" w:type="dxa"/>
            <w:shd w:val="clear" w:color="auto" w:fill="auto"/>
          </w:tcPr>
          <w:p w14:paraId="01264A7B" w14:textId="77777777" w:rsidR="00751A4A" w:rsidRPr="009444BA" w:rsidRDefault="00187494" w:rsidP="0010095E">
            <w:pPr>
              <w:pStyle w:val="EPLogo"/>
            </w:pPr>
            <w:r w:rsidRPr="009444BA">
              <w:rPr>
                <w:noProof/>
                <w:lang w:val="en-GB"/>
              </w:rPr>
              <w:drawing>
                <wp:inline distT="0" distB="0" distL="0" distR="0" wp14:anchorId="0EF298F5" wp14:editId="0BE2AB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3200CF" w14:textId="77777777" w:rsidR="00D058B8" w:rsidRPr="009444BA" w:rsidRDefault="00D058B8" w:rsidP="004C5D52">
      <w:pPr>
        <w:pStyle w:val="LineTop"/>
      </w:pPr>
    </w:p>
    <w:p w14:paraId="3D55FC60" w14:textId="77777777" w:rsidR="00680577" w:rsidRPr="009444BA" w:rsidRDefault="006C3047" w:rsidP="00680577">
      <w:pPr>
        <w:pStyle w:val="EPBodyTA1"/>
      </w:pPr>
      <w:r w:rsidRPr="009444BA">
        <w:t>SPREJETA BESEDILA</w:t>
      </w:r>
    </w:p>
    <w:p w14:paraId="26BFB1CA" w14:textId="77777777" w:rsidR="00D058B8" w:rsidRPr="009444BA" w:rsidRDefault="00D058B8" w:rsidP="00D058B8">
      <w:pPr>
        <w:pStyle w:val="LineBottom"/>
      </w:pPr>
    </w:p>
    <w:p w14:paraId="23144DBA" w14:textId="4DEF86B4" w:rsidR="006C3047" w:rsidRPr="009444BA" w:rsidRDefault="006C3047" w:rsidP="006C3047">
      <w:pPr>
        <w:pStyle w:val="ATHeading1"/>
      </w:pPr>
      <w:bookmarkStart w:id="0" w:name="TANumber"/>
      <w:r w:rsidRPr="009444BA">
        <w:t>P10_TA(2025)</w:t>
      </w:r>
      <w:bookmarkEnd w:id="0"/>
      <w:r w:rsidR="006E2F22">
        <w:t>015</w:t>
      </w:r>
      <w:r w:rsidR="00D12A8E">
        <w:t>1</w:t>
      </w:r>
    </w:p>
    <w:p w14:paraId="5CF6AD03" w14:textId="32A9646B" w:rsidR="006C3047" w:rsidRPr="009444BA" w:rsidRDefault="00415850" w:rsidP="006C3047">
      <w:pPr>
        <w:pStyle w:val="ATHeading2"/>
      </w:pPr>
      <w:bookmarkStart w:id="1" w:name="title"/>
      <w:r w:rsidRPr="00415850">
        <w:t>Predlog spremembe proračuna št. 1/2025: vključitev presežka iz proračunskega leta 2024</w:t>
      </w:r>
      <w:bookmarkEnd w:id="1"/>
    </w:p>
    <w:p w14:paraId="7E584120" w14:textId="77777777" w:rsidR="006C3047" w:rsidRPr="009444BA" w:rsidRDefault="006C3047" w:rsidP="006C3047">
      <w:pPr>
        <w:rPr>
          <w:i/>
          <w:vanish/>
        </w:rPr>
      </w:pPr>
      <w:r w:rsidRPr="009444BA">
        <w:rPr>
          <w:i/>
        </w:rPr>
        <w:fldChar w:fldCharType="begin"/>
      </w:r>
      <w:r w:rsidRPr="009444BA">
        <w:rPr>
          <w:i/>
        </w:rPr>
        <w:instrText xml:space="preserve"> TC"(</w:instrText>
      </w:r>
      <w:bookmarkStart w:id="2" w:name="DocNumber"/>
      <w:r w:rsidRPr="009444BA">
        <w:rPr>
          <w:i/>
        </w:rPr>
        <w:instrText>A10-0116/2025</w:instrText>
      </w:r>
      <w:bookmarkEnd w:id="2"/>
      <w:r w:rsidRPr="009444BA">
        <w:rPr>
          <w:i/>
        </w:rPr>
        <w:instrText xml:space="preserve"> - Poročevalec: Victor </w:instrText>
      </w:r>
      <w:proofErr w:type="spellStart"/>
      <w:r w:rsidRPr="009444BA">
        <w:rPr>
          <w:i/>
        </w:rPr>
        <w:instrText>Negrescu</w:instrText>
      </w:r>
      <w:proofErr w:type="spellEnd"/>
      <w:r w:rsidRPr="009444BA">
        <w:rPr>
          <w:i/>
        </w:rPr>
        <w:instrText xml:space="preserve">)"\l3 \n&gt; \* MERGEFORMAT </w:instrText>
      </w:r>
      <w:r w:rsidRPr="009444BA">
        <w:rPr>
          <w:i/>
        </w:rPr>
        <w:fldChar w:fldCharType="end"/>
      </w:r>
    </w:p>
    <w:p w14:paraId="1AC75E31" w14:textId="77777777" w:rsidR="006C3047" w:rsidRPr="009444BA" w:rsidRDefault="006C3047" w:rsidP="006C3047">
      <w:pPr>
        <w:rPr>
          <w:vanish/>
        </w:rPr>
      </w:pPr>
      <w:bookmarkStart w:id="3" w:name="Commission"/>
      <w:r w:rsidRPr="009444BA">
        <w:rPr>
          <w:vanish/>
        </w:rPr>
        <w:t>Odbor za proračun</w:t>
      </w:r>
      <w:bookmarkEnd w:id="3"/>
    </w:p>
    <w:p w14:paraId="6D753120" w14:textId="77777777" w:rsidR="006C3047" w:rsidRPr="009444BA" w:rsidRDefault="006C3047" w:rsidP="006C3047">
      <w:pPr>
        <w:rPr>
          <w:vanish/>
        </w:rPr>
      </w:pPr>
      <w:bookmarkStart w:id="4" w:name="PE"/>
      <w:r w:rsidRPr="009444BA">
        <w:rPr>
          <w:vanish/>
        </w:rPr>
        <w:t>PE773.098</w:t>
      </w:r>
      <w:bookmarkEnd w:id="4"/>
    </w:p>
    <w:p w14:paraId="43EA82B9" w14:textId="79A29EF0" w:rsidR="006C3047" w:rsidRPr="009444BA" w:rsidRDefault="00C64D69" w:rsidP="006C3047">
      <w:pPr>
        <w:pStyle w:val="ATHeading3"/>
      </w:pPr>
      <w:bookmarkStart w:id="5" w:name="Sujet"/>
      <w:r>
        <w:t>R</w:t>
      </w:r>
      <w:r w:rsidR="006C3047" w:rsidRPr="009444BA">
        <w:t xml:space="preserve">esolucija Evropskega parlamenta z dne </w:t>
      </w:r>
      <w:r>
        <w:t>9. julija</w:t>
      </w:r>
      <w:r w:rsidR="006C3047" w:rsidRPr="009444BA">
        <w:t xml:space="preserve"> 2025 o stališču Sveta o predlogu spremembe proračuna </w:t>
      </w:r>
      <w:r w:rsidR="0096433B" w:rsidRPr="00415850">
        <w:t>št. 1</w:t>
      </w:r>
      <w:r w:rsidR="0096433B">
        <w:t xml:space="preserve"> k splošnemu proračunu za </w:t>
      </w:r>
      <w:r w:rsidR="006C3047" w:rsidRPr="009444BA">
        <w:t>leto 2025</w:t>
      </w:r>
      <w:r w:rsidR="0096433B">
        <w:t>:</w:t>
      </w:r>
      <w:r w:rsidR="006C3047" w:rsidRPr="009444BA">
        <w:t xml:space="preserve"> vključitev presežka iz proračunskega leta 2024</w:t>
      </w:r>
      <w:bookmarkEnd w:id="5"/>
      <w:r w:rsidR="0096433B">
        <w:t xml:space="preserve"> v proračun</w:t>
      </w:r>
      <w:r w:rsidR="006C3047" w:rsidRPr="009444BA">
        <w:t xml:space="preserve"> </w:t>
      </w:r>
      <w:bookmarkStart w:id="6" w:name="References"/>
      <w:r w:rsidR="006C3047" w:rsidRPr="009444BA">
        <w:t>(09619/2025 – C10-0125/2025 – 2025/0091(BUD))</w:t>
      </w:r>
      <w:bookmarkEnd w:id="6"/>
    </w:p>
    <w:p w14:paraId="16A5D4D7" w14:textId="77777777" w:rsidR="001C2BD1" w:rsidRPr="009444BA" w:rsidRDefault="001C2BD1" w:rsidP="001C2BD1">
      <w:pPr>
        <w:pStyle w:val="EPComma"/>
      </w:pPr>
      <w:bookmarkStart w:id="7" w:name="TextBodyBegin"/>
      <w:bookmarkEnd w:id="7"/>
      <w:r w:rsidRPr="009444BA">
        <w:rPr>
          <w:i/>
        </w:rPr>
        <w:t>Evropski parlament</w:t>
      </w:r>
      <w:r w:rsidRPr="009444BA">
        <w:t>,</w:t>
      </w:r>
    </w:p>
    <w:p w14:paraId="72E30994" w14:textId="77777777" w:rsidR="001C2BD1" w:rsidRPr="009444BA" w:rsidRDefault="001C2BD1" w:rsidP="001C2BD1">
      <w:pPr>
        <w:pStyle w:val="NormalHanging12a"/>
      </w:pPr>
      <w:r w:rsidRPr="009444BA">
        <w:t>–</w:t>
      </w:r>
      <w:r w:rsidRPr="009444BA">
        <w:tab/>
        <w:t>ob upoštevanju člena 314 Pogodbe o delovanju Evropske unije,</w:t>
      </w:r>
    </w:p>
    <w:p w14:paraId="0AF36BEE" w14:textId="77777777" w:rsidR="001C2BD1" w:rsidRPr="009444BA" w:rsidRDefault="001C2BD1" w:rsidP="001C2BD1">
      <w:pPr>
        <w:pStyle w:val="NormalHanging12a"/>
      </w:pPr>
      <w:r w:rsidRPr="009444BA">
        <w:t>–</w:t>
      </w:r>
      <w:r w:rsidRPr="009444BA">
        <w:tab/>
        <w:t>ob upoštevanju člena 106a Pogodbe o ustanovitvi Evropske skupnosti za atomsko energijo,</w:t>
      </w:r>
    </w:p>
    <w:p w14:paraId="378031FF" w14:textId="77777777" w:rsidR="001C2BD1" w:rsidRPr="009444BA" w:rsidRDefault="001C2BD1" w:rsidP="001C2BD1">
      <w:pPr>
        <w:pStyle w:val="NormalHanging12a"/>
      </w:pPr>
      <w:r w:rsidRPr="009444BA">
        <w:t>–</w:t>
      </w:r>
      <w:r w:rsidRPr="009444BA">
        <w:tab/>
        <w:t xml:space="preserve">ob upoštevanju Uredbe (EU, </w:t>
      </w:r>
      <w:proofErr w:type="spellStart"/>
      <w:r w:rsidRPr="009444BA">
        <w:t>Euratom</w:t>
      </w:r>
      <w:proofErr w:type="spellEnd"/>
      <w:r w:rsidRPr="009444BA">
        <w:t>) 2024/2509 Evropskega parlamenta in Sveta z dne 23. septembra 2024 o finančnih pravilih, ki se uporabljajo za splošni proračun Unije</w:t>
      </w:r>
      <w:r w:rsidRPr="009444BA">
        <w:rPr>
          <w:rStyle w:val="FootnoteReference"/>
        </w:rPr>
        <w:footnoteReference w:id="1"/>
      </w:r>
      <w:r w:rsidRPr="009444BA">
        <w:t xml:space="preserve">, </w:t>
      </w:r>
      <w:r w:rsidR="00C64D69">
        <w:t xml:space="preserve">in </w:t>
      </w:r>
      <w:r w:rsidRPr="009444BA">
        <w:t>zlasti člena 44,</w:t>
      </w:r>
    </w:p>
    <w:p w14:paraId="4C0AE7BE" w14:textId="77777777" w:rsidR="001C2BD1" w:rsidRPr="009444BA" w:rsidRDefault="001C2BD1" w:rsidP="001C2BD1">
      <w:pPr>
        <w:pStyle w:val="NormalHanging12a"/>
      </w:pPr>
      <w:r w:rsidRPr="009444BA">
        <w:t>–</w:t>
      </w:r>
      <w:r w:rsidRPr="009444BA">
        <w:tab/>
        <w:t>ob upoštevanju splošnega proračuna Evropske unije za proračunsko leto 2025, ki je bil dokončno sprejet 27. novembra 2024</w:t>
      </w:r>
      <w:r w:rsidRPr="009444BA">
        <w:rPr>
          <w:rStyle w:val="FootnoteReference"/>
        </w:rPr>
        <w:footnoteReference w:id="2"/>
      </w:r>
      <w:r w:rsidRPr="009444BA">
        <w:t>,</w:t>
      </w:r>
    </w:p>
    <w:p w14:paraId="59693146" w14:textId="77777777" w:rsidR="001C2BD1" w:rsidRPr="009444BA" w:rsidRDefault="001C2BD1" w:rsidP="001C2BD1">
      <w:pPr>
        <w:pStyle w:val="NormalHanging12a"/>
      </w:pPr>
      <w:r w:rsidRPr="009444BA">
        <w:t>–</w:t>
      </w:r>
      <w:r w:rsidRPr="009444BA">
        <w:tab/>
        <w:t xml:space="preserve">ob upoštevanju Uredbe Sveta (EU, </w:t>
      </w:r>
      <w:proofErr w:type="spellStart"/>
      <w:r w:rsidRPr="009444BA">
        <w:t>Euratom</w:t>
      </w:r>
      <w:proofErr w:type="spellEnd"/>
      <w:r w:rsidRPr="009444BA">
        <w:t>) 2020/2093 z dne 17. decembra 2020 o določitvi večletnega finančnega okvira za obdobje 2021–2027</w:t>
      </w:r>
      <w:r w:rsidRPr="009444BA">
        <w:rPr>
          <w:rStyle w:val="FootnoteReference"/>
        </w:rPr>
        <w:footnoteReference w:id="3"/>
      </w:r>
      <w:r w:rsidRPr="009444BA">
        <w:t>,</w:t>
      </w:r>
    </w:p>
    <w:p w14:paraId="33942EAF" w14:textId="77777777" w:rsidR="001C2BD1" w:rsidRPr="009444BA" w:rsidRDefault="001C2BD1" w:rsidP="001C2BD1">
      <w:pPr>
        <w:pStyle w:val="NormalHanging12a"/>
      </w:pPr>
      <w:r w:rsidRPr="009444BA">
        <w:t>–</w:t>
      </w:r>
      <w:r w:rsidRPr="009444BA">
        <w:tab/>
        <w:t xml:space="preserve">ob upoštevanju Medinstitucionalnega sporazuma z dne 16. decembra 2020 </w:t>
      </w:r>
      <w:r w:rsidR="00C64D69" w:rsidRPr="00C64D69">
        <w:t xml:space="preserve">med Evropskim parlamentom, Svetom Evropske unije in Evropsko komisijo o proračunski disciplini, sodelovanju v proračunskih zadevah in dobrem finančnem </w:t>
      </w:r>
      <w:proofErr w:type="spellStart"/>
      <w:r w:rsidR="00C64D69" w:rsidRPr="00C64D69">
        <w:t>poslovodenju</w:t>
      </w:r>
      <w:proofErr w:type="spellEnd"/>
      <w:r w:rsidR="00C64D69" w:rsidRPr="00C64D69">
        <w:t xml:space="preserve"> ter novih virih lastnih sredstev, vključno s časovnim načrtom za uvedbo novih virov lastnih sredstev</w:t>
      </w:r>
      <w:r w:rsidRPr="009444BA">
        <w:rPr>
          <w:rStyle w:val="FootnoteReference"/>
        </w:rPr>
        <w:footnoteReference w:id="4"/>
      </w:r>
      <w:r w:rsidRPr="009444BA">
        <w:t xml:space="preserve"> </w:t>
      </w:r>
      <w:r w:rsidRPr="00C64D69">
        <w:t>(v nadaljnjem besedilu: medinstitucionalni sporaz</w:t>
      </w:r>
      <w:r w:rsidRPr="00B63E95">
        <w:t>um z dne 16. decembra 2020)</w:t>
      </w:r>
      <w:r w:rsidRPr="00C64D69">
        <w:t>,</w:t>
      </w:r>
    </w:p>
    <w:p w14:paraId="56CFCAC3" w14:textId="77777777" w:rsidR="001C2BD1" w:rsidRPr="009444BA" w:rsidRDefault="001C2BD1" w:rsidP="001C2BD1">
      <w:pPr>
        <w:pStyle w:val="NormalHanging12a"/>
      </w:pPr>
      <w:r w:rsidRPr="009444BA">
        <w:lastRenderedPageBreak/>
        <w:t>–</w:t>
      </w:r>
      <w:r w:rsidRPr="009444BA">
        <w:tab/>
        <w:t xml:space="preserve">ob upoštevanju Sklepa Sveta (EU, </w:t>
      </w:r>
      <w:proofErr w:type="spellStart"/>
      <w:r w:rsidRPr="009444BA">
        <w:t>Euratom</w:t>
      </w:r>
      <w:proofErr w:type="spellEnd"/>
      <w:r w:rsidRPr="009444BA">
        <w:t xml:space="preserve">) 2020/2053 z dne 14. decembra 2020 o sistemu virov lastnih sredstev Evropske unije in razveljavitvi Sklepa 2014/335/EU, </w:t>
      </w:r>
      <w:proofErr w:type="spellStart"/>
      <w:r w:rsidRPr="009444BA">
        <w:t>Euratom</w:t>
      </w:r>
      <w:proofErr w:type="spellEnd"/>
      <w:r w:rsidRPr="009444BA">
        <w:rPr>
          <w:rStyle w:val="FootnoteReference"/>
        </w:rPr>
        <w:footnoteReference w:id="5"/>
      </w:r>
      <w:r w:rsidRPr="009444BA">
        <w:t>,</w:t>
      </w:r>
    </w:p>
    <w:p w14:paraId="7CA276D9" w14:textId="77777777" w:rsidR="001C2BD1" w:rsidRPr="009444BA" w:rsidRDefault="001C2BD1" w:rsidP="001C2BD1">
      <w:pPr>
        <w:pStyle w:val="NormalHanging12a"/>
      </w:pPr>
      <w:r w:rsidRPr="009444BA">
        <w:t>–</w:t>
      </w:r>
      <w:r w:rsidRPr="009444BA">
        <w:tab/>
        <w:t>ob upoštevanju predloga spremembe proračuna št. 1/2025, ki ga je Komisija sprejela 9. aprila 2025 (COM(2025)0350),</w:t>
      </w:r>
    </w:p>
    <w:p w14:paraId="7FB66521" w14:textId="6E136180" w:rsidR="001C2BD1" w:rsidRPr="009444BA" w:rsidRDefault="001C2BD1" w:rsidP="001C2BD1">
      <w:pPr>
        <w:pStyle w:val="NormalHanging12a"/>
      </w:pPr>
      <w:r w:rsidRPr="009444BA">
        <w:t>–</w:t>
      </w:r>
      <w:r w:rsidRPr="009444BA">
        <w:tab/>
        <w:t xml:space="preserve">ob upoštevanju stališča o predlogu spremembe proračuna št. 1/2025, ki ga je Svet sprejel 16. junija 2025 in ga 18. junija 2025 posredoval </w:t>
      </w:r>
      <w:r w:rsidR="00C64D69">
        <w:t>Evropskemu p</w:t>
      </w:r>
      <w:r w:rsidRPr="009444BA">
        <w:t>arlamentu (09619/2025 − C10-0125/2025),</w:t>
      </w:r>
    </w:p>
    <w:p w14:paraId="13529E66" w14:textId="77777777" w:rsidR="001C2BD1" w:rsidRPr="009444BA" w:rsidRDefault="001C2BD1" w:rsidP="001C2BD1">
      <w:pPr>
        <w:pStyle w:val="NormalHanging12a"/>
      </w:pPr>
      <w:r w:rsidRPr="009444BA">
        <w:t>–</w:t>
      </w:r>
      <w:r w:rsidRPr="009444BA">
        <w:tab/>
        <w:t>ob upoštevanju členov 96 in 98 Poslovnika,</w:t>
      </w:r>
    </w:p>
    <w:p w14:paraId="639368D3" w14:textId="77777777" w:rsidR="001C2BD1" w:rsidRPr="009444BA" w:rsidRDefault="001C2BD1" w:rsidP="001C2BD1">
      <w:pPr>
        <w:pStyle w:val="NormalHanging12a"/>
      </w:pPr>
      <w:r w:rsidRPr="009444BA">
        <w:t>–</w:t>
      </w:r>
      <w:r w:rsidRPr="009444BA">
        <w:tab/>
        <w:t>ob upoštevanju poročila Odbora za proračun (A10-0116/2025),</w:t>
      </w:r>
    </w:p>
    <w:p w14:paraId="29294237" w14:textId="78905572" w:rsidR="001C2BD1" w:rsidRPr="009444BA" w:rsidRDefault="001C2BD1" w:rsidP="001C2BD1">
      <w:pPr>
        <w:pStyle w:val="NormalHanging12a"/>
      </w:pPr>
      <w:r w:rsidRPr="009444BA">
        <w:t>A.</w:t>
      </w:r>
      <w:r w:rsidRPr="009444BA">
        <w:tab/>
      </w:r>
      <w:r w:rsidRPr="009444BA">
        <w:rPr>
          <w:color w:val="000000"/>
        </w:rPr>
        <w:t>ker je predlog spremembe proračuna št. 1/2025 namenjen temu, da se v proračun za leto 2025 vključi presežek iz proračunskega leta 2024, ki znaša 1</w:t>
      </w:r>
      <w:r w:rsidR="00C64D69">
        <w:rPr>
          <w:color w:val="000000"/>
        </w:rPr>
        <w:t> </w:t>
      </w:r>
      <w:r w:rsidRPr="009444BA">
        <w:rPr>
          <w:color w:val="000000"/>
        </w:rPr>
        <w:t>345 milijonov EUR;</w:t>
      </w:r>
    </w:p>
    <w:p w14:paraId="2EDE1079" w14:textId="0AE60841" w:rsidR="001C2BD1" w:rsidRPr="009444BA" w:rsidRDefault="001C2BD1" w:rsidP="001C2BD1">
      <w:pPr>
        <w:pStyle w:val="NormalHanging12a"/>
      </w:pPr>
      <w:r w:rsidRPr="009444BA">
        <w:t>B.</w:t>
      </w:r>
      <w:r w:rsidRPr="009444BA">
        <w:tab/>
      </w:r>
      <w:r w:rsidRPr="009444BA">
        <w:rPr>
          <w:color w:val="000000"/>
        </w:rPr>
        <w:t>ker glavnino presežka sestavljajo pozitivna realizacija pri prihodkih v višini 1</w:t>
      </w:r>
      <w:r w:rsidR="002C10CA">
        <w:rPr>
          <w:color w:val="000000"/>
        </w:rPr>
        <w:t> </w:t>
      </w:r>
      <w:r w:rsidRPr="009444BA">
        <w:rPr>
          <w:color w:val="000000"/>
        </w:rPr>
        <w:t>072 milijonov EUR in neporabljena sredstva v višini 272,5 milijona EUR;</w:t>
      </w:r>
    </w:p>
    <w:p w14:paraId="182AB94B" w14:textId="1FF7CABF" w:rsidR="001C2BD1" w:rsidRPr="009444BA" w:rsidRDefault="001C2BD1" w:rsidP="001C2BD1">
      <w:pPr>
        <w:pStyle w:val="NormalHanging12a"/>
      </w:pPr>
      <w:r w:rsidRPr="009444BA">
        <w:t>C.</w:t>
      </w:r>
      <w:r w:rsidRPr="009444BA">
        <w:tab/>
      </w:r>
      <w:r w:rsidRPr="009444BA">
        <w:rPr>
          <w:color w:val="000000"/>
        </w:rPr>
        <w:t>ker je presežek na strani prihodkov predvsem posledica finančnih prihodkov, zamudnih obresti in glob v višini 1</w:t>
      </w:r>
      <w:r w:rsidR="002C10CA">
        <w:rPr>
          <w:color w:val="000000"/>
        </w:rPr>
        <w:t> </w:t>
      </w:r>
      <w:r w:rsidRPr="009444BA">
        <w:rPr>
          <w:color w:val="000000"/>
        </w:rPr>
        <w:t>211 milijonov EUR; ker je realizacija lastnih sredstev iz naslova 1 še vedno zelo blizu zneskom, predvidenim v proračunu za leto 2024 (vključno s spremembami proračuna št. 1–5);</w:t>
      </w:r>
    </w:p>
    <w:p w14:paraId="3A1322BA" w14:textId="77777777" w:rsidR="001C2BD1" w:rsidRPr="009444BA" w:rsidRDefault="001C2BD1" w:rsidP="001C2BD1">
      <w:pPr>
        <w:pStyle w:val="NormalHanging12a"/>
      </w:pPr>
      <w:r w:rsidRPr="009444BA">
        <w:t>D.</w:t>
      </w:r>
      <w:r w:rsidRPr="009444BA">
        <w:tab/>
      </w:r>
      <w:r w:rsidRPr="009444BA">
        <w:rPr>
          <w:color w:val="000000"/>
        </w:rPr>
        <w:t>ker je na strani odhodkov nezadostno izvrševanje plačil vseh institucij, vključno z razveljavitvijo prenesenih odobritev, znašalo 273 milijonov EUR (kar ustreza 0,02 % odobrenih odobritev plačil);</w:t>
      </w:r>
    </w:p>
    <w:p w14:paraId="0B28010E" w14:textId="542AF09F" w:rsidR="001C2BD1" w:rsidRPr="009444BA" w:rsidRDefault="001C2BD1" w:rsidP="001C2BD1">
      <w:pPr>
        <w:pStyle w:val="NormalHanging12a"/>
        <w:ind w:hanging="570"/>
      </w:pPr>
      <w:r w:rsidRPr="009444BA">
        <w:t>1.</w:t>
      </w:r>
      <w:r w:rsidRPr="009444BA">
        <w:tab/>
      </w:r>
      <w:r w:rsidRPr="009444BA">
        <w:rPr>
          <w:color w:val="000000"/>
        </w:rPr>
        <w:t>je seznanjen s predlogom spremembe proračuna</w:t>
      </w:r>
      <w:r w:rsidR="00ED15C5">
        <w:rPr>
          <w:color w:val="000000"/>
        </w:rPr>
        <w:t xml:space="preserve"> št.</w:t>
      </w:r>
      <w:r w:rsidRPr="009444BA">
        <w:rPr>
          <w:color w:val="000000"/>
        </w:rPr>
        <w:t xml:space="preserve"> 1/2025, kot ga je predložila Komisija, ki je namenjen vključitvi presežka iz leta 2024 v višini 1</w:t>
      </w:r>
      <w:r w:rsidR="00C64D69">
        <w:rPr>
          <w:color w:val="000000"/>
        </w:rPr>
        <w:t> </w:t>
      </w:r>
      <w:r w:rsidRPr="009444BA">
        <w:rPr>
          <w:color w:val="000000"/>
        </w:rPr>
        <w:t>345 milijonov EUR v proračun v skladu s členom 18(3) finančne uredbe;</w:t>
      </w:r>
      <w:sdt>
        <w:sdtPr>
          <w:tag w:val="goog_rdk_0"/>
          <w:id w:val="1937094721"/>
        </w:sdtPr>
        <w:sdtEndPr/>
        <w:sdtContent/>
      </w:sdt>
    </w:p>
    <w:p w14:paraId="18BD3481" w14:textId="77777777" w:rsidR="001C2BD1" w:rsidRPr="009444BA" w:rsidRDefault="001C2BD1" w:rsidP="001C2BD1">
      <w:pPr>
        <w:pStyle w:val="NormalHanging12a"/>
        <w:ind w:hanging="570"/>
      </w:pPr>
      <w:r w:rsidRPr="009444BA">
        <w:t>2.</w:t>
      </w:r>
      <w:r w:rsidRPr="009444BA">
        <w:tab/>
      </w:r>
      <w:r w:rsidRPr="009444BA">
        <w:rPr>
          <w:color w:val="000000"/>
        </w:rPr>
        <w:t xml:space="preserve">pozdravlja, da je glavni razlog za presežek za leto 2024 povečanje spremembe v naslovu 4 (Finančni prihodki, zamudne obresti in globe), medtem ko je presežek odhodkov še vedno zelo skromen in znaša 273 milijonov EUR; </w:t>
      </w:r>
    </w:p>
    <w:p w14:paraId="2D93F81B" w14:textId="77777777" w:rsidR="001C2BD1" w:rsidRPr="009444BA" w:rsidRDefault="001C2BD1" w:rsidP="001C2BD1">
      <w:pPr>
        <w:spacing w:after="240"/>
        <w:ind w:left="567" w:hanging="567"/>
        <w:rPr>
          <w:color w:val="000000"/>
        </w:rPr>
      </w:pPr>
      <w:r w:rsidRPr="009444BA">
        <w:rPr>
          <w:color w:val="000000"/>
        </w:rPr>
        <w:t>3.</w:t>
      </w:r>
      <w:r w:rsidRPr="009444BA">
        <w:rPr>
          <w:color w:val="000000"/>
        </w:rPr>
        <w:tab/>
        <w:t xml:space="preserve">obžaluje, da se z vključitvijo presežka v proračun za sorazmeren znesek zmanjša skupni prispevek držav članic iz lastnih sredstev iz naslova BND k financiranju proračuna za leto 2025; poudarja, da bi moral proračun v času, ko so potrebe po financiranju še vedno velike, zlasti za presežne stroške Instrumenta Evropske unije za okrevanje, in je manevrski prostor v proračunu Unije še vedno zelo omejen, ohraniti zadostno raven prožnosti, da bi bila Unija kos nepredvidenim dogodkom in novim prednostnim nalogam; poudarja, da je prožnost proračuna Unije eno od ključnih vprašanj, ki jih je treba načeti v pogajanjih o večletnem finančnem okviru za obdobje po letu 2027; </w:t>
      </w:r>
    </w:p>
    <w:p w14:paraId="20A1E2FA" w14:textId="77777777" w:rsidR="001C2BD1" w:rsidRPr="009444BA" w:rsidRDefault="001C2BD1" w:rsidP="001C2BD1">
      <w:pPr>
        <w:spacing w:after="240"/>
        <w:ind w:left="567" w:hanging="567"/>
        <w:rPr>
          <w:color w:val="000000"/>
        </w:rPr>
      </w:pPr>
      <w:r w:rsidRPr="009444BA">
        <w:rPr>
          <w:color w:val="000000"/>
        </w:rPr>
        <w:t>4.</w:t>
      </w:r>
      <w:r w:rsidRPr="009444BA">
        <w:rPr>
          <w:color w:val="000000"/>
        </w:rPr>
        <w:tab/>
      </w:r>
      <w:r w:rsidRPr="009444BA">
        <w:t xml:space="preserve">prav tako poziva Komisijo, naj za naslednji večletni finančni okvir oblikuje trdno in trajno strukturo, ki bo omogočala trajnostno upravljanje vseh </w:t>
      </w:r>
      <w:proofErr w:type="spellStart"/>
      <w:r w:rsidRPr="009444BA">
        <w:t>nediskrecijskih</w:t>
      </w:r>
      <w:proofErr w:type="spellEnd"/>
      <w:r w:rsidRPr="009444BA">
        <w:t xml:space="preserve"> stroškov in obveznosti, pri čemer naj v celoti ohrani programe Unije ter prožnost proračuna in </w:t>
      </w:r>
      <w:r w:rsidRPr="009444BA">
        <w:lastRenderedPageBreak/>
        <w:t>zmogljivost odzivanja, zlasti v zvezi z naravnimi nesrečami in izrednimi zdravstvenimi razmerami, da bo lahko v celoti izvajala strategijo pripravljenosti Unije;</w:t>
      </w:r>
      <w:r w:rsidRPr="009444BA">
        <w:rPr>
          <w:color w:val="000000"/>
        </w:rPr>
        <w:t xml:space="preserve"> </w:t>
      </w:r>
    </w:p>
    <w:p w14:paraId="7D8D4903" w14:textId="77777777" w:rsidR="001C2BD1" w:rsidRPr="009444BA" w:rsidRDefault="001C2BD1" w:rsidP="001C2BD1">
      <w:pPr>
        <w:pStyle w:val="NormalHanging12a"/>
      </w:pPr>
      <w:r w:rsidRPr="009444BA">
        <w:t>5.</w:t>
      </w:r>
      <w:r w:rsidRPr="009444BA">
        <w:tab/>
      </w:r>
      <w:r w:rsidRPr="009444BA">
        <w:rPr>
          <w:color w:val="000000"/>
        </w:rPr>
        <w:t>želi spomniti na svoje dolgoletno stališče, da bi bilo treba nepričakovane prihodke, ki izhajajo iz glob in pristojbin ali njihovih enakovrednih zneskov, uporabiti kot dodatne prihodke za proračun Unije za odzivanje na krize ali nepričakovane potrebe in da se zaradi teh prihodkov ne bi smeli zmanjšati prispevki iz naslova BND;</w:t>
      </w:r>
    </w:p>
    <w:p w14:paraId="30370123" w14:textId="77777777" w:rsidR="001C2BD1" w:rsidRPr="009444BA" w:rsidRDefault="001C2BD1" w:rsidP="001C2BD1">
      <w:pPr>
        <w:pStyle w:val="NormalHanging12a"/>
        <w:ind w:hanging="570"/>
      </w:pPr>
      <w:r w:rsidRPr="009444BA">
        <w:t>6.</w:t>
      </w:r>
      <w:r w:rsidRPr="009444BA">
        <w:tab/>
        <w:t>ugotavlja, da je je postavka prihodkov na podlagi novega člena 425 v znesku 534 milijonov EUR negativna, in pozdravlja to metodo, po kateri se v proračun vključijo stroški, ki izhajajo iz plačil na podlagi sporazuma o poravnavi in zajemajo kompenzacijske obresti in nadomestilo zamudnih obresti, povezane z vračilom razveljavljenih ali znižanih glob zaradi kršitev pravil konkurence v skladu z ustreznimi sodbami Sodišča Evropske unije; želi spomniti, da je Parlament pri pogajanjih o prenovi finančne uredbe vztrajal pri uporabi tega pristopa, saj bi alternativna rešitev pomenila dodatne odobritve za odhodke v že tako preobremenjenem razdelku 7; želi spomniti, da bo ta rešitev prenehala veljati 31. decembra 2027; poziva Komisijo, naj predlaga dokončno rešitev za naslednji večletni finančni okvir, s katero bi dosegli isti cilj, da se prepreči kakršen koli vpliv na odhodkovno stran proračuna;</w:t>
      </w:r>
    </w:p>
    <w:p w14:paraId="493357BB" w14:textId="77777777" w:rsidR="001C2BD1" w:rsidRPr="009444BA" w:rsidRDefault="001C2BD1" w:rsidP="001C2BD1">
      <w:pPr>
        <w:pStyle w:val="NormalHanging12a"/>
        <w:ind w:hanging="570"/>
        <w:rPr>
          <w:color w:val="000000"/>
        </w:rPr>
      </w:pPr>
      <w:r w:rsidRPr="009444BA">
        <w:t>7.</w:t>
      </w:r>
      <w:r w:rsidRPr="009444BA">
        <w:tab/>
      </w:r>
      <w:r w:rsidRPr="009444BA">
        <w:rPr>
          <w:color w:val="000000"/>
        </w:rPr>
        <w:t xml:space="preserve">poudarja, da proračun Unije potrebuje trajnostne prihodke; </w:t>
      </w:r>
      <w:r w:rsidRPr="009444BA">
        <w:t>zato obžaluje, da Svet ni dosegel nobenega napredka pri reformi sistema virov lastnih sredstev v skladu z duhom pravno zavezujočega časovnega načrta iz medinstitucionalnega sporazuma z dne 16. decembra 2020;</w:t>
      </w:r>
      <w:r w:rsidRPr="009444BA">
        <w:rPr>
          <w:color w:val="1E1E1F"/>
        </w:rPr>
        <w:t xml:space="preserve"> </w:t>
      </w:r>
      <w:r w:rsidRPr="009444BA">
        <w:t xml:space="preserve">želi spomniti na svoje stališče v podporo spremenjenim predlogom Komisije in poziva Svet, naj jih nujno sprejme, da bi </w:t>
      </w:r>
      <w:proofErr w:type="spellStart"/>
      <w:r w:rsidRPr="009444BA">
        <w:t>diverzificirali</w:t>
      </w:r>
      <w:proofErr w:type="spellEnd"/>
      <w:r w:rsidRPr="009444BA">
        <w:t xml:space="preserve"> in konsolidirali lastna sredstva, ki so na voljo za proračun Unije;</w:t>
      </w:r>
    </w:p>
    <w:p w14:paraId="51B98DBB" w14:textId="77777777" w:rsidR="001C2BD1" w:rsidRPr="009444BA" w:rsidRDefault="001C2BD1" w:rsidP="001C2BD1">
      <w:pPr>
        <w:pStyle w:val="NormalHanging12a"/>
        <w:ind w:hanging="570"/>
        <w:rPr>
          <w:color w:val="000000"/>
        </w:rPr>
      </w:pPr>
      <w:r w:rsidRPr="009444BA">
        <w:t>8.</w:t>
      </w:r>
      <w:r w:rsidRPr="009444BA">
        <w:tab/>
        <w:t xml:space="preserve">poleg tega poziva Komisijo, naj si še naprej prizadeva za opredelitev dodatnih inovativnih in pravih novih virov lastnih sredstev in drugih virov prihodkov poleg tistih, ki so določeni v medinstitucionalnem sporazumu z dne 16. decembra 2020; poudarja, da novi viri lastnih sredstev niso bistveni zgolj za odplačevanje posojil v okviru instrumenta </w:t>
      </w:r>
      <w:proofErr w:type="spellStart"/>
      <w:r w:rsidRPr="009444BA">
        <w:t>NextGenerationEU</w:t>
      </w:r>
      <w:proofErr w:type="spellEnd"/>
      <w:r w:rsidRPr="009444BA">
        <w:t>, temveč tudi za to, da bo Unija lahko krila večje potrebe po porabi, zlasti glede na številne izzive, s katerimi se trenutno sooča, vključno z novimi geopolitičnimi razmerami; meni, da je treba za vse nove politike in izzive Unije predvideti nova finančna sredstva in dodatne sveže vire;</w:t>
      </w:r>
    </w:p>
    <w:p w14:paraId="567F0EE2" w14:textId="77777777" w:rsidR="001C2BD1" w:rsidRPr="009444BA" w:rsidRDefault="001C2BD1" w:rsidP="001C2BD1">
      <w:pPr>
        <w:pStyle w:val="NormalHanging12a"/>
        <w:ind w:hanging="570"/>
      </w:pPr>
      <w:r w:rsidRPr="009444BA">
        <w:t>9.</w:t>
      </w:r>
      <w:r w:rsidRPr="009444BA">
        <w:tab/>
        <w:t>odobri stališče Sveta o predlogu spremembe proračuna št. 1/2025;</w:t>
      </w:r>
    </w:p>
    <w:p w14:paraId="636AC6AC" w14:textId="77777777" w:rsidR="001C2BD1" w:rsidRPr="009444BA" w:rsidRDefault="001C2BD1" w:rsidP="001C2BD1">
      <w:pPr>
        <w:pStyle w:val="NormalHanging12a"/>
        <w:ind w:hanging="570"/>
      </w:pPr>
      <w:r w:rsidRPr="009444BA">
        <w:t>10.</w:t>
      </w:r>
      <w:r w:rsidRPr="009444BA">
        <w:tab/>
        <w:t xml:space="preserve">naroči svoji predsednici, naj razglasi, da je sprememba proračuna št. 1/2025 dokončno sprejeta, in poskrbi za njeno objavo v </w:t>
      </w:r>
      <w:r w:rsidRPr="009444BA">
        <w:rPr>
          <w:i/>
          <w:iCs/>
        </w:rPr>
        <w:t>Uradnem listu Evropske unije</w:t>
      </w:r>
      <w:r w:rsidRPr="009444BA">
        <w:t>;</w:t>
      </w:r>
    </w:p>
    <w:p w14:paraId="51DC0CB4" w14:textId="2C9D7880" w:rsidR="00E365E1" w:rsidRPr="009444BA" w:rsidRDefault="001C2BD1" w:rsidP="00415850">
      <w:pPr>
        <w:pStyle w:val="NormalHanging12a"/>
        <w:ind w:hanging="570"/>
      </w:pPr>
      <w:r w:rsidRPr="009444BA">
        <w:t>11.</w:t>
      </w:r>
      <w:r w:rsidRPr="009444BA">
        <w:tab/>
        <w:t>naroči svoji predsednici, naj to resolucijo posreduje Svetu, Komisiji, drugim zadevnim institucijam in organom ter nacionalnim parlamentom.</w:t>
      </w:r>
    </w:p>
    <w:sectPr w:rsidR="00E365E1" w:rsidRPr="009444BA" w:rsidSect="009444B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C692D" w14:textId="77777777" w:rsidR="006C3047" w:rsidRPr="009444BA" w:rsidRDefault="006C3047">
      <w:r w:rsidRPr="009444BA">
        <w:separator/>
      </w:r>
    </w:p>
  </w:endnote>
  <w:endnote w:type="continuationSeparator" w:id="0">
    <w:p w14:paraId="2137020A" w14:textId="77777777" w:rsidR="006C3047" w:rsidRPr="009444BA" w:rsidRDefault="006C3047">
      <w:r w:rsidRPr="009444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FD56A" w14:textId="77777777" w:rsidR="00064002" w:rsidRPr="009444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622DF" w14:textId="77777777" w:rsidR="00064002" w:rsidRPr="009444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0C9E" w14:textId="77777777" w:rsidR="00064002" w:rsidRPr="009444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9E8CB" w14:textId="77777777" w:rsidR="006C3047" w:rsidRPr="009444BA" w:rsidRDefault="006C3047">
      <w:r w:rsidRPr="009444BA">
        <w:separator/>
      </w:r>
    </w:p>
  </w:footnote>
  <w:footnote w:type="continuationSeparator" w:id="0">
    <w:p w14:paraId="6DF97384" w14:textId="77777777" w:rsidR="006C3047" w:rsidRPr="009444BA" w:rsidRDefault="006C3047">
      <w:r w:rsidRPr="009444BA">
        <w:continuationSeparator/>
      </w:r>
    </w:p>
  </w:footnote>
  <w:footnote w:id="1">
    <w:p w14:paraId="74E81B5E" w14:textId="77777777" w:rsidR="001C2BD1" w:rsidRPr="009444BA" w:rsidRDefault="001C2BD1" w:rsidP="009444BA">
      <w:pPr>
        <w:pStyle w:val="FootnoteText"/>
        <w:ind w:left="567" w:hanging="567"/>
        <w:rPr>
          <w:sz w:val="24"/>
          <w:lang w:val="sl-SI"/>
        </w:rPr>
      </w:pPr>
      <w:r w:rsidRPr="009444BA">
        <w:rPr>
          <w:rStyle w:val="FootnoteReference"/>
          <w:sz w:val="24"/>
          <w:lang w:val="sl-SI"/>
        </w:rPr>
        <w:footnoteRef/>
      </w:r>
      <w:r w:rsidR="009444BA" w:rsidRPr="009444BA">
        <w:rPr>
          <w:sz w:val="24"/>
          <w:lang w:val="sl-SI"/>
        </w:rPr>
        <w:t xml:space="preserve"> </w:t>
      </w:r>
      <w:r w:rsidR="009444BA" w:rsidRPr="009444BA">
        <w:rPr>
          <w:sz w:val="24"/>
          <w:lang w:val="sl-SI"/>
        </w:rPr>
        <w:tab/>
      </w:r>
      <w:r w:rsidRPr="009444BA">
        <w:rPr>
          <w:sz w:val="24"/>
          <w:lang w:val="sl-SI"/>
        </w:rPr>
        <w:t xml:space="preserve">UL L, 2024/2509, 26.9.2024, </w:t>
      </w:r>
      <w:hyperlink r:id="rId1" w:history="1">
        <w:r w:rsidRPr="009444BA">
          <w:rPr>
            <w:rStyle w:val="Hyperlink"/>
            <w:sz w:val="24"/>
            <w:lang w:val="sl-SI"/>
          </w:rPr>
          <w:t>http://data.europa.eu/eli/reg/2024/2509/oj</w:t>
        </w:r>
      </w:hyperlink>
      <w:r w:rsidRPr="009444BA">
        <w:rPr>
          <w:sz w:val="24"/>
          <w:lang w:val="sl-SI"/>
        </w:rPr>
        <w:t>.</w:t>
      </w:r>
    </w:p>
  </w:footnote>
  <w:footnote w:id="2">
    <w:p w14:paraId="076EE834" w14:textId="77777777" w:rsidR="001C2BD1" w:rsidRPr="009444BA" w:rsidRDefault="001C2BD1" w:rsidP="009444BA">
      <w:pPr>
        <w:pStyle w:val="FootnoteText"/>
        <w:ind w:left="567" w:hanging="567"/>
        <w:rPr>
          <w:sz w:val="24"/>
          <w:lang w:val="sl-SI"/>
        </w:rPr>
      </w:pPr>
      <w:r w:rsidRPr="009444BA">
        <w:rPr>
          <w:rStyle w:val="FootnoteReference"/>
          <w:sz w:val="24"/>
          <w:lang w:val="sl-SI"/>
        </w:rPr>
        <w:footnoteRef/>
      </w:r>
      <w:r w:rsidR="009444BA" w:rsidRPr="009444BA">
        <w:rPr>
          <w:sz w:val="24"/>
          <w:lang w:val="sl-SI"/>
        </w:rPr>
        <w:t xml:space="preserve"> </w:t>
      </w:r>
      <w:r w:rsidR="009444BA" w:rsidRPr="009444BA">
        <w:rPr>
          <w:sz w:val="24"/>
          <w:lang w:val="sl-SI"/>
        </w:rPr>
        <w:tab/>
      </w:r>
      <w:r w:rsidRPr="009444BA">
        <w:rPr>
          <w:sz w:val="24"/>
          <w:lang w:val="sl-SI"/>
        </w:rPr>
        <w:t>UL L, 2025/31, 27.2.2025</w:t>
      </w:r>
      <w:r w:rsidRPr="009444BA">
        <w:rPr>
          <w:i/>
          <w:sz w:val="24"/>
          <w:lang w:val="sl-SI"/>
        </w:rPr>
        <w:t>,</w:t>
      </w:r>
      <w:r w:rsidRPr="009444BA">
        <w:rPr>
          <w:sz w:val="24"/>
          <w:lang w:val="sl-SI"/>
        </w:rPr>
        <w:t xml:space="preserve"> </w:t>
      </w:r>
      <w:hyperlink r:id="rId2" w:history="1">
        <w:r w:rsidRPr="009444BA">
          <w:rPr>
            <w:rStyle w:val="Hyperlink"/>
            <w:sz w:val="24"/>
            <w:lang w:val="sl-SI"/>
          </w:rPr>
          <w:t>http://data.europa.eu/eli/budget/2025/31/oj</w:t>
        </w:r>
      </w:hyperlink>
      <w:r w:rsidRPr="009444BA">
        <w:rPr>
          <w:rStyle w:val="Hyperlink"/>
          <w:sz w:val="24"/>
          <w:lang w:val="sl-SI"/>
        </w:rPr>
        <w:t>.</w:t>
      </w:r>
    </w:p>
  </w:footnote>
  <w:footnote w:id="3">
    <w:p w14:paraId="44CEBA87" w14:textId="77777777" w:rsidR="001C2BD1" w:rsidRPr="009444BA" w:rsidRDefault="001C2BD1" w:rsidP="009444BA">
      <w:pPr>
        <w:pStyle w:val="FootnoteText"/>
        <w:ind w:left="567" w:hanging="567"/>
        <w:rPr>
          <w:sz w:val="24"/>
          <w:lang w:val="sl-SI"/>
        </w:rPr>
      </w:pPr>
      <w:r w:rsidRPr="009444BA">
        <w:rPr>
          <w:rStyle w:val="FootnoteReference"/>
          <w:sz w:val="24"/>
          <w:lang w:val="sl-SI"/>
        </w:rPr>
        <w:footnoteRef/>
      </w:r>
      <w:r w:rsidR="009444BA" w:rsidRPr="009444BA">
        <w:rPr>
          <w:sz w:val="24"/>
          <w:lang w:val="sl-SI"/>
        </w:rPr>
        <w:t xml:space="preserve"> </w:t>
      </w:r>
      <w:r w:rsidR="009444BA" w:rsidRPr="009444BA">
        <w:rPr>
          <w:sz w:val="24"/>
          <w:lang w:val="sl-SI"/>
        </w:rPr>
        <w:tab/>
      </w:r>
      <w:r w:rsidRPr="009444BA">
        <w:rPr>
          <w:sz w:val="24"/>
          <w:lang w:val="sl-SI"/>
        </w:rPr>
        <w:t>UL L 433 I, 22.12.2020, str. </w:t>
      </w:r>
      <w:r w:rsidRPr="009444BA">
        <w:rPr>
          <w:sz w:val="24"/>
          <w:lang w:val="sl-SI"/>
        </w:rPr>
        <w:t xml:space="preserve">11, ELI: </w:t>
      </w:r>
      <w:hyperlink r:id="rId3" w:history="1">
        <w:r w:rsidRPr="009444BA">
          <w:rPr>
            <w:rStyle w:val="Hyperlink"/>
            <w:sz w:val="24"/>
            <w:lang w:val="sl-SI"/>
          </w:rPr>
          <w:t>http://data.europa.eu/eli/reg/2020/2093/oj</w:t>
        </w:r>
      </w:hyperlink>
      <w:r w:rsidRPr="009444BA">
        <w:rPr>
          <w:sz w:val="24"/>
          <w:lang w:val="sl-SI"/>
        </w:rPr>
        <w:t>.</w:t>
      </w:r>
    </w:p>
  </w:footnote>
  <w:footnote w:id="4">
    <w:p w14:paraId="49D6AA41" w14:textId="77777777" w:rsidR="001C2BD1" w:rsidRPr="009444BA" w:rsidRDefault="001C2BD1" w:rsidP="009444BA">
      <w:pPr>
        <w:pStyle w:val="FootnoteText"/>
        <w:ind w:left="567" w:hanging="567"/>
        <w:rPr>
          <w:sz w:val="24"/>
          <w:lang w:val="sl-SI"/>
        </w:rPr>
      </w:pPr>
      <w:r w:rsidRPr="009444BA">
        <w:rPr>
          <w:rStyle w:val="FootnoteReference"/>
          <w:sz w:val="24"/>
          <w:lang w:val="sl-SI"/>
        </w:rPr>
        <w:footnoteRef/>
      </w:r>
      <w:r w:rsidR="009444BA" w:rsidRPr="009444BA">
        <w:rPr>
          <w:sz w:val="24"/>
          <w:lang w:val="sl-SI"/>
        </w:rPr>
        <w:t xml:space="preserve"> </w:t>
      </w:r>
      <w:r w:rsidR="009444BA" w:rsidRPr="009444BA">
        <w:rPr>
          <w:sz w:val="24"/>
          <w:lang w:val="sl-SI"/>
        </w:rPr>
        <w:tab/>
      </w:r>
      <w:r w:rsidRPr="009444BA">
        <w:rPr>
          <w:sz w:val="24"/>
          <w:lang w:val="sl-SI"/>
        </w:rPr>
        <w:t>UL L 433 I, 22.12.2020, str. </w:t>
      </w:r>
      <w:r w:rsidRPr="009444BA">
        <w:rPr>
          <w:sz w:val="24"/>
          <w:lang w:val="sl-SI"/>
        </w:rPr>
        <w:t xml:space="preserve">28, ELI: </w:t>
      </w:r>
      <w:hyperlink r:id="rId4" w:history="1">
        <w:r w:rsidRPr="009444BA">
          <w:rPr>
            <w:rStyle w:val="Hyperlink"/>
            <w:sz w:val="24"/>
            <w:lang w:val="sl-SI"/>
          </w:rPr>
          <w:t>http://data.europa.eu/eli/agree_interinstit/2020/1222/oj</w:t>
        </w:r>
      </w:hyperlink>
      <w:r w:rsidRPr="009444BA">
        <w:rPr>
          <w:rStyle w:val="Hyperlink"/>
          <w:sz w:val="24"/>
          <w:lang w:val="sl-SI"/>
        </w:rPr>
        <w:t>.</w:t>
      </w:r>
    </w:p>
  </w:footnote>
  <w:footnote w:id="5">
    <w:p w14:paraId="4B4E57F4" w14:textId="77777777" w:rsidR="001C2BD1" w:rsidRPr="009444BA" w:rsidRDefault="001C2BD1" w:rsidP="009444BA">
      <w:pPr>
        <w:pStyle w:val="FootnoteText"/>
        <w:ind w:left="567" w:hanging="567"/>
        <w:rPr>
          <w:sz w:val="24"/>
          <w:lang w:val="sl-SI"/>
        </w:rPr>
      </w:pPr>
      <w:r w:rsidRPr="009444BA">
        <w:rPr>
          <w:rStyle w:val="FootnoteReference"/>
          <w:sz w:val="24"/>
          <w:lang w:val="sl-SI"/>
        </w:rPr>
        <w:footnoteRef/>
      </w:r>
      <w:r w:rsidR="009444BA" w:rsidRPr="009444BA">
        <w:rPr>
          <w:sz w:val="24"/>
          <w:lang w:val="sl-SI"/>
        </w:rPr>
        <w:t xml:space="preserve"> </w:t>
      </w:r>
      <w:r w:rsidR="009444BA" w:rsidRPr="009444BA">
        <w:rPr>
          <w:sz w:val="24"/>
          <w:lang w:val="sl-SI"/>
        </w:rPr>
        <w:tab/>
      </w:r>
      <w:r w:rsidRPr="009444BA">
        <w:rPr>
          <w:sz w:val="24"/>
          <w:lang w:val="sl-SI"/>
        </w:rPr>
        <w:t>UL L 424, 15.12.2020, str. </w:t>
      </w:r>
      <w:r w:rsidRPr="009444BA">
        <w:rPr>
          <w:sz w:val="24"/>
          <w:lang w:val="sl-SI"/>
        </w:rPr>
        <w:t xml:space="preserve">1, ELI: </w:t>
      </w:r>
      <w:hyperlink r:id="rId5" w:history="1">
        <w:r w:rsidRPr="009444BA">
          <w:rPr>
            <w:rStyle w:val="Hyperlink"/>
            <w:sz w:val="24"/>
            <w:lang w:val="sl-SI"/>
          </w:rPr>
          <w:t>http://data.europa.eu/eli/dec/2020/2053/oj</w:t>
        </w:r>
      </w:hyperlink>
      <w:r w:rsidRPr="009444B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6C8FC" w14:textId="77777777" w:rsidR="00064002" w:rsidRPr="009444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65E76" w14:textId="77777777" w:rsidR="00064002" w:rsidRPr="009444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B05FD" w14:textId="77777777" w:rsidR="00064002" w:rsidRPr="009444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9447850">
    <w:abstractNumId w:val="9"/>
  </w:num>
  <w:num w:numId="2" w16cid:durableId="2093693774">
    <w:abstractNumId w:val="9"/>
  </w:num>
  <w:num w:numId="3" w16cid:durableId="592208193">
    <w:abstractNumId w:val="7"/>
  </w:num>
  <w:num w:numId="4" w16cid:durableId="1735275078">
    <w:abstractNumId w:val="7"/>
  </w:num>
  <w:num w:numId="5" w16cid:durableId="1160465605">
    <w:abstractNumId w:val="6"/>
  </w:num>
  <w:num w:numId="6" w16cid:durableId="1328174695">
    <w:abstractNumId w:val="6"/>
  </w:num>
  <w:num w:numId="7" w16cid:durableId="1442726167">
    <w:abstractNumId w:val="5"/>
  </w:num>
  <w:num w:numId="8" w16cid:durableId="441650484">
    <w:abstractNumId w:val="5"/>
  </w:num>
  <w:num w:numId="9" w16cid:durableId="994525657">
    <w:abstractNumId w:val="4"/>
  </w:num>
  <w:num w:numId="10" w16cid:durableId="1088504153">
    <w:abstractNumId w:val="4"/>
  </w:num>
  <w:num w:numId="11" w16cid:durableId="265164792">
    <w:abstractNumId w:val="8"/>
  </w:num>
  <w:num w:numId="12" w16cid:durableId="1094323997">
    <w:abstractNumId w:val="8"/>
  </w:num>
  <w:num w:numId="13" w16cid:durableId="574583168">
    <w:abstractNumId w:val="3"/>
  </w:num>
  <w:num w:numId="14" w16cid:durableId="1223951697">
    <w:abstractNumId w:val="3"/>
  </w:num>
  <w:num w:numId="15" w16cid:durableId="1898320312">
    <w:abstractNumId w:val="2"/>
  </w:num>
  <w:num w:numId="16" w16cid:durableId="588200233">
    <w:abstractNumId w:val="2"/>
  </w:num>
  <w:num w:numId="17" w16cid:durableId="1996256535">
    <w:abstractNumId w:val="1"/>
  </w:num>
  <w:num w:numId="18" w16cid:durableId="1884631270">
    <w:abstractNumId w:val="1"/>
  </w:num>
  <w:num w:numId="19" w16cid:durableId="1743720741">
    <w:abstractNumId w:val="0"/>
  </w:num>
  <w:num w:numId="20" w16cid:durableId="1354963823">
    <w:abstractNumId w:val="0"/>
  </w:num>
  <w:num w:numId="21" w16cid:durableId="370111596">
    <w:abstractNumId w:val="9"/>
  </w:num>
  <w:num w:numId="22" w16cid:durableId="1491755225">
    <w:abstractNumId w:val="7"/>
  </w:num>
  <w:num w:numId="23" w16cid:durableId="2144106226">
    <w:abstractNumId w:val="6"/>
  </w:num>
  <w:num w:numId="24" w16cid:durableId="2055158813">
    <w:abstractNumId w:val="5"/>
  </w:num>
  <w:num w:numId="25" w16cid:durableId="189030723">
    <w:abstractNumId w:val="4"/>
  </w:num>
  <w:num w:numId="26" w16cid:durableId="1550143564">
    <w:abstractNumId w:val="8"/>
  </w:num>
  <w:num w:numId="27" w16cid:durableId="1589997696">
    <w:abstractNumId w:val="3"/>
  </w:num>
  <w:num w:numId="28" w16cid:durableId="875896103">
    <w:abstractNumId w:val="2"/>
  </w:num>
  <w:num w:numId="29" w16cid:durableId="799421342">
    <w:abstractNumId w:val="1"/>
  </w:num>
  <w:num w:numId="30" w16cid:durableId="27147197">
    <w:abstractNumId w:val="0"/>
  </w:num>
  <w:num w:numId="31" w16cid:durableId="1554928325">
    <w:abstractNumId w:val="9"/>
  </w:num>
  <w:num w:numId="32" w16cid:durableId="1536699654">
    <w:abstractNumId w:val="7"/>
  </w:num>
  <w:num w:numId="33" w16cid:durableId="1499073972">
    <w:abstractNumId w:val="6"/>
  </w:num>
  <w:num w:numId="34" w16cid:durableId="27731298">
    <w:abstractNumId w:val="5"/>
  </w:num>
  <w:num w:numId="35" w16cid:durableId="1223056785">
    <w:abstractNumId w:val="4"/>
  </w:num>
  <w:num w:numId="36" w16cid:durableId="1778403372">
    <w:abstractNumId w:val="8"/>
  </w:num>
  <w:num w:numId="37" w16cid:durableId="1086339948">
    <w:abstractNumId w:val="3"/>
  </w:num>
  <w:num w:numId="38" w16cid:durableId="210851911">
    <w:abstractNumId w:val="2"/>
  </w:num>
  <w:num w:numId="39" w16cid:durableId="1132090098">
    <w:abstractNumId w:val="1"/>
  </w:num>
  <w:num w:numId="40" w16cid:durableId="1703939952">
    <w:abstractNumId w:val="0"/>
  </w:num>
  <w:num w:numId="41" w16cid:durableId="1096287064">
    <w:abstractNumId w:val="10"/>
  </w:num>
  <w:num w:numId="42" w16cid:durableId="1942948462">
    <w:abstractNumId w:val="10"/>
  </w:num>
  <w:num w:numId="43" w16cid:durableId="605192125">
    <w:abstractNumId w:val="10"/>
  </w:num>
  <w:num w:numId="44" w16cid:durableId="1575497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6/2025"/>
    <w:docVar w:name="dvlangue" w:val="SL"/>
    <w:docVar w:name="dvnumam" w:val="0"/>
    <w:docVar w:name="dvpe" w:val="773.098"/>
    <w:docVar w:name="dvrapporteur" w:val="Poročevalec: "/>
    <w:docVar w:name="dvtitre" w:val="Zakonodajna resolucija Evropskega parlamenta z dne … 2025 o stališču Sveta o predlogu spremembe proračuna Evropske unije za proračunsko leto 2025, vključitev presežka iz proračunskega leta 2024(09619/2025 – C10-0125/2025 – 2025/0091(BUD))"/>
  </w:docVars>
  <w:rsids>
    <w:rsidRoot w:val="006C3047"/>
    <w:rsid w:val="00002272"/>
    <w:rsid w:val="00064002"/>
    <w:rsid w:val="000677B9"/>
    <w:rsid w:val="000831BA"/>
    <w:rsid w:val="000A42CC"/>
    <w:rsid w:val="000E7DD9"/>
    <w:rsid w:val="0010095E"/>
    <w:rsid w:val="00125B37"/>
    <w:rsid w:val="00187494"/>
    <w:rsid w:val="001C2BD1"/>
    <w:rsid w:val="001F32AE"/>
    <w:rsid w:val="002767FF"/>
    <w:rsid w:val="002B18FE"/>
    <w:rsid w:val="002B5493"/>
    <w:rsid w:val="002C10CA"/>
    <w:rsid w:val="00343214"/>
    <w:rsid w:val="00361C00"/>
    <w:rsid w:val="00395FA1"/>
    <w:rsid w:val="003E15D4"/>
    <w:rsid w:val="00411CCE"/>
    <w:rsid w:val="00415850"/>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3047"/>
    <w:rsid w:val="006E2F22"/>
    <w:rsid w:val="006F74FA"/>
    <w:rsid w:val="00714A0D"/>
    <w:rsid w:val="00731ADD"/>
    <w:rsid w:val="00734777"/>
    <w:rsid w:val="00747932"/>
    <w:rsid w:val="00751A4A"/>
    <w:rsid w:val="00756632"/>
    <w:rsid w:val="00762C74"/>
    <w:rsid w:val="00786EC0"/>
    <w:rsid w:val="007D1690"/>
    <w:rsid w:val="007E22AD"/>
    <w:rsid w:val="007E5330"/>
    <w:rsid w:val="00817416"/>
    <w:rsid w:val="00842779"/>
    <w:rsid w:val="00865F67"/>
    <w:rsid w:val="00881A7B"/>
    <w:rsid w:val="008840E5"/>
    <w:rsid w:val="00887B3E"/>
    <w:rsid w:val="008C2AC6"/>
    <w:rsid w:val="00930C23"/>
    <w:rsid w:val="0093193B"/>
    <w:rsid w:val="009444BA"/>
    <w:rsid w:val="009509D8"/>
    <w:rsid w:val="00950B64"/>
    <w:rsid w:val="0096433B"/>
    <w:rsid w:val="00981893"/>
    <w:rsid w:val="00A1687D"/>
    <w:rsid w:val="00A43E52"/>
    <w:rsid w:val="00A4678D"/>
    <w:rsid w:val="00A57C3A"/>
    <w:rsid w:val="00A778C7"/>
    <w:rsid w:val="00AB441E"/>
    <w:rsid w:val="00AB6293"/>
    <w:rsid w:val="00AE0928"/>
    <w:rsid w:val="00AF3B82"/>
    <w:rsid w:val="00B12E95"/>
    <w:rsid w:val="00B22876"/>
    <w:rsid w:val="00B558F0"/>
    <w:rsid w:val="00B63E95"/>
    <w:rsid w:val="00BD48FE"/>
    <w:rsid w:val="00BD7BD8"/>
    <w:rsid w:val="00BE6ADC"/>
    <w:rsid w:val="00C05BFE"/>
    <w:rsid w:val="00C2201E"/>
    <w:rsid w:val="00C23CD4"/>
    <w:rsid w:val="00C61C0C"/>
    <w:rsid w:val="00C64D69"/>
    <w:rsid w:val="00C941CB"/>
    <w:rsid w:val="00CC2357"/>
    <w:rsid w:val="00CF071A"/>
    <w:rsid w:val="00D058B8"/>
    <w:rsid w:val="00D12A8E"/>
    <w:rsid w:val="00D56C11"/>
    <w:rsid w:val="00D834A0"/>
    <w:rsid w:val="00D872DF"/>
    <w:rsid w:val="00D91E21"/>
    <w:rsid w:val="00DA7FCD"/>
    <w:rsid w:val="00E365E1"/>
    <w:rsid w:val="00E820A4"/>
    <w:rsid w:val="00EB006A"/>
    <w:rsid w:val="00EB4772"/>
    <w:rsid w:val="00ED15C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8E7CA"/>
  <w15:chartTrackingRefBased/>
  <w15:docId w15:val="{66B47893-1A59-4E7C-93E2-C2C829F96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C2BD1"/>
    <w:pPr>
      <w:spacing w:before="480" w:after="240"/>
    </w:pPr>
  </w:style>
  <w:style w:type="paragraph" w:customStyle="1" w:styleId="NormalHanging12a">
    <w:name w:val="NormalHanging12a"/>
    <w:basedOn w:val="Normal"/>
    <w:link w:val="NormalHanging12aChar"/>
    <w:rsid w:val="001C2BD1"/>
    <w:pPr>
      <w:spacing w:after="240"/>
      <w:ind w:left="567" w:hanging="567"/>
    </w:pPr>
  </w:style>
  <w:style w:type="character" w:styleId="Hyperlink">
    <w:name w:val="Hyperlink"/>
    <w:basedOn w:val="DefaultParagraphFont"/>
    <w:uiPriority w:val="99"/>
    <w:rsid w:val="001C2BD1"/>
    <w:rPr>
      <w:color w:val="0563C1" w:themeColor="hyperlink"/>
      <w:u w:val="single"/>
    </w:rPr>
  </w:style>
  <w:style w:type="character" w:customStyle="1" w:styleId="NormalHanging12aChar">
    <w:name w:val="NormalHanging12a Char"/>
    <w:basedOn w:val="DefaultParagraphFont"/>
    <w:link w:val="NormalHanging12a"/>
    <w:locked/>
    <w:rsid w:val="001C2BD1"/>
    <w:rPr>
      <w:sz w:val="24"/>
      <w:lang w:val="sl-SI"/>
    </w:rPr>
  </w:style>
  <w:style w:type="paragraph" w:styleId="BalloonText">
    <w:name w:val="Balloon Text"/>
    <w:basedOn w:val="Normal"/>
    <w:link w:val="BalloonTextChar"/>
    <w:rsid w:val="00C64D69"/>
    <w:rPr>
      <w:rFonts w:ascii="Segoe UI" w:hAnsi="Segoe UI" w:cs="Segoe UI"/>
      <w:sz w:val="18"/>
      <w:szCs w:val="18"/>
    </w:rPr>
  </w:style>
  <w:style w:type="character" w:customStyle="1" w:styleId="BalloonTextChar">
    <w:name w:val="Balloon Text Char"/>
    <w:basedOn w:val="DefaultParagraphFont"/>
    <w:link w:val="BalloonText"/>
    <w:rsid w:val="00C64D69"/>
    <w:rPr>
      <w:rFonts w:ascii="Segoe UI" w:hAnsi="Segoe UI" w:cs="Segoe UI"/>
      <w:sz w:val="18"/>
      <w:szCs w:val="18"/>
      <w:lang w:val="sl-SI"/>
    </w:rPr>
  </w:style>
  <w:style w:type="character" w:styleId="FollowedHyperlink">
    <w:name w:val="FollowedHyperlink"/>
    <w:basedOn w:val="DefaultParagraphFont"/>
    <w:rsid w:val="00C64D69"/>
    <w:rPr>
      <w:color w:val="954F72" w:themeColor="followedHyperlink"/>
      <w:u w:val="single"/>
    </w:rPr>
  </w:style>
  <w:style w:type="character" w:styleId="CommentReference">
    <w:name w:val="annotation reference"/>
    <w:basedOn w:val="DefaultParagraphFont"/>
    <w:rsid w:val="00C64D69"/>
    <w:rPr>
      <w:sz w:val="16"/>
      <w:szCs w:val="16"/>
    </w:rPr>
  </w:style>
  <w:style w:type="paragraph" w:styleId="CommentText">
    <w:name w:val="annotation text"/>
    <w:basedOn w:val="Normal"/>
    <w:link w:val="CommentTextChar"/>
    <w:rsid w:val="00C64D69"/>
    <w:rPr>
      <w:sz w:val="20"/>
    </w:rPr>
  </w:style>
  <w:style w:type="character" w:customStyle="1" w:styleId="CommentTextChar">
    <w:name w:val="Comment Text Char"/>
    <w:basedOn w:val="DefaultParagraphFont"/>
    <w:link w:val="CommentText"/>
    <w:rsid w:val="00C64D69"/>
    <w:rPr>
      <w:lang w:val="sl-SI"/>
    </w:rPr>
  </w:style>
  <w:style w:type="paragraph" w:styleId="CommentSubject">
    <w:name w:val="annotation subject"/>
    <w:basedOn w:val="CommentText"/>
    <w:next w:val="CommentText"/>
    <w:link w:val="CommentSubjectChar"/>
    <w:rsid w:val="00C64D69"/>
    <w:rPr>
      <w:b/>
      <w:bCs/>
    </w:rPr>
  </w:style>
  <w:style w:type="character" w:customStyle="1" w:styleId="CommentSubjectChar">
    <w:name w:val="Comment Subject Char"/>
    <w:basedOn w:val="CommentTextChar"/>
    <w:link w:val="CommentSubject"/>
    <w:rsid w:val="00C64D69"/>
    <w:rPr>
      <w:b/>
      <w:bCs/>
      <w:lang w:val="sl-SI"/>
    </w:rPr>
  </w:style>
  <w:style w:type="paragraph" w:styleId="Revision">
    <w:name w:val="Revision"/>
    <w:hidden/>
    <w:uiPriority w:val="99"/>
    <w:semiHidden/>
    <w:rsid w:val="006E2F22"/>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A9124-09E6-4678-B6B7-711E654FE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1051</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2025-10-21T12:22:00Z</dcterms:created>
  <dcterms:modified xsi:type="dcterms:W3CDTF">2025-10-21T12:22:00Z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P10_TA(2025)0151_</vt:lpwstr>
  </property>
  <property fmtid="{D5CDD505-2E9C-101B-9397-08002B2CF9AE}" pid="4" name="&lt;Type&gt;">
    <vt:lpwstr>RR</vt:lpwstr>
  </property>
</Properties>
</file>