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2FAB" w14:paraId="5CFCD00E" w14:textId="77777777" w:rsidTr="0010095E">
        <w:trPr>
          <w:trHeight w:hRule="exact" w:val="1418"/>
        </w:trPr>
        <w:tc>
          <w:tcPr>
            <w:tcW w:w="6804" w:type="dxa"/>
            <w:shd w:val="clear" w:color="auto" w:fill="auto"/>
            <w:vAlign w:val="center"/>
          </w:tcPr>
          <w:p w14:paraId="2A2F8EC9" w14:textId="77777777" w:rsidR="00751A4A" w:rsidRPr="00BC2FAB" w:rsidRDefault="009C64E8" w:rsidP="0010095E">
            <w:pPr>
              <w:pStyle w:val="EPName"/>
            </w:pPr>
            <w:r w:rsidRPr="00BC2FAB">
              <w:t>Europaparlamentet</w:t>
            </w:r>
          </w:p>
          <w:p w14:paraId="7D8575FB" w14:textId="77777777" w:rsidR="00751A4A" w:rsidRPr="00BC2FAB" w:rsidRDefault="005F1B17" w:rsidP="005F1B17">
            <w:pPr>
              <w:pStyle w:val="EPTerm"/>
              <w:rPr>
                <w:rStyle w:val="HideTWBExt"/>
                <w:noProof w:val="0"/>
                <w:vanish w:val="0"/>
                <w:color w:val="auto"/>
              </w:rPr>
            </w:pPr>
            <w:r w:rsidRPr="00BC2FAB">
              <w:t>2024</w:t>
            </w:r>
            <w:r w:rsidR="00817416" w:rsidRPr="00BC2FAB">
              <w:t>-202</w:t>
            </w:r>
            <w:r w:rsidRPr="00BC2FAB">
              <w:t>9</w:t>
            </w:r>
          </w:p>
        </w:tc>
        <w:tc>
          <w:tcPr>
            <w:tcW w:w="2268" w:type="dxa"/>
            <w:shd w:val="clear" w:color="auto" w:fill="auto"/>
          </w:tcPr>
          <w:p w14:paraId="040C0A89" w14:textId="77777777" w:rsidR="00751A4A" w:rsidRPr="00BC2FAB" w:rsidRDefault="00187494" w:rsidP="0010095E">
            <w:pPr>
              <w:pStyle w:val="EPLogo"/>
            </w:pPr>
            <w:r w:rsidRPr="00BC2FAB">
              <w:rPr>
                <w:noProof/>
                <w:lang w:val="en-GB"/>
              </w:rPr>
              <w:drawing>
                <wp:inline distT="0" distB="0" distL="0" distR="0" wp14:anchorId="60670E5D" wp14:editId="6C9EFC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C6A251" w14:textId="77777777" w:rsidR="00D058B8" w:rsidRPr="00BC2FAB" w:rsidRDefault="00D058B8" w:rsidP="004C5D52">
      <w:pPr>
        <w:pStyle w:val="LineTop"/>
      </w:pPr>
    </w:p>
    <w:p w14:paraId="044DF996" w14:textId="77777777" w:rsidR="00680577" w:rsidRPr="00BC2FAB" w:rsidRDefault="009C64E8" w:rsidP="00680577">
      <w:pPr>
        <w:pStyle w:val="EPBodyTA1"/>
      </w:pPr>
      <w:r w:rsidRPr="00BC2FAB">
        <w:t>ANTAGNA TEXTER</w:t>
      </w:r>
    </w:p>
    <w:p w14:paraId="3E6CA225" w14:textId="77777777" w:rsidR="00D058B8" w:rsidRPr="00BC2FAB" w:rsidRDefault="00D058B8" w:rsidP="00D058B8">
      <w:pPr>
        <w:pStyle w:val="LineBottom"/>
      </w:pPr>
    </w:p>
    <w:p w14:paraId="68953730" w14:textId="16AB59CE" w:rsidR="009C64E8" w:rsidRPr="00BC2FAB" w:rsidRDefault="009C64E8" w:rsidP="009C64E8">
      <w:pPr>
        <w:pStyle w:val="ATHeading1"/>
      </w:pPr>
      <w:bookmarkStart w:id="0" w:name="TANumber"/>
      <w:r w:rsidRPr="00BC2FAB">
        <w:t>P10_TA(2025)0</w:t>
      </w:r>
      <w:bookmarkEnd w:id="0"/>
      <w:r w:rsidR="00BC2FAB" w:rsidRPr="00BC2FAB">
        <w:t>151</w:t>
      </w:r>
    </w:p>
    <w:p w14:paraId="3F730CCC" w14:textId="6D9D2158" w:rsidR="009C64E8" w:rsidRPr="00BC2FAB" w:rsidRDefault="00891740" w:rsidP="009C64E8">
      <w:pPr>
        <w:pStyle w:val="ATHeading2"/>
      </w:pPr>
      <w:bookmarkStart w:id="1" w:name="title"/>
      <w:r w:rsidRPr="00BC2FAB">
        <w:t>Förslag till ändringsbudget nr 1/2025: införande av överskottet från budgetåret 2024</w:t>
      </w:r>
      <w:bookmarkEnd w:id="1"/>
    </w:p>
    <w:p w14:paraId="3BBEB837" w14:textId="77777777" w:rsidR="009C64E8" w:rsidRPr="00BC2FAB" w:rsidRDefault="009C64E8" w:rsidP="009C64E8">
      <w:pPr>
        <w:rPr>
          <w:i/>
          <w:vanish/>
        </w:rPr>
      </w:pPr>
      <w:r w:rsidRPr="00BC2FAB">
        <w:rPr>
          <w:i/>
        </w:rPr>
        <w:fldChar w:fldCharType="begin"/>
      </w:r>
      <w:r w:rsidRPr="00BC2FAB">
        <w:rPr>
          <w:i/>
        </w:rPr>
        <w:instrText xml:space="preserve"> TC"(</w:instrText>
      </w:r>
      <w:bookmarkStart w:id="2" w:name="DocNumber"/>
      <w:r w:rsidRPr="00BC2FAB">
        <w:rPr>
          <w:i/>
        </w:rPr>
        <w:instrText>A10-0116/2025</w:instrText>
      </w:r>
      <w:bookmarkEnd w:id="2"/>
      <w:r w:rsidRPr="00BC2FAB">
        <w:rPr>
          <w:i/>
        </w:rPr>
        <w:instrText xml:space="preserve"> - Föredragande: Victor </w:instrText>
      </w:r>
      <w:proofErr w:type="spellStart"/>
      <w:r w:rsidRPr="00BC2FAB">
        <w:rPr>
          <w:i/>
        </w:rPr>
        <w:instrText>Negrescu</w:instrText>
      </w:r>
      <w:proofErr w:type="spellEnd"/>
      <w:r w:rsidRPr="00BC2FAB">
        <w:rPr>
          <w:i/>
        </w:rPr>
        <w:instrText xml:space="preserve">)"\l3 \n&gt; \* MERGEFORMAT </w:instrText>
      </w:r>
      <w:r w:rsidRPr="00BC2FAB">
        <w:rPr>
          <w:i/>
        </w:rPr>
        <w:fldChar w:fldCharType="end"/>
      </w:r>
    </w:p>
    <w:p w14:paraId="1EADE21C" w14:textId="77777777" w:rsidR="009C64E8" w:rsidRPr="00BC2FAB" w:rsidRDefault="009C64E8" w:rsidP="009C64E8">
      <w:pPr>
        <w:rPr>
          <w:vanish/>
        </w:rPr>
      </w:pPr>
      <w:bookmarkStart w:id="3" w:name="Commission"/>
      <w:r w:rsidRPr="00BC2FAB">
        <w:rPr>
          <w:vanish/>
        </w:rPr>
        <w:t>Budgetutskottet</w:t>
      </w:r>
      <w:bookmarkEnd w:id="3"/>
    </w:p>
    <w:p w14:paraId="0FC814A1" w14:textId="77777777" w:rsidR="009C64E8" w:rsidRPr="00BC2FAB" w:rsidRDefault="009C64E8" w:rsidP="009C64E8">
      <w:pPr>
        <w:rPr>
          <w:vanish/>
        </w:rPr>
      </w:pPr>
      <w:bookmarkStart w:id="4" w:name="PE"/>
      <w:r w:rsidRPr="00BC2FAB">
        <w:rPr>
          <w:vanish/>
        </w:rPr>
        <w:t>PE773.098</w:t>
      </w:r>
      <w:bookmarkEnd w:id="4"/>
    </w:p>
    <w:p w14:paraId="09CC30C5" w14:textId="4E3065DB" w:rsidR="009C64E8" w:rsidRPr="00BC2FAB" w:rsidRDefault="009C64E8" w:rsidP="009C64E8">
      <w:pPr>
        <w:pStyle w:val="ATHeading3"/>
      </w:pPr>
      <w:bookmarkStart w:id="5" w:name="Sujet"/>
      <w:r w:rsidRPr="00BC2FAB">
        <w:t>Europap</w:t>
      </w:r>
      <w:r w:rsidR="00DF272C" w:rsidRPr="00BC2FAB">
        <w:t>arlamentets resolution av den 9 juli</w:t>
      </w:r>
      <w:r w:rsidRPr="00BC2FAB">
        <w:t xml:space="preserve"> 2025 om rådets ståndpunkt om förslaget till Europeiska unionens ändringsbudget nr 1</w:t>
      </w:r>
      <w:r w:rsidR="003A1E2C">
        <w:t>/2025</w:t>
      </w:r>
      <w:r w:rsidRPr="00BC2FAB">
        <w:t xml:space="preserve"> för budgetåret 2025 – införande av överskottet från budgetåret 2024</w:t>
      </w:r>
      <w:bookmarkEnd w:id="5"/>
      <w:r w:rsidRPr="00BC2FAB">
        <w:t xml:space="preserve"> </w:t>
      </w:r>
      <w:bookmarkStart w:id="6" w:name="References"/>
      <w:r w:rsidRPr="00BC2FAB">
        <w:t>(</w:t>
      </w:r>
      <w:r w:rsidR="00DF272C" w:rsidRPr="00BC2FAB">
        <w:t>09619</w:t>
      </w:r>
      <w:r w:rsidRPr="00BC2FAB">
        <w:t>/2025 – C10-</w:t>
      </w:r>
      <w:r w:rsidR="00DF272C" w:rsidRPr="00BC2FAB">
        <w:t>0125</w:t>
      </w:r>
      <w:r w:rsidRPr="00BC2FAB">
        <w:t>/2025 – 2025/0091(BUD))</w:t>
      </w:r>
      <w:bookmarkEnd w:id="6"/>
    </w:p>
    <w:p w14:paraId="7977A598" w14:textId="77777777" w:rsidR="00CE7C98" w:rsidRPr="00BC2FAB" w:rsidRDefault="00CE7C98" w:rsidP="00CE7C98">
      <w:pPr>
        <w:pStyle w:val="EPComma"/>
      </w:pPr>
      <w:bookmarkStart w:id="7" w:name="TextBodyBegin"/>
      <w:bookmarkEnd w:id="7"/>
      <w:r w:rsidRPr="00BC2FAB">
        <w:rPr>
          <w:i/>
          <w:iCs/>
        </w:rPr>
        <w:t>Europaparlamentet utfärdar denna resolution</w:t>
      </w:r>
    </w:p>
    <w:p w14:paraId="7E18A29D" w14:textId="77777777" w:rsidR="00CE7C98" w:rsidRPr="00BC2FAB" w:rsidRDefault="00CE7C98" w:rsidP="00CE7C98">
      <w:pPr>
        <w:pStyle w:val="NormalHanging12a"/>
      </w:pPr>
      <w:r w:rsidRPr="00BC2FAB">
        <w:t>–</w:t>
      </w:r>
      <w:r w:rsidRPr="00BC2FAB">
        <w:tab/>
        <w:t>med beaktande av artikel 314 i fördraget om Europeiska unionens funktionssätt,</w:t>
      </w:r>
    </w:p>
    <w:p w14:paraId="12235E8B" w14:textId="77777777" w:rsidR="00CE7C98" w:rsidRPr="00BC2FAB" w:rsidRDefault="00CE7C98" w:rsidP="00CE7C98">
      <w:pPr>
        <w:pStyle w:val="NormalHanging12a"/>
      </w:pPr>
      <w:r w:rsidRPr="00BC2FAB">
        <w:t>–</w:t>
      </w:r>
      <w:r w:rsidRPr="00BC2FAB">
        <w:tab/>
        <w:t>med beaktande av artikel 106a i fördraget om upprättandet av Europeiska atomenergigemenskapen,</w:t>
      </w:r>
    </w:p>
    <w:p w14:paraId="71EEB78F" w14:textId="77777777" w:rsidR="00CE7C98" w:rsidRPr="00BC2FAB" w:rsidRDefault="00CE7C98" w:rsidP="00CE7C98">
      <w:pPr>
        <w:pStyle w:val="NormalHanging12a"/>
      </w:pPr>
      <w:r w:rsidRPr="00BC2FAB">
        <w:t>–</w:t>
      </w:r>
      <w:r w:rsidRPr="00BC2FAB">
        <w:tab/>
        <w:t>med beaktande av Europaparlamentets och rådets förordning (EU, Euratom) 2024/2509 av den 23 september 2024 om finansiella regler för unionens allmänna budget</w:t>
      </w:r>
      <w:r w:rsidRPr="00BC2FAB">
        <w:rPr>
          <w:rStyle w:val="FootnoteReference"/>
        </w:rPr>
        <w:footnoteReference w:id="1"/>
      </w:r>
      <w:r w:rsidRPr="00BC2FAB">
        <w:t>, särskilt artikel 44,</w:t>
      </w:r>
    </w:p>
    <w:p w14:paraId="6E04EA93" w14:textId="77777777" w:rsidR="00CE7C98" w:rsidRPr="00BC2FAB" w:rsidRDefault="00CE7C98" w:rsidP="00CE7C98">
      <w:pPr>
        <w:pStyle w:val="NormalHanging12a"/>
      </w:pPr>
      <w:r w:rsidRPr="00BC2FAB">
        <w:t>–</w:t>
      </w:r>
      <w:r w:rsidRPr="00BC2FAB">
        <w:tab/>
        <w:t>med beaktande av Europeiska unionens allmänna budget för budgetåret 2025, slutgiltigt antagen den 27 november 2024</w:t>
      </w:r>
      <w:r w:rsidRPr="00BC2FAB">
        <w:rPr>
          <w:rStyle w:val="FootnoteReference"/>
        </w:rPr>
        <w:footnoteReference w:id="2"/>
      </w:r>
      <w:r w:rsidRPr="00BC2FAB">
        <w:t>,</w:t>
      </w:r>
    </w:p>
    <w:p w14:paraId="4DA7EC88" w14:textId="77777777" w:rsidR="00CE7C98" w:rsidRPr="00BC2FAB" w:rsidRDefault="00CE7C98" w:rsidP="00CE7C98">
      <w:pPr>
        <w:pStyle w:val="NormalHanging12a"/>
      </w:pPr>
      <w:r w:rsidRPr="00BC2FAB">
        <w:t>–</w:t>
      </w:r>
      <w:r w:rsidRPr="00BC2FAB">
        <w:tab/>
        <w:t>med beaktande av rådets förordning (EU, Euratom) 2020/2093 av den 17 december 2020 om den fleråriga budgetramen 2021–2027</w:t>
      </w:r>
      <w:r w:rsidRPr="00BC2FAB">
        <w:rPr>
          <w:rStyle w:val="FootnoteReference"/>
        </w:rPr>
        <w:footnoteReference w:id="3"/>
      </w:r>
      <w:r w:rsidRPr="00BC2FAB">
        <w:t>,</w:t>
      </w:r>
    </w:p>
    <w:p w14:paraId="3E2A033C" w14:textId="77777777" w:rsidR="00CE7C98" w:rsidRPr="00BC2FAB" w:rsidRDefault="00CE7C98" w:rsidP="00CE7C98">
      <w:pPr>
        <w:pStyle w:val="NormalHanging12a"/>
      </w:pPr>
      <w:r w:rsidRPr="00BC2FAB">
        <w:t>–</w:t>
      </w:r>
      <w:r w:rsidRPr="00BC2FAB">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BC2FAB">
        <w:rPr>
          <w:rStyle w:val="FootnoteReference"/>
        </w:rPr>
        <w:footnoteReference w:id="4"/>
      </w:r>
      <w:r w:rsidRPr="00BC2FAB">
        <w:t xml:space="preserve"> (det interinstitutionella avtalet av den 16 december 2020),</w:t>
      </w:r>
    </w:p>
    <w:p w14:paraId="6CCAE8DD" w14:textId="77777777" w:rsidR="00CE7C98" w:rsidRPr="00BC2FAB" w:rsidRDefault="00CE7C98" w:rsidP="00CE7C98">
      <w:pPr>
        <w:pStyle w:val="NormalHanging12a"/>
      </w:pPr>
      <w:r w:rsidRPr="00BC2FAB">
        <w:t>–</w:t>
      </w:r>
      <w:r w:rsidRPr="00BC2FAB">
        <w:tab/>
        <w:t xml:space="preserve">med beaktande av rådets beslut (EU, Euratom) 2020/2053 av den 14 december 2020 om </w:t>
      </w:r>
      <w:r w:rsidRPr="00BC2FAB">
        <w:lastRenderedPageBreak/>
        <w:t>systemet för Europeiska unionens egna medel och om upphävande av beslut 2014/335/EU, Euratom</w:t>
      </w:r>
      <w:r w:rsidRPr="00BC2FAB">
        <w:rPr>
          <w:rStyle w:val="FootnoteReference"/>
        </w:rPr>
        <w:footnoteReference w:id="5"/>
      </w:r>
      <w:r w:rsidRPr="00BC2FAB">
        <w:t>,</w:t>
      </w:r>
    </w:p>
    <w:p w14:paraId="3F545ED8" w14:textId="77777777" w:rsidR="00CE7C98" w:rsidRPr="00BC2FAB" w:rsidRDefault="00CE7C98" w:rsidP="00CE7C98">
      <w:pPr>
        <w:pStyle w:val="NormalHanging12a"/>
      </w:pPr>
      <w:r w:rsidRPr="00BC2FAB">
        <w:t>–</w:t>
      </w:r>
      <w:r w:rsidRPr="00BC2FAB">
        <w:tab/>
        <w:t>med beaktande av det förslag till ändringsbudget nr 1/2025 som kommissionen antog den 9 april 2025 (COM(2025)0350),</w:t>
      </w:r>
    </w:p>
    <w:p w14:paraId="22C7685A" w14:textId="77777777" w:rsidR="00CE7C98" w:rsidRPr="00BC2FAB" w:rsidRDefault="00CE7C98" w:rsidP="00CE7C98">
      <w:pPr>
        <w:pStyle w:val="NormalHanging12a"/>
      </w:pPr>
      <w:r w:rsidRPr="00BC2FAB">
        <w:t>–</w:t>
      </w:r>
      <w:r w:rsidRPr="00BC2FAB">
        <w:tab/>
        <w:t>med beaktande av den ståndpunkt om förslaget till ändringsbudget nr 1/2025 som rådet antog den 16 juni 2025 och översände till Europaparlamentet den 18 juni 2025 (09619/2025 – C10-0125/2025),</w:t>
      </w:r>
    </w:p>
    <w:p w14:paraId="56FAFD0A" w14:textId="77777777" w:rsidR="00CE7C98" w:rsidRPr="00BC2FAB" w:rsidRDefault="00CE7C98" w:rsidP="00CE7C98">
      <w:pPr>
        <w:pStyle w:val="NormalHanging12a"/>
      </w:pPr>
      <w:r w:rsidRPr="00BC2FAB">
        <w:t>–</w:t>
      </w:r>
      <w:r w:rsidRPr="00BC2FAB">
        <w:tab/>
        <w:t>med beaktande av artiklarna 96 och 98 i arbetsordningen,</w:t>
      </w:r>
    </w:p>
    <w:p w14:paraId="75CA593F" w14:textId="77777777" w:rsidR="00CE7C98" w:rsidRPr="00BC2FAB" w:rsidRDefault="00CE7C98" w:rsidP="00CE7C98">
      <w:pPr>
        <w:pStyle w:val="NormalHanging12a"/>
        <w:keepNext/>
        <w:keepLines/>
        <w:widowControl/>
      </w:pPr>
      <w:r w:rsidRPr="00BC2FAB">
        <w:t>–</w:t>
      </w:r>
      <w:r w:rsidRPr="00BC2FAB">
        <w:tab/>
        <w:t>med beaktande av betänkandet från budgetutskottet (A10-0116/2025), och av följande skäl:</w:t>
      </w:r>
    </w:p>
    <w:p w14:paraId="6ECEC650" w14:textId="77777777" w:rsidR="00CE7C98" w:rsidRPr="00BC2FAB" w:rsidRDefault="00CE7C98" w:rsidP="00CE7C98">
      <w:pPr>
        <w:pStyle w:val="NormalHanging12a"/>
      </w:pPr>
      <w:r w:rsidRPr="00BC2FAB">
        <w:t>A.</w:t>
      </w:r>
      <w:r w:rsidRPr="00BC2FAB">
        <w:tab/>
      </w:r>
      <w:r w:rsidRPr="00BC2FAB">
        <w:rPr>
          <w:color w:val="000000"/>
        </w:rPr>
        <w:t>Syftet med förslaget till ändringsbudget nr 1/2025 är att i 2025 års budget föra in överskottet från genomförandet av budgetåret 2024, som uppgår till 1 345 miljoner EUR.</w:t>
      </w:r>
    </w:p>
    <w:p w14:paraId="0D9AD1CB" w14:textId="77777777" w:rsidR="00CE7C98" w:rsidRPr="00BC2FAB" w:rsidRDefault="00CE7C98" w:rsidP="00CE7C98">
      <w:pPr>
        <w:pStyle w:val="NormalHanging12a"/>
      </w:pPr>
      <w:r w:rsidRPr="00BC2FAB">
        <w:t>B.</w:t>
      </w:r>
      <w:r w:rsidRPr="00BC2FAB">
        <w:tab/>
      </w:r>
      <w:r w:rsidRPr="00BC2FAB">
        <w:rPr>
          <w:color w:val="000000"/>
        </w:rPr>
        <w:t>Huvuddelarna i detta överskott utgörs av ett överskott på 1 072 miljoner EUR på inkomstsidan och ett underutnyttjande på 272,5 miljoner EUR.</w:t>
      </w:r>
    </w:p>
    <w:p w14:paraId="076F0D6D" w14:textId="77777777" w:rsidR="00CE7C98" w:rsidRPr="00BC2FAB" w:rsidRDefault="00CE7C98" w:rsidP="00CE7C98">
      <w:pPr>
        <w:pStyle w:val="NormalHanging12a"/>
      </w:pPr>
      <w:r w:rsidRPr="00BC2FAB">
        <w:t>C.</w:t>
      </w:r>
      <w:r w:rsidRPr="00BC2FAB">
        <w:tab/>
      </w:r>
      <w:r w:rsidRPr="00BC2FAB">
        <w:rPr>
          <w:color w:val="000000"/>
        </w:rPr>
        <w:t>På inkomstsidan är den främsta orsaken till överskottet ett belopp på 1 211 miljoner EUR i finansiella intäkter, dröjsmålsränta och böter. Utfallet av de egna medlen i avdelning 1 ligger fortfarande mycket nära de budgeterade beloppen i 2024 års budget (inklusive ändringsbudgetarna 1–5).</w:t>
      </w:r>
    </w:p>
    <w:p w14:paraId="4A62B64F" w14:textId="77777777" w:rsidR="00CE7C98" w:rsidRPr="00BC2FAB" w:rsidRDefault="00CE7C98" w:rsidP="00CE7C98">
      <w:pPr>
        <w:pStyle w:val="NormalHanging12a"/>
      </w:pPr>
      <w:r w:rsidRPr="00BC2FAB">
        <w:t>D.</w:t>
      </w:r>
      <w:r w:rsidRPr="00BC2FAB">
        <w:tab/>
      </w:r>
      <w:r w:rsidRPr="00BC2FAB">
        <w:rPr>
          <w:color w:val="000000"/>
        </w:rPr>
        <w:t>På utgiftssidan uppgick underutnyttjandet av alla institutioners betalningar, inbegripet förfallna anslag som överförts, till 273 miljoner EUR (vilket motsvarar 0,02 % av de godkända betalningsbemyndigandena).</w:t>
      </w:r>
    </w:p>
    <w:p w14:paraId="47F8D8E1" w14:textId="77777777" w:rsidR="00CE7C98" w:rsidRPr="00BC2FAB" w:rsidRDefault="00CE7C98" w:rsidP="00CE7C98">
      <w:pPr>
        <w:pStyle w:val="NormalHanging12a"/>
        <w:ind w:hanging="570"/>
      </w:pPr>
      <w:r w:rsidRPr="00BC2FAB">
        <w:t>1.</w:t>
      </w:r>
      <w:r w:rsidRPr="00BC2FAB">
        <w:tab/>
      </w:r>
      <w:r w:rsidRPr="00BC2FAB">
        <w:rPr>
          <w:color w:val="000000"/>
        </w:rPr>
        <w:t>Europaparlamentet noterar det förslag till ändringsbudget nr 1/2025 som lagts fram av kommissionen och som för in överskottet från 2024 i budgeten, dvs. ett belopp på 1 345 miljoner EUR, i enlighet med artikel 18.3 i budgetförordningen.</w:t>
      </w:r>
      <w:sdt>
        <w:sdtPr>
          <w:tag w:val="goog_rdk_0"/>
          <w:id w:val="1937094721"/>
        </w:sdtPr>
        <w:sdtEndPr/>
        <w:sdtContent/>
      </w:sdt>
    </w:p>
    <w:p w14:paraId="30A503F5" w14:textId="77777777" w:rsidR="00CE7C98" w:rsidRPr="00BC2FAB" w:rsidRDefault="00CE7C98" w:rsidP="00CE7C98">
      <w:pPr>
        <w:pStyle w:val="NormalHanging12a"/>
        <w:ind w:hanging="570"/>
      </w:pPr>
      <w:r w:rsidRPr="00BC2FAB">
        <w:t>2.</w:t>
      </w:r>
      <w:r w:rsidRPr="00BC2FAB">
        <w:tab/>
      </w:r>
      <w:r w:rsidRPr="00BC2FAB">
        <w:rPr>
          <w:color w:val="000000"/>
        </w:rPr>
        <w:t xml:space="preserve">Europaparlamentet välkomnar att överskottet för 2024 främst beror på en stigande avvikelse i avdelning 4 (finansiella intäkter, dröjsmålsränta och böter), medan utgiftsöverskottet fortfarande är mycket blygsamt och uppgår till 273 miljoner EUR. </w:t>
      </w:r>
    </w:p>
    <w:p w14:paraId="4595AE23" w14:textId="77777777" w:rsidR="00CE7C98" w:rsidRPr="00BC2FAB" w:rsidRDefault="00CE7C98" w:rsidP="00CE7C98">
      <w:pPr>
        <w:spacing w:after="240"/>
        <w:ind w:left="567" w:hanging="567"/>
        <w:rPr>
          <w:color w:val="000000"/>
        </w:rPr>
      </w:pPr>
      <w:r w:rsidRPr="00BC2FAB">
        <w:rPr>
          <w:color w:val="000000"/>
        </w:rPr>
        <w:t>3.</w:t>
      </w:r>
      <w:r w:rsidRPr="00BC2FAB">
        <w:rPr>
          <w:color w:val="000000"/>
        </w:rPr>
        <w:tab/>
        <w:t xml:space="preserve">Europaparlamentet beklagar att budgeteringen av överskottet minskar medlemsstaternas totala BNI-baserade bidrag till finansieringen av 2025 års budget med ett motsvarande belopp. Parlamentet betonar att i en tid då finansieringsbehoven fortfarande är höga, särskilt när det gäller kostnadsöverskridanden för återhämtningsinstrumentet, och handlingsutrymmet inom unionens budget fortfarande är extremt begränsat, bör det finnas tillräcklig flexibilitet i budgeten för att unionen ska kunna hantera oförutsedda händelser och nya prioriteringar. Parlamentet understryker att flexibiliteten i unionens budget är en av de nyckelfrågor som ska tas upp i förhandlingarna om den fleråriga budgetramen efter 2027. </w:t>
      </w:r>
    </w:p>
    <w:p w14:paraId="1A465048" w14:textId="77777777" w:rsidR="00CE7C98" w:rsidRPr="00BC2FAB" w:rsidRDefault="00CE7C98" w:rsidP="00CE7C98">
      <w:pPr>
        <w:spacing w:after="240"/>
        <w:ind w:left="567" w:hanging="567"/>
        <w:rPr>
          <w:color w:val="000000"/>
        </w:rPr>
      </w:pPr>
      <w:r w:rsidRPr="00BC2FAB">
        <w:rPr>
          <w:color w:val="000000"/>
        </w:rPr>
        <w:t>4.</w:t>
      </w:r>
      <w:r w:rsidRPr="00BC2FAB">
        <w:rPr>
          <w:color w:val="000000"/>
        </w:rPr>
        <w:tab/>
      </w:r>
      <w:r w:rsidRPr="00BC2FAB">
        <w:t xml:space="preserve">Europaparlamentet uppmanar också kommissionen att utforma en sund och hållbar </w:t>
      </w:r>
      <w:r w:rsidRPr="00BC2FAB">
        <w:lastRenderedPageBreak/>
        <w:t>struktur för nästa fleråriga budgetram som möjliggör en hållbar förvaltning av alla icke-</w:t>
      </w:r>
      <w:proofErr w:type="spellStart"/>
      <w:r w:rsidRPr="00BC2FAB">
        <w:t>diskretionära</w:t>
      </w:r>
      <w:proofErr w:type="spellEnd"/>
      <w:r w:rsidRPr="00BC2FAB">
        <w:t xml:space="preserve"> kostnader och skulder, och fullt ut bevarar unionsprogrammen och budgetens flexibilitet och insatskapacitet, särskilt när det gäller naturkatastrofer och hälsokriser, så att unionens beredskapsstrategi kan genomföras fullt ut.</w:t>
      </w:r>
      <w:r w:rsidRPr="00BC2FAB">
        <w:rPr>
          <w:color w:val="000000"/>
        </w:rPr>
        <w:t xml:space="preserve"> </w:t>
      </w:r>
    </w:p>
    <w:p w14:paraId="16828C49" w14:textId="77777777" w:rsidR="00CE7C98" w:rsidRPr="00BC2FAB" w:rsidRDefault="00CE7C98" w:rsidP="00CE7C98">
      <w:pPr>
        <w:pStyle w:val="NormalHanging12a"/>
      </w:pPr>
      <w:r w:rsidRPr="00BC2FAB">
        <w:t>5.</w:t>
      </w:r>
      <w:r w:rsidRPr="00BC2FAB">
        <w:tab/>
      </w:r>
      <w:r w:rsidRPr="00BC2FAB">
        <w:rPr>
          <w:color w:val="000000"/>
        </w:rPr>
        <w:t>Europaparlamentet påminner om sin långvariga ståndpunkt att oförutsedda vinster från böter och avgifter, eller motsvarande belopp, bör användas som extra intäkter för unionens budget till förmån för krishantering eller oförutsedda behov och inte bör leda till en motsvarande minskning av BNI-baserade bidrag.</w:t>
      </w:r>
    </w:p>
    <w:p w14:paraId="294C93DA" w14:textId="77777777" w:rsidR="00CE7C98" w:rsidRPr="00BC2FAB" w:rsidRDefault="00CE7C98" w:rsidP="00CE7C98">
      <w:pPr>
        <w:pStyle w:val="NormalHanging12a"/>
        <w:keepNext/>
        <w:keepLines/>
        <w:widowControl/>
        <w:ind w:hanging="573"/>
      </w:pPr>
      <w:r w:rsidRPr="00BC2FAB">
        <w:t>6.</w:t>
      </w:r>
      <w:r w:rsidRPr="00BC2FAB">
        <w:tab/>
        <w:t>Europaparlamentet noterar den negativa inkomstposten i den nya artikel 425, som uppgår till 534 miljoner EUR, och välkomnar denna metod att inkludera kostnader för budgeten på grund av betalningar som gjorts enligt förlikningsavtal, och som innebär kompensationsränta och dröjsmålsränta i samband med återbetalning av annullerade eller reducerade böter inom konkurrensområdet i enlighet med domstolens relevanta domar. Vid förhandlingarna om omarbetningen av budgetförordningen insisterade parlamentet på att detta tillvägagångssätt skulle tillämpas, eftersom den alternativa lösningen skulle ha varit ytterligare utgifter under rubrik 7 som redan är överbelastad. Parlamentet påminner om att denna lösning upphör den 31 december 2027. Parlamentet uppmanar kommissionen att föreslå en slutgiltig lösning för nästa fleråriga budgetram som uppnår samma mål, det vill säga att undvika eventuella konsekvenser för budgetens utgiftssida.</w:t>
      </w:r>
    </w:p>
    <w:p w14:paraId="79D0E909" w14:textId="77777777" w:rsidR="00CE7C98" w:rsidRPr="00BC2FAB" w:rsidRDefault="00CE7C98" w:rsidP="00CE7C98">
      <w:pPr>
        <w:rPr>
          <w:strike/>
        </w:rPr>
      </w:pPr>
    </w:p>
    <w:p w14:paraId="5E88EC1D" w14:textId="64155D55" w:rsidR="00CE7C98" w:rsidRPr="00BC2FAB" w:rsidRDefault="00CE7C98" w:rsidP="00CE7C98">
      <w:pPr>
        <w:pStyle w:val="NormalHanging12a"/>
        <w:ind w:hanging="570"/>
        <w:rPr>
          <w:color w:val="000000"/>
        </w:rPr>
      </w:pPr>
      <w:r w:rsidRPr="00BC2FAB">
        <w:t>7.</w:t>
      </w:r>
      <w:r w:rsidRPr="00BC2FAB">
        <w:tab/>
      </w:r>
      <w:r w:rsidRPr="00BC2FAB">
        <w:rPr>
          <w:color w:val="000000"/>
        </w:rPr>
        <w:t xml:space="preserve">Europaparlamentet betonar behovet av hållbara inkomster för unionens budget. </w:t>
      </w:r>
      <w:r w:rsidRPr="00BC2FAB">
        <w:t xml:space="preserve">Parlamentet beklagar därför </w:t>
      </w:r>
      <w:r w:rsidR="000066FD" w:rsidRPr="00BC2FAB">
        <w:t xml:space="preserve">rådets </w:t>
      </w:r>
      <w:r w:rsidRPr="00BC2FAB">
        <w:t>totala brist på framsteg när det gäller reformen av systemet för egna medel i linje med andan i den rättsligt bindande färdplanen i det interinstitutionella avtalet av den 16 december 2020.</w:t>
      </w:r>
      <w:r w:rsidRPr="00BC2FAB">
        <w:rPr>
          <w:color w:val="1E1E1F"/>
        </w:rPr>
        <w:t xml:space="preserve"> </w:t>
      </w:r>
      <w:r w:rsidRPr="00BC2FAB">
        <w:t>Parlamentet påminner om sin ståndpunkt till stöd för kommissionens ändrade förslag och uppmanar med kraft rådet att snabbt anta dessa förslag för att diversifiera och konsolidera de egna medel som är tillgängliga för unionens budget.</w:t>
      </w:r>
    </w:p>
    <w:p w14:paraId="45D6F977" w14:textId="77777777" w:rsidR="00CE7C98" w:rsidRPr="00BC2FAB" w:rsidRDefault="00CE7C98" w:rsidP="00CE7C98">
      <w:pPr>
        <w:rPr>
          <w:strike/>
        </w:rPr>
      </w:pPr>
    </w:p>
    <w:p w14:paraId="632D1768" w14:textId="77777777" w:rsidR="00CE7C98" w:rsidRPr="00BC2FAB" w:rsidRDefault="00CE7C98" w:rsidP="00CE7C98">
      <w:pPr>
        <w:pStyle w:val="NormalHanging12a"/>
        <w:ind w:hanging="570"/>
        <w:rPr>
          <w:color w:val="000000"/>
        </w:rPr>
      </w:pPr>
      <w:r w:rsidRPr="00BC2FAB">
        <w:t>8.</w:t>
      </w:r>
      <w:r w:rsidRPr="00BC2FAB">
        <w:tab/>
        <w:t xml:space="preserve">Europaparlamentet uppmanar dessutom kommissionen att fortsätta sina ansträngningar för att identifiera ytterligare innovativa och genuint nya egna medel och andra inkomstkällor utöver dem som anges i det interinstitutionella avtalet av den 16 december 2020. Parlamentet betonar att nya egna medel är avgörande inte bara för att möjliggöra återbetalning av lån inom ramen för </w:t>
      </w:r>
      <w:proofErr w:type="spellStart"/>
      <w:r w:rsidRPr="00BC2FAB">
        <w:t>NextGenerationEU</w:t>
      </w:r>
      <w:proofErr w:type="spellEnd"/>
      <w:r w:rsidRPr="00BC2FAB">
        <w:t>, utan även för att säkerställa att unionen är rustad att täcka sina högre utgiftsbehov, särskilt mot bakgrund av de många utmaningar som unionen för närvarande står inför, inbegripet det nya geopolitiska läget. Parlamentet anser att all ny unionspolitik och alla nya utmaningar på unionsnivå måste omfatta nya medel och ytterligare nya resurser.</w:t>
      </w:r>
    </w:p>
    <w:p w14:paraId="53E7CE11" w14:textId="77777777" w:rsidR="00CE7C98" w:rsidRPr="00BC2FAB" w:rsidRDefault="00CE7C98" w:rsidP="00CE7C98">
      <w:pPr>
        <w:pStyle w:val="NormalHanging12a"/>
        <w:ind w:hanging="570"/>
      </w:pPr>
      <w:r w:rsidRPr="00BC2FAB">
        <w:t>9.</w:t>
      </w:r>
      <w:r w:rsidRPr="00BC2FAB">
        <w:tab/>
        <w:t>Europaparlamentet godkänner rådets ståndpunkt om förslaget till ändringsbudget nr 1/2025.</w:t>
      </w:r>
    </w:p>
    <w:p w14:paraId="7ED9417B" w14:textId="77777777" w:rsidR="00CE7C98" w:rsidRPr="00BC2FAB" w:rsidRDefault="00CE7C98" w:rsidP="00CE7C98">
      <w:pPr>
        <w:pStyle w:val="NormalHanging12a"/>
        <w:ind w:hanging="570"/>
      </w:pPr>
      <w:r w:rsidRPr="00BC2FAB">
        <w:t>10.</w:t>
      </w:r>
      <w:r w:rsidRPr="00BC2FAB">
        <w:tab/>
        <w:t xml:space="preserve">Europaparlamentet uppdrar åt talmannen att förklara ändringsbudget nr 1/2025 slutgiltigt antagen och se till att den offentliggörs i </w:t>
      </w:r>
      <w:r w:rsidRPr="00BC2FAB">
        <w:rPr>
          <w:i/>
          <w:iCs/>
        </w:rPr>
        <w:t>Europeiska unionens officiella tidning</w:t>
      </w:r>
      <w:r w:rsidRPr="00BC2FAB">
        <w:t>.</w:t>
      </w:r>
    </w:p>
    <w:p w14:paraId="6FB20DAE" w14:textId="77777777" w:rsidR="00701ACF" w:rsidRPr="00BC2FAB" w:rsidRDefault="00CE7C98" w:rsidP="00701ACF">
      <w:pPr>
        <w:pStyle w:val="NormalHanging12a"/>
        <w:ind w:hanging="570"/>
      </w:pPr>
      <w:r w:rsidRPr="00BC2FAB">
        <w:t>11.</w:t>
      </w:r>
      <w:r w:rsidRPr="00BC2FAB">
        <w:tab/>
        <w:t xml:space="preserve">Europaparlamentet uppdrar åt talmannen att översända denna resolution till rådet och </w:t>
      </w:r>
      <w:r w:rsidRPr="00BC2FAB">
        <w:lastRenderedPageBreak/>
        <w:t>kommissionen, övriga institutioner och berörda organ samt till de nationella parlamenten.</w:t>
      </w:r>
    </w:p>
    <w:p w14:paraId="1CC3D21C" w14:textId="77777777" w:rsidR="00E365E1" w:rsidRPr="00BC2FAB" w:rsidRDefault="00E365E1" w:rsidP="009C64E8"/>
    <w:sectPr w:rsidR="00E365E1" w:rsidRPr="00BC2FAB" w:rsidSect="00701A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62A4C" w14:textId="77777777" w:rsidR="009C64E8" w:rsidRPr="00701ACF" w:rsidRDefault="009C64E8">
      <w:r w:rsidRPr="00701ACF">
        <w:separator/>
      </w:r>
    </w:p>
  </w:endnote>
  <w:endnote w:type="continuationSeparator" w:id="0">
    <w:p w14:paraId="61CFEAE7" w14:textId="77777777" w:rsidR="009C64E8" w:rsidRPr="00701ACF" w:rsidRDefault="009C64E8">
      <w:r w:rsidRPr="00701A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57077" w14:textId="77777777" w:rsidR="00064002" w:rsidRPr="00701A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0DB" w14:textId="77777777" w:rsidR="00064002" w:rsidRPr="00701A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A053B" w14:textId="77777777" w:rsidR="00064002" w:rsidRPr="00701A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A3672" w14:textId="77777777" w:rsidR="009C64E8" w:rsidRPr="00701ACF" w:rsidRDefault="009C64E8">
      <w:r w:rsidRPr="00701ACF">
        <w:separator/>
      </w:r>
    </w:p>
  </w:footnote>
  <w:footnote w:type="continuationSeparator" w:id="0">
    <w:p w14:paraId="6A1BD9DF" w14:textId="77777777" w:rsidR="009C64E8" w:rsidRPr="00701ACF" w:rsidRDefault="009C64E8">
      <w:r w:rsidRPr="00701ACF">
        <w:continuationSeparator/>
      </w:r>
    </w:p>
  </w:footnote>
  <w:footnote w:id="1">
    <w:p w14:paraId="6A875A02" w14:textId="77777777" w:rsidR="00CE7C98" w:rsidRPr="00F521D2" w:rsidRDefault="00CE7C98" w:rsidP="00701ACF">
      <w:pPr>
        <w:pStyle w:val="FootnoteText"/>
        <w:ind w:left="567" w:hanging="567"/>
        <w:rPr>
          <w:sz w:val="24"/>
        </w:rPr>
      </w:pPr>
      <w:r w:rsidRPr="00701ACF">
        <w:rPr>
          <w:rStyle w:val="FootnoteReference"/>
          <w:sz w:val="24"/>
          <w:lang w:val="sv-SE"/>
        </w:rPr>
        <w:footnoteRef/>
      </w:r>
      <w:r w:rsidR="00701ACF" w:rsidRPr="00F521D2">
        <w:rPr>
          <w:sz w:val="24"/>
        </w:rPr>
        <w:t xml:space="preserve"> </w:t>
      </w:r>
      <w:r w:rsidR="00701ACF" w:rsidRPr="00F521D2">
        <w:rPr>
          <w:sz w:val="24"/>
        </w:rPr>
        <w:tab/>
      </w:r>
      <w:r w:rsidRPr="00F521D2">
        <w:rPr>
          <w:sz w:val="24"/>
        </w:rPr>
        <w:t xml:space="preserve">EUT L, 2024/2509, 26.9.2024, </w:t>
      </w:r>
      <w:hyperlink r:id="rId1" w:history="1">
        <w:r w:rsidRPr="00F521D2">
          <w:rPr>
            <w:rStyle w:val="Hyperlink"/>
            <w:sz w:val="24"/>
          </w:rPr>
          <w:t>http://data.europa.eu/eli/reg/2024/2509/oj</w:t>
        </w:r>
      </w:hyperlink>
      <w:r w:rsidRPr="00F521D2">
        <w:rPr>
          <w:sz w:val="24"/>
        </w:rPr>
        <w:t>.</w:t>
      </w:r>
    </w:p>
  </w:footnote>
  <w:footnote w:id="2">
    <w:p w14:paraId="6594FF00" w14:textId="77777777" w:rsidR="00CE7C98" w:rsidRPr="00F521D2" w:rsidRDefault="00CE7C98" w:rsidP="00701ACF">
      <w:pPr>
        <w:pStyle w:val="FootnoteText"/>
        <w:ind w:left="567" w:hanging="567"/>
        <w:rPr>
          <w:sz w:val="24"/>
        </w:rPr>
      </w:pPr>
      <w:r w:rsidRPr="00701ACF">
        <w:rPr>
          <w:rStyle w:val="FootnoteReference"/>
          <w:sz w:val="24"/>
          <w:lang w:val="sv-SE"/>
        </w:rPr>
        <w:footnoteRef/>
      </w:r>
      <w:r w:rsidR="00701ACF" w:rsidRPr="00F521D2">
        <w:rPr>
          <w:sz w:val="24"/>
        </w:rPr>
        <w:t xml:space="preserve"> </w:t>
      </w:r>
      <w:r w:rsidR="00701ACF" w:rsidRPr="00F521D2">
        <w:rPr>
          <w:sz w:val="24"/>
        </w:rPr>
        <w:tab/>
      </w:r>
      <w:r w:rsidRPr="00F521D2">
        <w:rPr>
          <w:sz w:val="24"/>
        </w:rPr>
        <w:t xml:space="preserve">EUT L, 2025/31, 27.2.2025, </w:t>
      </w:r>
      <w:hyperlink r:id="rId2" w:history="1">
        <w:r w:rsidRPr="00F521D2">
          <w:rPr>
            <w:rStyle w:val="Hyperlink"/>
            <w:sz w:val="24"/>
          </w:rPr>
          <w:t>http://data.europa.eu/eli/budget/2025/31/oj</w:t>
        </w:r>
      </w:hyperlink>
      <w:r w:rsidRPr="00F521D2">
        <w:rPr>
          <w:rStyle w:val="Hyperlink"/>
          <w:sz w:val="24"/>
        </w:rPr>
        <w:t>.</w:t>
      </w:r>
    </w:p>
  </w:footnote>
  <w:footnote w:id="3">
    <w:p w14:paraId="2007A201" w14:textId="77777777" w:rsidR="00CE7C98" w:rsidRPr="00F521D2" w:rsidRDefault="00CE7C98" w:rsidP="00701ACF">
      <w:pPr>
        <w:pStyle w:val="FootnoteText"/>
        <w:ind w:left="567" w:hanging="567"/>
        <w:rPr>
          <w:sz w:val="24"/>
          <w:lang w:val="fi-FI"/>
        </w:rPr>
      </w:pPr>
      <w:r w:rsidRPr="00701ACF">
        <w:rPr>
          <w:rStyle w:val="FootnoteReference"/>
          <w:sz w:val="24"/>
          <w:lang w:val="sv-SE"/>
        </w:rPr>
        <w:footnoteRef/>
      </w:r>
      <w:r w:rsidR="00701ACF" w:rsidRPr="00F521D2">
        <w:rPr>
          <w:sz w:val="24"/>
          <w:lang w:val="fi-FI"/>
        </w:rPr>
        <w:t xml:space="preserve"> </w:t>
      </w:r>
      <w:r w:rsidR="00701ACF" w:rsidRPr="00F521D2">
        <w:rPr>
          <w:sz w:val="24"/>
          <w:lang w:val="fi-FI"/>
        </w:rPr>
        <w:tab/>
      </w:r>
      <w:r w:rsidRPr="00F521D2">
        <w:rPr>
          <w:sz w:val="24"/>
          <w:lang w:val="fi-FI"/>
        </w:rPr>
        <w:t xml:space="preserve">EUT L 433 I, 22.12.2020, s. 11, ELI: </w:t>
      </w:r>
      <w:r w:rsidR="003A1E2C">
        <w:fldChar w:fldCharType="begin"/>
      </w:r>
      <w:r w:rsidR="003A1E2C" w:rsidRPr="0009786E">
        <w:rPr>
          <w:lang w:val="fi-FI"/>
        </w:rPr>
        <w:instrText>HYPERLINK "http://data.europa.eu/eli/reg/2020/2093/oj"</w:instrText>
      </w:r>
      <w:r w:rsidR="003A1E2C">
        <w:fldChar w:fldCharType="separate"/>
      </w:r>
      <w:r w:rsidRPr="00F521D2">
        <w:rPr>
          <w:rStyle w:val="Hyperlink"/>
          <w:sz w:val="24"/>
          <w:lang w:val="fi-FI"/>
        </w:rPr>
        <w:t>http://data.europa.eu/eli/reg/2020/2093/oj</w:t>
      </w:r>
      <w:r w:rsidR="003A1E2C">
        <w:rPr>
          <w:rStyle w:val="Hyperlink"/>
          <w:sz w:val="24"/>
          <w:lang w:val="fi-FI"/>
        </w:rPr>
        <w:fldChar w:fldCharType="end"/>
      </w:r>
      <w:r w:rsidRPr="00F521D2">
        <w:rPr>
          <w:sz w:val="24"/>
          <w:lang w:val="fi-FI"/>
        </w:rPr>
        <w:t>.</w:t>
      </w:r>
    </w:p>
  </w:footnote>
  <w:footnote w:id="4">
    <w:p w14:paraId="5FDED5A1" w14:textId="77777777" w:rsidR="00CE7C98" w:rsidRPr="00F521D2" w:rsidRDefault="00CE7C98" w:rsidP="00701ACF">
      <w:pPr>
        <w:pStyle w:val="FootnoteText"/>
        <w:ind w:left="567" w:hanging="567"/>
        <w:rPr>
          <w:sz w:val="24"/>
          <w:lang w:val="fi-FI"/>
        </w:rPr>
      </w:pPr>
      <w:r w:rsidRPr="00701ACF">
        <w:rPr>
          <w:rStyle w:val="FootnoteReference"/>
          <w:sz w:val="24"/>
          <w:lang w:val="sv-SE"/>
        </w:rPr>
        <w:footnoteRef/>
      </w:r>
      <w:r w:rsidR="00701ACF" w:rsidRPr="00F521D2">
        <w:rPr>
          <w:sz w:val="24"/>
          <w:lang w:val="fi-FI"/>
        </w:rPr>
        <w:t xml:space="preserve"> </w:t>
      </w:r>
      <w:r w:rsidR="00701ACF" w:rsidRPr="00F521D2">
        <w:rPr>
          <w:sz w:val="24"/>
          <w:lang w:val="fi-FI"/>
        </w:rPr>
        <w:tab/>
      </w:r>
      <w:r w:rsidRPr="00F521D2">
        <w:rPr>
          <w:sz w:val="24"/>
          <w:lang w:val="fi-FI"/>
        </w:rPr>
        <w:t xml:space="preserve">EUT L 433 I, 22.12.2020, s. 28, ELI: </w:t>
      </w:r>
      <w:r w:rsidR="003A1E2C">
        <w:fldChar w:fldCharType="begin"/>
      </w:r>
      <w:r w:rsidR="003A1E2C" w:rsidRPr="0009786E">
        <w:rPr>
          <w:lang w:val="fi-FI"/>
        </w:rPr>
        <w:instrText>HYPERLINK "http://data.europa.eu/eli/agree_interinstit/2020/1222/oj"</w:instrText>
      </w:r>
      <w:r w:rsidR="003A1E2C">
        <w:fldChar w:fldCharType="separate"/>
      </w:r>
      <w:r w:rsidRPr="00F521D2">
        <w:rPr>
          <w:rStyle w:val="Hyperlink"/>
          <w:sz w:val="24"/>
          <w:lang w:val="fi-FI"/>
        </w:rPr>
        <w:t>http://data.europa.eu/eli/agree_interinstit/2020/1222/oj</w:t>
      </w:r>
      <w:r w:rsidR="003A1E2C">
        <w:rPr>
          <w:rStyle w:val="Hyperlink"/>
          <w:sz w:val="24"/>
          <w:lang w:val="fi-FI"/>
        </w:rPr>
        <w:fldChar w:fldCharType="end"/>
      </w:r>
      <w:r w:rsidRPr="00F521D2">
        <w:rPr>
          <w:rStyle w:val="Hyperlink"/>
          <w:sz w:val="24"/>
          <w:lang w:val="fi-FI"/>
        </w:rPr>
        <w:t>.</w:t>
      </w:r>
    </w:p>
  </w:footnote>
  <w:footnote w:id="5">
    <w:p w14:paraId="02B67675" w14:textId="77777777" w:rsidR="00CE7C98" w:rsidRPr="00F521D2" w:rsidRDefault="00CE7C98" w:rsidP="00701ACF">
      <w:pPr>
        <w:pStyle w:val="FootnoteText"/>
        <w:ind w:left="567" w:hanging="567"/>
        <w:rPr>
          <w:sz w:val="24"/>
          <w:lang w:val="fi-FI"/>
        </w:rPr>
      </w:pPr>
      <w:r w:rsidRPr="00701ACF">
        <w:rPr>
          <w:rStyle w:val="FootnoteReference"/>
          <w:sz w:val="24"/>
          <w:lang w:val="sv-SE"/>
        </w:rPr>
        <w:footnoteRef/>
      </w:r>
      <w:r w:rsidR="00701ACF" w:rsidRPr="00F521D2">
        <w:rPr>
          <w:sz w:val="24"/>
          <w:lang w:val="fi-FI"/>
        </w:rPr>
        <w:t xml:space="preserve"> </w:t>
      </w:r>
      <w:r w:rsidR="00701ACF" w:rsidRPr="00F521D2">
        <w:rPr>
          <w:sz w:val="24"/>
          <w:lang w:val="fi-FI"/>
        </w:rPr>
        <w:tab/>
      </w:r>
      <w:r w:rsidRPr="00F521D2">
        <w:rPr>
          <w:sz w:val="24"/>
          <w:lang w:val="fi-FI"/>
        </w:rPr>
        <w:t xml:space="preserve">EUT L 424, 15.12.2020, s. 1, ELI: </w:t>
      </w:r>
      <w:r w:rsidR="003A1E2C">
        <w:fldChar w:fldCharType="begin"/>
      </w:r>
      <w:r w:rsidR="003A1E2C" w:rsidRPr="0009786E">
        <w:rPr>
          <w:lang w:val="fi-FI"/>
        </w:rPr>
        <w:instrText>HYPERLINK "http://data.europa.eu/eli/dec/2020/2053/oj"</w:instrText>
      </w:r>
      <w:r w:rsidR="003A1E2C">
        <w:fldChar w:fldCharType="separate"/>
      </w:r>
      <w:r w:rsidRPr="00F521D2">
        <w:rPr>
          <w:rStyle w:val="Hyperlink"/>
          <w:sz w:val="24"/>
          <w:lang w:val="fi-FI"/>
        </w:rPr>
        <w:t>http://data.europa.eu/eli/dec/2020/2053/oj</w:t>
      </w:r>
      <w:r w:rsidR="003A1E2C">
        <w:rPr>
          <w:rStyle w:val="Hyperlink"/>
          <w:sz w:val="24"/>
          <w:lang w:val="fi-FI"/>
        </w:rPr>
        <w:fldChar w:fldCharType="end"/>
      </w:r>
      <w:r w:rsidRPr="00F521D2">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B4EF" w14:textId="77777777" w:rsidR="00064002" w:rsidRPr="00701A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F0C8" w14:textId="77777777" w:rsidR="00064002" w:rsidRPr="00701A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65CA9" w14:textId="77777777" w:rsidR="00064002" w:rsidRPr="00701A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979462">
    <w:abstractNumId w:val="9"/>
  </w:num>
  <w:num w:numId="2" w16cid:durableId="1881362365">
    <w:abstractNumId w:val="9"/>
  </w:num>
  <w:num w:numId="3" w16cid:durableId="1395349280">
    <w:abstractNumId w:val="7"/>
  </w:num>
  <w:num w:numId="4" w16cid:durableId="323752012">
    <w:abstractNumId w:val="7"/>
  </w:num>
  <w:num w:numId="5" w16cid:durableId="392120791">
    <w:abstractNumId w:val="6"/>
  </w:num>
  <w:num w:numId="6" w16cid:durableId="1609963609">
    <w:abstractNumId w:val="6"/>
  </w:num>
  <w:num w:numId="7" w16cid:durableId="2122869119">
    <w:abstractNumId w:val="5"/>
  </w:num>
  <w:num w:numId="8" w16cid:durableId="1836608600">
    <w:abstractNumId w:val="5"/>
  </w:num>
  <w:num w:numId="9" w16cid:durableId="169609905">
    <w:abstractNumId w:val="4"/>
  </w:num>
  <w:num w:numId="10" w16cid:durableId="1970671428">
    <w:abstractNumId w:val="4"/>
  </w:num>
  <w:num w:numId="11" w16cid:durableId="2069646392">
    <w:abstractNumId w:val="8"/>
  </w:num>
  <w:num w:numId="12" w16cid:durableId="520049733">
    <w:abstractNumId w:val="8"/>
  </w:num>
  <w:num w:numId="13" w16cid:durableId="1117679553">
    <w:abstractNumId w:val="3"/>
  </w:num>
  <w:num w:numId="14" w16cid:durableId="638001864">
    <w:abstractNumId w:val="3"/>
  </w:num>
  <w:num w:numId="15" w16cid:durableId="1301299632">
    <w:abstractNumId w:val="2"/>
  </w:num>
  <w:num w:numId="16" w16cid:durableId="660692265">
    <w:abstractNumId w:val="2"/>
  </w:num>
  <w:num w:numId="17" w16cid:durableId="1012798314">
    <w:abstractNumId w:val="1"/>
  </w:num>
  <w:num w:numId="18" w16cid:durableId="1522430715">
    <w:abstractNumId w:val="1"/>
  </w:num>
  <w:num w:numId="19" w16cid:durableId="1555698064">
    <w:abstractNumId w:val="0"/>
  </w:num>
  <w:num w:numId="20" w16cid:durableId="484397325">
    <w:abstractNumId w:val="0"/>
  </w:num>
  <w:num w:numId="21" w16cid:durableId="368381532">
    <w:abstractNumId w:val="9"/>
  </w:num>
  <w:num w:numId="22" w16cid:durableId="1753310312">
    <w:abstractNumId w:val="7"/>
  </w:num>
  <w:num w:numId="23" w16cid:durableId="690229191">
    <w:abstractNumId w:val="6"/>
  </w:num>
  <w:num w:numId="24" w16cid:durableId="941647080">
    <w:abstractNumId w:val="5"/>
  </w:num>
  <w:num w:numId="25" w16cid:durableId="1924103203">
    <w:abstractNumId w:val="4"/>
  </w:num>
  <w:num w:numId="26" w16cid:durableId="1962026501">
    <w:abstractNumId w:val="8"/>
  </w:num>
  <w:num w:numId="27" w16cid:durableId="464785611">
    <w:abstractNumId w:val="3"/>
  </w:num>
  <w:num w:numId="28" w16cid:durableId="82532683">
    <w:abstractNumId w:val="2"/>
  </w:num>
  <w:num w:numId="29" w16cid:durableId="72824824">
    <w:abstractNumId w:val="1"/>
  </w:num>
  <w:num w:numId="30" w16cid:durableId="1389645644">
    <w:abstractNumId w:val="0"/>
  </w:num>
  <w:num w:numId="31" w16cid:durableId="2114013898">
    <w:abstractNumId w:val="9"/>
  </w:num>
  <w:num w:numId="32" w16cid:durableId="2007975218">
    <w:abstractNumId w:val="7"/>
  </w:num>
  <w:num w:numId="33" w16cid:durableId="1888834560">
    <w:abstractNumId w:val="6"/>
  </w:num>
  <w:num w:numId="34" w16cid:durableId="2067143577">
    <w:abstractNumId w:val="5"/>
  </w:num>
  <w:num w:numId="35" w16cid:durableId="1810827771">
    <w:abstractNumId w:val="4"/>
  </w:num>
  <w:num w:numId="36" w16cid:durableId="469983073">
    <w:abstractNumId w:val="8"/>
  </w:num>
  <w:num w:numId="37" w16cid:durableId="1707094229">
    <w:abstractNumId w:val="3"/>
  </w:num>
  <w:num w:numId="38" w16cid:durableId="1452624635">
    <w:abstractNumId w:val="2"/>
  </w:num>
  <w:num w:numId="39" w16cid:durableId="1364282684">
    <w:abstractNumId w:val="1"/>
  </w:num>
  <w:num w:numId="40" w16cid:durableId="314604388">
    <w:abstractNumId w:val="0"/>
  </w:num>
  <w:num w:numId="41" w16cid:durableId="1182861308">
    <w:abstractNumId w:val="10"/>
  </w:num>
  <w:num w:numId="42" w16cid:durableId="1025639696">
    <w:abstractNumId w:val="10"/>
  </w:num>
  <w:num w:numId="43" w16cid:durableId="238294597">
    <w:abstractNumId w:val="10"/>
  </w:num>
  <w:num w:numId="44" w16cid:durableId="998823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6/2025"/>
    <w:docVar w:name="dvlangue" w:val="SV"/>
    <w:docVar w:name="dvnumam" w:val="0"/>
    <w:docVar w:name="dvpe" w:val="773.098"/>
    <w:docVar w:name="dvrapporteur" w:val="Föredragande: "/>
    <w:docVar w:name="dvtitre" w:val="Europaparlamentets resolution av den xx xx 2025 om rådets ståndpunkt om förslaget till Europeiska unionens ändringsbudget nr 1 för budgetåret 2025 – införande av överskottet från budgetåret 2024(00000/2025 – C10-0000/2025 – 2025/0091(BUD))"/>
  </w:docVars>
  <w:rsids>
    <w:rsidRoot w:val="009C64E8"/>
    <w:rsid w:val="00002272"/>
    <w:rsid w:val="000066FD"/>
    <w:rsid w:val="00064002"/>
    <w:rsid w:val="000677B9"/>
    <w:rsid w:val="000831BA"/>
    <w:rsid w:val="0009786E"/>
    <w:rsid w:val="000A42CC"/>
    <w:rsid w:val="000E7DD9"/>
    <w:rsid w:val="0010095E"/>
    <w:rsid w:val="00125B37"/>
    <w:rsid w:val="00187494"/>
    <w:rsid w:val="001F32AE"/>
    <w:rsid w:val="002767FF"/>
    <w:rsid w:val="002B18FE"/>
    <w:rsid w:val="002B5493"/>
    <w:rsid w:val="00343214"/>
    <w:rsid w:val="00361C00"/>
    <w:rsid w:val="00395FA1"/>
    <w:rsid w:val="003A1E2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466"/>
    <w:rsid w:val="006631B6"/>
    <w:rsid w:val="00680577"/>
    <w:rsid w:val="006F74FA"/>
    <w:rsid w:val="00701ACF"/>
    <w:rsid w:val="00731ADD"/>
    <w:rsid w:val="00734777"/>
    <w:rsid w:val="00747932"/>
    <w:rsid w:val="00751A4A"/>
    <w:rsid w:val="00756632"/>
    <w:rsid w:val="00762C74"/>
    <w:rsid w:val="00786EC0"/>
    <w:rsid w:val="007D1690"/>
    <w:rsid w:val="007E22AD"/>
    <w:rsid w:val="00817416"/>
    <w:rsid w:val="00842779"/>
    <w:rsid w:val="00865F67"/>
    <w:rsid w:val="00871982"/>
    <w:rsid w:val="00881A7B"/>
    <w:rsid w:val="008840E5"/>
    <w:rsid w:val="00887B3E"/>
    <w:rsid w:val="00891740"/>
    <w:rsid w:val="008C2AC6"/>
    <w:rsid w:val="00930C23"/>
    <w:rsid w:val="0093193B"/>
    <w:rsid w:val="009509D8"/>
    <w:rsid w:val="00950B64"/>
    <w:rsid w:val="00981893"/>
    <w:rsid w:val="009C64E8"/>
    <w:rsid w:val="00A1687D"/>
    <w:rsid w:val="00A43E52"/>
    <w:rsid w:val="00A4678D"/>
    <w:rsid w:val="00A778C7"/>
    <w:rsid w:val="00AB441E"/>
    <w:rsid w:val="00AB6293"/>
    <w:rsid w:val="00AE0928"/>
    <w:rsid w:val="00AF3B82"/>
    <w:rsid w:val="00B12E95"/>
    <w:rsid w:val="00B22876"/>
    <w:rsid w:val="00B558F0"/>
    <w:rsid w:val="00BC2FAB"/>
    <w:rsid w:val="00BD48FE"/>
    <w:rsid w:val="00BD7BD8"/>
    <w:rsid w:val="00BE6ADC"/>
    <w:rsid w:val="00C05BFE"/>
    <w:rsid w:val="00C23CD4"/>
    <w:rsid w:val="00C61C0C"/>
    <w:rsid w:val="00C941CB"/>
    <w:rsid w:val="00CC2357"/>
    <w:rsid w:val="00CE7C98"/>
    <w:rsid w:val="00CF071A"/>
    <w:rsid w:val="00D058B8"/>
    <w:rsid w:val="00D56C11"/>
    <w:rsid w:val="00D834A0"/>
    <w:rsid w:val="00D872DF"/>
    <w:rsid w:val="00D91E21"/>
    <w:rsid w:val="00DA7FCD"/>
    <w:rsid w:val="00DF272C"/>
    <w:rsid w:val="00E365E1"/>
    <w:rsid w:val="00E820A4"/>
    <w:rsid w:val="00EB006A"/>
    <w:rsid w:val="00EB4772"/>
    <w:rsid w:val="00ED169E"/>
    <w:rsid w:val="00ED4235"/>
    <w:rsid w:val="00F04346"/>
    <w:rsid w:val="00F075DC"/>
    <w:rsid w:val="00F149E9"/>
    <w:rsid w:val="00F5134D"/>
    <w:rsid w:val="00F521D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F8BEB"/>
  <w15:chartTrackingRefBased/>
  <w15:docId w15:val="{844D0EC4-7EFE-48FE-A354-E99E5D9F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E7C98"/>
    <w:pPr>
      <w:spacing w:before="480" w:after="240"/>
    </w:pPr>
  </w:style>
  <w:style w:type="paragraph" w:customStyle="1" w:styleId="PageHeading">
    <w:name w:val="PageHeading"/>
    <w:basedOn w:val="Normal"/>
    <w:rsid w:val="00CE7C98"/>
    <w:pPr>
      <w:keepNext/>
      <w:spacing w:after="480"/>
      <w:jc w:val="center"/>
    </w:pPr>
    <w:rPr>
      <w:rFonts w:ascii="Arial" w:hAnsi="Arial" w:cs="Arial"/>
      <w:b/>
    </w:rPr>
  </w:style>
  <w:style w:type="paragraph" w:customStyle="1" w:styleId="NormalBold">
    <w:name w:val="NormalBold"/>
    <w:basedOn w:val="Normal"/>
    <w:rsid w:val="00CE7C98"/>
    <w:rPr>
      <w:b/>
    </w:rPr>
  </w:style>
  <w:style w:type="paragraph" w:customStyle="1" w:styleId="NormalHanging12a">
    <w:name w:val="NormalHanging12a"/>
    <w:basedOn w:val="Normal"/>
    <w:link w:val="NormalHanging12aChar"/>
    <w:rsid w:val="00CE7C98"/>
    <w:pPr>
      <w:spacing w:after="240"/>
      <w:ind w:left="567" w:hanging="567"/>
    </w:pPr>
  </w:style>
  <w:style w:type="character" w:styleId="Hyperlink">
    <w:name w:val="Hyperlink"/>
    <w:basedOn w:val="DefaultParagraphFont"/>
    <w:uiPriority w:val="99"/>
    <w:rsid w:val="00CE7C98"/>
    <w:rPr>
      <w:color w:val="0563C1" w:themeColor="hyperlink"/>
      <w:u w:val="single"/>
    </w:rPr>
  </w:style>
  <w:style w:type="character" w:customStyle="1" w:styleId="NormalHanging12aChar">
    <w:name w:val="NormalHanging12a Char"/>
    <w:basedOn w:val="DefaultParagraphFont"/>
    <w:link w:val="NormalHanging12a"/>
    <w:locked/>
    <w:rsid w:val="00CE7C98"/>
    <w:rPr>
      <w:sz w:val="24"/>
      <w:lang w:val="sv-SE"/>
    </w:rPr>
  </w:style>
  <w:style w:type="character" w:styleId="CommentReference">
    <w:name w:val="annotation reference"/>
    <w:basedOn w:val="DefaultParagraphFont"/>
    <w:rsid w:val="00DF272C"/>
    <w:rPr>
      <w:sz w:val="16"/>
      <w:szCs w:val="16"/>
    </w:rPr>
  </w:style>
  <w:style w:type="paragraph" w:styleId="CommentText">
    <w:name w:val="annotation text"/>
    <w:basedOn w:val="Normal"/>
    <w:link w:val="CommentTextChar"/>
    <w:rsid w:val="00DF272C"/>
    <w:rPr>
      <w:sz w:val="20"/>
    </w:rPr>
  </w:style>
  <w:style w:type="character" w:customStyle="1" w:styleId="CommentTextChar">
    <w:name w:val="Comment Text Char"/>
    <w:basedOn w:val="DefaultParagraphFont"/>
    <w:link w:val="CommentText"/>
    <w:rsid w:val="00DF272C"/>
    <w:rPr>
      <w:lang w:val="sv-SE"/>
    </w:rPr>
  </w:style>
  <w:style w:type="paragraph" w:styleId="CommentSubject">
    <w:name w:val="annotation subject"/>
    <w:basedOn w:val="CommentText"/>
    <w:next w:val="CommentText"/>
    <w:link w:val="CommentSubjectChar"/>
    <w:rsid w:val="00DF272C"/>
    <w:rPr>
      <w:b/>
      <w:bCs/>
    </w:rPr>
  </w:style>
  <w:style w:type="character" w:customStyle="1" w:styleId="CommentSubjectChar">
    <w:name w:val="Comment Subject Char"/>
    <w:basedOn w:val="CommentTextChar"/>
    <w:link w:val="CommentSubject"/>
    <w:rsid w:val="00DF272C"/>
    <w:rPr>
      <w:b/>
      <w:bCs/>
      <w:lang w:val="sv-SE"/>
    </w:rPr>
  </w:style>
  <w:style w:type="paragraph" w:styleId="BalloonText">
    <w:name w:val="Balloon Text"/>
    <w:basedOn w:val="Normal"/>
    <w:link w:val="BalloonTextChar"/>
    <w:rsid w:val="00DF272C"/>
    <w:rPr>
      <w:rFonts w:ascii="Segoe UI" w:hAnsi="Segoe UI" w:cs="Segoe UI"/>
      <w:sz w:val="18"/>
      <w:szCs w:val="18"/>
    </w:rPr>
  </w:style>
  <w:style w:type="character" w:customStyle="1" w:styleId="BalloonTextChar">
    <w:name w:val="Balloon Text Char"/>
    <w:basedOn w:val="DefaultParagraphFont"/>
    <w:link w:val="BalloonText"/>
    <w:rsid w:val="00DF272C"/>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5933E-7563-4858-906F-2257C9C3D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1027</Words>
  <Characters>6551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2025-10-29T13:45:00Z</dcterms:created>
  <dcterms:modified xsi:type="dcterms:W3CDTF">2025-10-29T13:45:00Z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P10_TA(2025)0151_</vt:lpwstr>
  </property>
  <property fmtid="{D5CDD505-2E9C-101B-9397-08002B2CF9AE}" pid="4" name="&lt;Type&gt;">
    <vt:lpwstr>RR</vt:lpwstr>
  </property>
</Properties>
</file>