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2417" w14:paraId="1833DD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031410" w14:textId="77777777" w:rsidR="00751A4A" w:rsidRPr="00002417" w:rsidRDefault="00E8067B" w:rsidP="0010095E">
            <w:pPr>
              <w:pStyle w:val="EPName"/>
            </w:pPr>
            <w:r w:rsidRPr="00002417">
              <w:t>Европейски</w:t>
            </w:r>
            <w:r w:rsidR="007B6AA5" w:rsidRPr="00002417">
              <w:t xml:space="preserve"> парламент</w:t>
            </w:r>
          </w:p>
          <w:p w14:paraId="1425A4EC" w14:textId="77777777" w:rsidR="00751A4A" w:rsidRPr="000024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2417">
              <w:t>2024</w:t>
            </w:r>
            <w:r w:rsidR="00E8067B">
              <w:t> – </w:t>
            </w:r>
            <w:r w:rsidR="00817416" w:rsidRPr="00002417">
              <w:t>202</w:t>
            </w:r>
            <w:r w:rsidRPr="00002417">
              <w:t>9</w:t>
            </w:r>
          </w:p>
        </w:tc>
        <w:tc>
          <w:tcPr>
            <w:tcW w:w="2268" w:type="dxa"/>
            <w:shd w:val="clear" w:color="auto" w:fill="auto"/>
          </w:tcPr>
          <w:p w14:paraId="0334B5EC" w14:textId="77777777" w:rsidR="00751A4A" w:rsidRPr="00002417" w:rsidRDefault="00187494" w:rsidP="0010095E">
            <w:pPr>
              <w:pStyle w:val="EPLogo"/>
            </w:pPr>
            <w:r w:rsidRPr="00002417">
              <w:rPr>
                <w:noProof/>
                <w:lang w:val="en-GB"/>
              </w:rPr>
              <w:drawing>
                <wp:inline distT="0" distB="0" distL="0" distR="0" wp14:anchorId="3C30D98F" wp14:editId="391725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C35FE5" w14:textId="77777777" w:rsidR="00D058B8" w:rsidRPr="00002417" w:rsidRDefault="00D058B8" w:rsidP="004C5D52">
      <w:pPr>
        <w:pStyle w:val="LineTop"/>
      </w:pPr>
    </w:p>
    <w:p w14:paraId="1A4299E1" w14:textId="77777777" w:rsidR="00680577" w:rsidRPr="00002417" w:rsidRDefault="007B6AA5" w:rsidP="00680577">
      <w:pPr>
        <w:pStyle w:val="EPBodyTA1"/>
      </w:pPr>
      <w:r w:rsidRPr="00002417">
        <w:t>ПРИЕТИ ТЕКСТОВЕ</w:t>
      </w:r>
    </w:p>
    <w:p w14:paraId="0815FD5F" w14:textId="77777777" w:rsidR="00D058B8" w:rsidRPr="00002417" w:rsidRDefault="00D058B8" w:rsidP="00D058B8">
      <w:pPr>
        <w:pStyle w:val="LineBottom"/>
      </w:pPr>
    </w:p>
    <w:p w14:paraId="4EA5D491" w14:textId="3D141469" w:rsidR="007B6AA5" w:rsidRPr="00002417" w:rsidRDefault="007B6AA5" w:rsidP="007B6AA5">
      <w:pPr>
        <w:pStyle w:val="ATHeading1"/>
      </w:pPr>
      <w:bookmarkStart w:id="0" w:name="TANumber"/>
      <w:r w:rsidRPr="00002417">
        <w:t>P10_TA(2025)0</w:t>
      </w:r>
      <w:r w:rsidR="001357E7">
        <w:rPr>
          <w:lang w:val="en-GB"/>
        </w:rPr>
        <w:t>15</w:t>
      </w:r>
      <w:bookmarkEnd w:id="0"/>
      <w:r w:rsidR="0036303D">
        <w:rPr>
          <w:lang w:val="en-GB"/>
        </w:rPr>
        <w:t>2</w:t>
      </w:r>
    </w:p>
    <w:p w14:paraId="4AD89B36" w14:textId="51B01FD1" w:rsidR="007B6AA5" w:rsidRPr="00002417" w:rsidRDefault="007B6AA5" w:rsidP="00E8067B">
      <w:pPr>
        <w:pStyle w:val="ATHeading2"/>
      </w:pPr>
      <w:bookmarkStart w:id="1" w:name="title"/>
      <w:r w:rsidRPr="00002417">
        <w:t>Мобилизиране на средства от фонд „Солидарност“ на Европейския съюз</w:t>
      </w:r>
      <w:r w:rsidR="00E901F2">
        <w:t>:</w:t>
      </w:r>
      <w:r w:rsidRPr="00002417">
        <w:t xml:space="preserve"> предоставяне на помощ на Австрия, Полша, Чехия, Словакия и Молдова във връзка с наводненията, настъпили през месец септември 2024 г., и на Босна и Херцеговина във връзка с наводненията,</w:t>
      </w:r>
      <w:r w:rsidR="00E8067B">
        <w:t xml:space="preserve"> </w:t>
      </w:r>
      <w:r w:rsidRPr="00002417">
        <w:t>настъпили през месец октомври 2024 г.</w:t>
      </w:r>
    </w:p>
    <w:p w14:paraId="72C74CF7" w14:textId="77777777" w:rsidR="007B6AA5" w:rsidRPr="00002417" w:rsidRDefault="007B6AA5" w:rsidP="007B6AA5">
      <w:pPr>
        <w:rPr>
          <w:i/>
          <w:vanish/>
        </w:rPr>
      </w:pPr>
      <w:r w:rsidRPr="00002417">
        <w:rPr>
          <w:i/>
        </w:rPr>
        <w:fldChar w:fldCharType="begin"/>
      </w:r>
      <w:r w:rsidRPr="00002417">
        <w:rPr>
          <w:i/>
        </w:rPr>
        <w:instrText xml:space="preserve"> TC"(</w:instrText>
      </w:r>
      <w:bookmarkStart w:id="2" w:name="DocNumber"/>
      <w:r w:rsidRPr="00002417">
        <w:rPr>
          <w:i/>
        </w:rPr>
        <w:instrText>A10-0114/2025</w:instrText>
      </w:r>
      <w:bookmarkEnd w:id="2"/>
      <w:r w:rsidRPr="00002417">
        <w:rPr>
          <w:i/>
        </w:rPr>
        <w:instrText xml:space="preserve"> - Докладчик: Анджей </w:instrText>
      </w:r>
      <w:proofErr w:type="spellStart"/>
      <w:r w:rsidRPr="00002417">
        <w:rPr>
          <w:i/>
        </w:rPr>
        <w:instrText>Халицки</w:instrText>
      </w:r>
      <w:proofErr w:type="spellEnd"/>
      <w:r w:rsidRPr="00002417">
        <w:rPr>
          <w:i/>
        </w:rPr>
        <w:instrText xml:space="preserve">)"\l3 \n&gt; \* MERGEFORMAT </w:instrText>
      </w:r>
      <w:r w:rsidRPr="00002417">
        <w:rPr>
          <w:i/>
        </w:rPr>
        <w:fldChar w:fldCharType="end"/>
      </w:r>
    </w:p>
    <w:p w14:paraId="62E0A494" w14:textId="77777777" w:rsidR="007B6AA5" w:rsidRPr="00002417" w:rsidRDefault="007B6AA5" w:rsidP="007B6AA5">
      <w:pPr>
        <w:rPr>
          <w:vanish/>
        </w:rPr>
      </w:pPr>
      <w:bookmarkStart w:id="3" w:name="Commission"/>
      <w:r w:rsidRPr="00002417">
        <w:rPr>
          <w:vanish/>
        </w:rPr>
        <w:t>Комисия по бюджети</w:t>
      </w:r>
      <w:bookmarkEnd w:id="3"/>
    </w:p>
    <w:p w14:paraId="5F169D8D" w14:textId="77777777" w:rsidR="007B6AA5" w:rsidRPr="00002417" w:rsidRDefault="007B6AA5" w:rsidP="007B6AA5">
      <w:pPr>
        <w:rPr>
          <w:vanish/>
        </w:rPr>
      </w:pPr>
      <w:bookmarkStart w:id="4" w:name="PE"/>
      <w:r w:rsidRPr="00002417">
        <w:rPr>
          <w:vanish/>
        </w:rPr>
        <w:t>PE774.284</w:t>
      </w:r>
      <w:bookmarkEnd w:id="4"/>
    </w:p>
    <w:p w14:paraId="01A7179F" w14:textId="6CC16FBD" w:rsidR="007B6AA5" w:rsidRPr="00002417" w:rsidRDefault="007B6AA5" w:rsidP="007B6AA5">
      <w:pPr>
        <w:pStyle w:val="ATHeading3"/>
      </w:pPr>
      <w:bookmarkStart w:id="5" w:name="Sujet"/>
      <w:r w:rsidRPr="00002417">
        <w:t>Резолюция</w:t>
      </w:r>
      <w:r w:rsidR="00E8067B">
        <w:t xml:space="preserve"> на Европейския парламент от 9 юли</w:t>
      </w:r>
      <w:r w:rsidRPr="00002417">
        <w:t xml:space="preserve"> 2025 г. </w:t>
      </w:r>
      <w:r w:rsidR="00E901F2">
        <w:t>о</w:t>
      </w:r>
      <w:r w:rsidRPr="00002417">
        <w:t>тносно предложението за решение на Европейския парламент и на Съвета във връзка с мобилизирането на средства от фонд „Солидарност“ на Европейския съюз за предоставяне на помощ на Австрия, Полша, Чехия, Словакия и Молдова във връзка с наводненията, настъпили през месец септември 2024 г. и на Босна и Херцеговина във връзка с наводненията, настъпили през месец октомври 2024 г.</w:t>
      </w:r>
      <w:bookmarkEnd w:id="5"/>
      <w:r w:rsidRPr="00002417">
        <w:t xml:space="preserve"> </w:t>
      </w:r>
      <w:bookmarkStart w:id="6" w:name="References"/>
      <w:r w:rsidRPr="00002417">
        <w:t>(COM(2025)0250 – C10-0102/2025 – 2025/0138(BUD))</w:t>
      </w:r>
      <w:bookmarkEnd w:id="6"/>
    </w:p>
    <w:p w14:paraId="0241E9BC" w14:textId="77777777" w:rsidR="00106483" w:rsidRPr="00002417" w:rsidRDefault="00106483" w:rsidP="00106483">
      <w:pPr>
        <w:pStyle w:val="EPComma"/>
        <w:rPr>
          <w:noProof/>
        </w:rPr>
      </w:pPr>
      <w:r w:rsidRPr="00002417">
        <w:rPr>
          <w:i/>
        </w:rPr>
        <w:t>Европейският парламент</w:t>
      </w:r>
      <w:r w:rsidRPr="00002417">
        <w:t>,</w:t>
      </w:r>
    </w:p>
    <w:p w14:paraId="35B082E7" w14:textId="53E88531" w:rsidR="00106483" w:rsidRPr="00002417" w:rsidRDefault="00106483" w:rsidP="00E8067B">
      <w:pPr>
        <w:pStyle w:val="NormalHanging12a"/>
        <w:rPr>
          <w:noProof/>
        </w:rPr>
      </w:pPr>
      <w:r w:rsidRPr="00002417">
        <w:t>–</w:t>
      </w:r>
      <w:r w:rsidRPr="00002417">
        <w:tab/>
        <w:t xml:space="preserve">като взе предвид предложението на Комисията до </w:t>
      </w:r>
      <w:r w:rsidR="00E8067B">
        <w:t>П</w:t>
      </w:r>
      <w:r w:rsidRPr="00002417">
        <w:t>арламент</w:t>
      </w:r>
      <w:r w:rsidR="00E8067B">
        <w:t>а</w:t>
      </w:r>
      <w:r w:rsidRPr="00002417">
        <w:t xml:space="preserve"> и </w:t>
      </w:r>
      <w:r w:rsidR="00E8067B">
        <w:t xml:space="preserve">до </w:t>
      </w:r>
      <w:r w:rsidRPr="00002417">
        <w:t>Съвета (COM(2025)0250 – C10</w:t>
      </w:r>
      <w:r w:rsidRPr="00002417">
        <w:noBreakHyphen/>
        <w:t>0102/2025),</w:t>
      </w:r>
    </w:p>
    <w:p w14:paraId="4F9AA055" w14:textId="77777777" w:rsidR="00106483" w:rsidRPr="00002417" w:rsidRDefault="00106483" w:rsidP="00106483">
      <w:pPr>
        <w:pStyle w:val="NormalHanging12a"/>
        <w:rPr>
          <w:noProof/>
        </w:rPr>
      </w:pPr>
      <w:r w:rsidRPr="00002417">
        <w:t>–</w:t>
      </w:r>
      <w:r w:rsidRPr="00002417">
        <w:tab/>
        <w:t>като взе предвид Регламент (ЕО) № 2012/2002 на Съвета от 11 ноември 2002 г. за създаване на фонд „Солидарност“ на Европейския съюз</w:t>
      </w:r>
      <w:r w:rsidRPr="00002417">
        <w:rPr>
          <w:rStyle w:val="FootnoteReference"/>
        </w:rPr>
        <w:footnoteReference w:id="1"/>
      </w:r>
      <w:r w:rsidRPr="00002417">
        <w:t>,</w:t>
      </w:r>
    </w:p>
    <w:p w14:paraId="7A05C83F" w14:textId="77777777" w:rsidR="00106483" w:rsidRPr="00002417" w:rsidRDefault="00106483" w:rsidP="00106483">
      <w:pPr>
        <w:pStyle w:val="NormalHanging12a"/>
        <w:rPr>
          <w:noProof/>
        </w:rPr>
      </w:pPr>
      <w:r w:rsidRPr="00002417">
        <w:t>–</w:t>
      </w:r>
      <w:r w:rsidRPr="00002417">
        <w:tab/>
        <w:t>като взе предвид Регламент (EC, Евратом) 2020/2093 на Съвета от 17 декември 2020 г. за определяне на многогодишната финансова рамка за годините 2021 — 2027</w:t>
      </w:r>
      <w:r w:rsidRPr="00002417">
        <w:rPr>
          <w:rStyle w:val="FootnoteReference"/>
          <w:noProof/>
        </w:rPr>
        <w:footnoteReference w:id="2"/>
      </w:r>
      <w:r w:rsidRPr="00002417">
        <w:t>, и по-специално член 9 от него,</w:t>
      </w:r>
    </w:p>
    <w:p w14:paraId="4AE02441" w14:textId="77777777" w:rsidR="00106483" w:rsidRPr="00002417" w:rsidRDefault="00106483" w:rsidP="00106483">
      <w:pPr>
        <w:pStyle w:val="NormalHanging12a"/>
        <w:rPr>
          <w:noProof/>
        </w:rPr>
      </w:pPr>
      <w:r w:rsidRPr="00002417">
        <w:t>–</w:t>
      </w:r>
      <w:r w:rsidRPr="00002417">
        <w:tab/>
        <w:t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002417">
        <w:rPr>
          <w:rStyle w:val="FootnoteReference"/>
          <w:noProof/>
        </w:rPr>
        <w:footnoteReference w:id="3"/>
      </w:r>
      <w:r w:rsidRPr="00002417">
        <w:t>, и по-</w:t>
      </w:r>
      <w:r w:rsidRPr="00002417">
        <w:lastRenderedPageBreak/>
        <w:t>специално точка 10 от него,</w:t>
      </w:r>
    </w:p>
    <w:p w14:paraId="13DBA5C3" w14:textId="77777777" w:rsidR="00106483" w:rsidRPr="00002417" w:rsidRDefault="00106483" w:rsidP="00106483">
      <w:pPr>
        <w:pStyle w:val="NormalHanging12a"/>
      </w:pPr>
      <w:r w:rsidRPr="00002417">
        <w:t>–</w:t>
      </w:r>
      <w:r w:rsidRPr="00002417">
        <w:tab/>
        <w:t>като взе предвид Регламент (ЕС) 2021/1058 на Европейския парламент и на Съвета от 24 юни 2021 г. относно Европейския фонд за регионално развитие и относно Кохезионния фонд</w:t>
      </w:r>
      <w:r w:rsidRPr="00002417">
        <w:rPr>
          <w:rStyle w:val="FootnoteReference"/>
        </w:rPr>
        <w:footnoteReference w:id="4"/>
      </w:r>
      <w:r w:rsidRPr="00002417">
        <w:t xml:space="preserve">, </w:t>
      </w:r>
    </w:p>
    <w:p w14:paraId="6C72DCA4" w14:textId="77777777" w:rsidR="00106483" w:rsidRPr="00002417" w:rsidRDefault="00106483" w:rsidP="00106483">
      <w:pPr>
        <w:pStyle w:val="NormalHanging12a"/>
      </w:pPr>
      <w:r w:rsidRPr="00002417">
        <w:t>–</w:t>
      </w:r>
      <w:r w:rsidRPr="00002417">
        <w:tab/>
        <w:t>като взе предвид Регламент (ЕС) 2021/1057 на Европейския парламент и на Съвета от 24 юни 2021 г. за създаване на Европейския социален фонд плюс (ЕСФ+)</w:t>
      </w:r>
      <w:r w:rsidRPr="00002417">
        <w:rPr>
          <w:rStyle w:val="FootnoteReference"/>
        </w:rPr>
        <w:footnoteReference w:id="5"/>
      </w:r>
      <w:r w:rsidRPr="00002417">
        <w:t xml:space="preserve">, </w:t>
      </w:r>
    </w:p>
    <w:p w14:paraId="0D875F44" w14:textId="77777777" w:rsidR="00106483" w:rsidRPr="00002417" w:rsidRDefault="00106483" w:rsidP="00106483">
      <w:pPr>
        <w:pStyle w:val="NormalHanging12a"/>
        <w:rPr>
          <w:noProof/>
        </w:rPr>
      </w:pPr>
      <w:r w:rsidRPr="00002417">
        <w:t>–</w:t>
      </w:r>
      <w:r w:rsidRPr="00002417">
        <w:tab/>
        <w:t>като взе предвид Регламент (ЕС) 2021/2115 на Европейския парламент и на Съвета от 2 декември 2021 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 1305/2013 и (ЕС) № 1307/2013</w:t>
      </w:r>
      <w:r w:rsidRPr="00002417">
        <w:rPr>
          <w:rStyle w:val="FootnoteReference"/>
          <w:noProof/>
        </w:rPr>
        <w:footnoteReference w:id="6"/>
      </w:r>
      <w:r w:rsidRPr="00002417">
        <w:t xml:space="preserve">, </w:t>
      </w:r>
    </w:p>
    <w:p w14:paraId="1D5E6588" w14:textId="77777777" w:rsidR="00106483" w:rsidRPr="00002417" w:rsidRDefault="00106483" w:rsidP="00106483">
      <w:pPr>
        <w:pStyle w:val="NormalWeb"/>
        <w:shd w:val="clear" w:color="auto" w:fill="FFFFFF"/>
        <w:ind w:left="567" w:hanging="567"/>
      </w:pPr>
      <w:r w:rsidRPr="00002417">
        <w:t>–</w:t>
      </w:r>
      <w:r w:rsidRPr="00002417">
        <w:tab/>
        <w:t>като взе предвид своята резолюция от 27 февруари 2024 г. относно проекта на регламент на Съвета за изменение на Регламент (EC, Евратом) 2020/2093 за определяне на многогодишната финансова рамка за годините 2021 — 2027</w:t>
      </w:r>
      <w:r w:rsidRPr="00002417">
        <w:rPr>
          <w:rStyle w:val="FootnoteReference"/>
        </w:rPr>
        <w:footnoteReference w:id="7"/>
      </w:r>
      <w:r w:rsidRPr="00002417">
        <w:t>,</w:t>
      </w:r>
    </w:p>
    <w:p w14:paraId="4969E43A" w14:textId="552ECA64" w:rsidR="00106483" w:rsidRPr="00002417" w:rsidRDefault="00CA11E7" w:rsidP="00FC7B1C">
      <w:pPr>
        <w:pStyle w:val="NormalWeb"/>
        <w:shd w:val="clear" w:color="auto" w:fill="FFFFFF"/>
        <w:ind w:left="567" w:hanging="567"/>
      </w:pPr>
      <w:r w:rsidRPr="00002417">
        <w:t>–</w:t>
      </w:r>
      <w:r w:rsidRPr="00002417">
        <w:tab/>
      </w:r>
      <w:r w:rsidR="00FC7B1C">
        <w:t xml:space="preserve">като взе предвид доклада на </w:t>
      </w:r>
      <w:r w:rsidRPr="00CA11E7">
        <w:t>комисия</w:t>
      </w:r>
      <w:r w:rsidR="00FC7B1C">
        <w:t>та</w:t>
      </w:r>
      <w:r w:rsidRPr="00CA11E7">
        <w:t xml:space="preserve"> по заетост и социални въпроси и на комисията по регионално развитие (A10-0031/2024) в рамките на законодателната процедура за приемане на Регламент (ЕС) 2024/3236 на Европейския парламент и на Съвета от 19 декември 2024 г. за изменение на регламенти (ЕС) 2021/1057 и (ЕС) 2021/1058 по отношение на Регионална</w:t>
      </w:r>
      <w:r>
        <w:t>та</w:t>
      </w:r>
      <w:r w:rsidRPr="00CA11E7">
        <w:t xml:space="preserve"> спешна подкрепа за реконструкция (RESTORE)</w:t>
      </w:r>
      <w:r w:rsidR="00FC7B1C">
        <w:rPr>
          <w:rStyle w:val="FootnoteReference"/>
        </w:rPr>
        <w:footnoteReference w:id="8"/>
      </w:r>
      <w:r w:rsidRPr="00CA11E7">
        <w:t>, и по-специално бюджетната оценка на комисията по бюджети, приложена към този доклад,</w:t>
      </w:r>
      <w:r w:rsidR="00106483" w:rsidRPr="00002417">
        <w:t xml:space="preserve"> </w:t>
      </w:r>
    </w:p>
    <w:p w14:paraId="7E656C65" w14:textId="7F17395D" w:rsidR="00106483" w:rsidRPr="00002417" w:rsidRDefault="00106483" w:rsidP="00CA11E7">
      <w:pPr>
        <w:pStyle w:val="NormalWeb"/>
        <w:shd w:val="clear" w:color="auto" w:fill="FFFFFF"/>
        <w:ind w:left="567" w:hanging="567"/>
      </w:pPr>
      <w:r w:rsidRPr="00002417">
        <w:t>–</w:t>
      </w:r>
      <w:r w:rsidRPr="00002417">
        <w:tab/>
        <w:t>като взе предвид Доклад № 1/2024 на Европейската агенция за околна среда, озаглавен „</w:t>
      </w:r>
      <w:proofErr w:type="spellStart"/>
      <w:r w:rsidRPr="00002417">
        <w:t>European</w:t>
      </w:r>
      <w:proofErr w:type="spellEnd"/>
      <w:r w:rsidRPr="00002417">
        <w:t xml:space="preserve"> </w:t>
      </w:r>
      <w:proofErr w:type="spellStart"/>
      <w:r w:rsidRPr="00002417">
        <w:t>Climate</w:t>
      </w:r>
      <w:proofErr w:type="spellEnd"/>
      <w:r w:rsidRPr="00002417">
        <w:t xml:space="preserve"> </w:t>
      </w:r>
      <w:proofErr w:type="spellStart"/>
      <w:r w:rsidRPr="00002417">
        <w:t>Risk</w:t>
      </w:r>
      <w:proofErr w:type="spellEnd"/>
      <w:r w:rsidRPr="00002417">
        <w:t xml:space="preserve"> </w:t>
      </w:r>
      <w:proofErr w:type="spellStart"/>
      <w:r w:rsidRPr="00002417">
        <w:t>Assessment</w:t>
      </w:r>
      <w:proofErr w:type="spellEnd"/>
      <w:r w:rsidRPr="00002417">
        <w:t xml:space="preserve"> (EUCRA)“ (Европейска оценка на риска, свързан с климата (EUCRA))</w:t>
      </w:r>
      <w:r w:rsidRPr="00002417">
        <w:rPr>
          <w:rStyle w:val="FootnoteReference"/>
        </w:rPr>
        <w:footnoteReference w:id="9"/>
      </w:r>
      <w:r w:rsidRPr="00002417">
        <w:t>,</w:t>
      </w:r>
    </w:p>
    <w:p w14:paraId="13FC4B0A" w14:textId="77777777" w:rsidR="00106483" w:rsidRPr="00002417" w:rsidRDefault="00106483" w:rsidP="00106483">
      <w:pPr>
        <w:pStyle w:val="NormalHanging12a"/>
      </w:pPr>
      <w:r w:rsidRPr="00002417">
        <w:t>–</w:t>
      </w:r>
      <w:r w:rsidRPr="00002417">
        <w:tab/>
        <w:t>като взе предвид доклада на комисията по бюджети (A10-0114/2025),</w:t>
      </w:r>
    </w:p>
    <w:p w14:paraId="50D78B49" w14:textId="77777777" w:rsidR="00106483" w:rsidRPr="00002417" w:rsidRDefault="00106483" w:rsidP="00106483">
      <w:pPr>
        <w:pStyle w:val="NormalWeb"/>
        <w:shd w:val="clear" w:color="auto" w:fill="FFFFFF"/>
        <w:ind w:left="567" w:hanging="567"/>
      </w:pPr>
      <w:r w:rsidRPr="00002417">
        <w:t>А.</w:t>
      </w:r>
      <w:r w:rsidRPr="00002417">
        <w:tab/>
        <w:t xml:space="preserve">като има предвид, че през септември 2024 г. в Австрия имаше изключително високи нива на валежи, които причиниха тежки наводнения, като австрийските органи оценяват общите преки щети на 1 711,6 милиона евро; </w:t>
      </w:r>
    </w:p>
    <w:p w14:paraId="78074263" w14:textId="77777777" w:rsidR="00106483" w:rsidRPr="00002417" w:rsidRDefault="00106483" w:rsidP="00106483">
      <w:pPr>
        <w:pStyle w:val="NormalWeb"/>
        <w:shd w:val="clear" w:color="auto" w:fill="FFFFFF"/>
        <w:ind w:left="567" w:hanging="567"/>
      </w:pPr>
      <w:r w:rsidRPr="00002417">
        <w:t>Б.</w:t>
      </w:r>
      <w:r w:rsidRPr="00002417">
        <w:tab/>
        <w:t>като има предвид, че през септември 2024 г. в югозападна Полша паднаха проливни дъждове, които доведоха до наводняването на няколко реки, като полските органи оценяват общите преки щети на 3,04 милиарда евро;</w:t>
      </w:r>
    </w:p>
    <w:p w14:paraId="498ACC1F" w14:textId="77777777" w:rsidR="00106483" w:rsidRPr="00002417" w:rsidRDefault="00106483" w:rsidP="00106483">
      <w:pPr>
        <w:pStyle w:val="NormalWeb"/>
        <w:shd w:val="clear" w:color="auto" w:fill="FFFFFF"/>
        <w:ind w:left="567" w:hanging="567"/>
      </w:pPr>
      <w:r w:rsidRPr="00002417">
        <w:lastRenderedPageBreak/>
        <w:t>В.</w:t>
      </w:r>
      <w:r w:rsidRPr="00002417">
        <w:tab/>
        <w:t>като има предвид, че през септември 2024 г. цяла Чехия беше засегната от много силни ветрове и проливни дъждове, което доведе до наводнения, като чешките органи оценяват общите преки щети на 2,82 милиарда евро;</w:t>
      </w:r>
    </w:p>
    <w:p w14:paraId="6CC59A59" w14:textId="77777777" w:rsidR="00106483" w:rsidRPr="00002417" w:rsidRDefault="00106483" w:rsidP="00106483">
      <w:pPr>
        <w:pStyle w:val="NormalWeb"/>
        <w:shd w:val="clear" w:color="auto" w:fill="FFFFFF"/>
        <w:ind w:left="567" w:hanging="567"/>
      </w:pPr>
      <w:r w:rsidRPr="00002417">
        <w:t>Г.</w:t>
      </w:r>
      <w:r w:rsidRPr="00002417">
        <w:tab/>
        <w:t>като има предвид, че считано от 15 септември 2024 г. Словакия претърпя значителни наводнения, особено в Братислава и околните региони, което доведе до значително покачване на нивото на реките Дунав и Морава, като словашките органи оценяват общите преки щети на 84,3 милиона евро;</w:t>
      </w:r>
    </w:p>
    <w:p w14:paraId="73BF4768" w14:textId="77777777" w:rsidR="00106483" w:rsidRPr="00002417" w:rsidRDefault="00106483" w:rsidP="00106483">
      <w:pPr>
        <w:pStyle w:val="NormalWeb"/>
        <w:shd w:val="clear" w:color="auto" w:fill="FFFFFF"/>
        <w:ind w:left="567" w:hanging="567"/>
      </w:pPr>
      <w:r w:rsidRPr="00002417">
        <w:t>Д.</w:t>
      </w:r>
      <w:r w:rsidRPr="00002417">
        <w:tab/>
        <w:t>като има предвид, че през септември 2024 г. няколко области в Молдова бяха засегнати от поройни дъждове и произтичащите от тях наводнения, като молдовските органи оценяват общите преки щети на 7,8 милиона евро;</w:t>
      </w:r>
    </w:p>
    <w:p w14:paraId="0C236362" w14:textId="77777777" w:rsidR="00106483" w:rsidRPr="00002417" w:rsidRDefault="00106483" w:rsidP="00106483">
      <w:pPr>
        <w:pStyle w:val="NormalWeb"/>
        <w:shd w:val="clear" w:color="auto" w:fill="FFFFFF"/>
        <w:ind w:left="567" w:hanging="567"/>
      </w:pPr>
      <w:r w:rsidRPr="00002417">
        <w:t>Е.</w:t>
      </w:r>
      <w:r w:rsidRPr="00002417">
        <w:tab/>
        <w:t>като има предвид, че през октомври 2024 г. Босна и Херцеговина беше засегната от проливни валежи, които причиниха катастрофални внезапни наводнения, свлачища и наводнения в различни части на страната, като органите оценяват общите преки щети на 841,85 милиона евро;</w:t>
      </w:r>
    </w:p>
    <w:p w14:paraId="44A87128" w14:textId="77777777" w:rsidR="00106483" w:rsidRPr="00002417" w:rsidRDefault="00106483" w:rsidP="00106483">
      <w:pPr>
        <w:pStyle w:val="NormalHanging12a"/>
      </w:pPr>
      <w:r w:rsidRPr="00002417">
        <w:t>Ж.</w:t>
      </w:r>
      <w:r w:rsidRPr="00002417">
        <w:tab/>
        <w:t>като има предвид, че горепосочените събития, причинени от големи природни бедствия, са резултат на изменението на климата в световен мащаб; като има предвид, че в Доклада за състоянието на енергийния съюз за 2024 г. се потвърждава, че 2024 беше най-топлата година, регистрирана в Европа, и че 30% от речната мрежа на континента е надхвърлила „жълтия“ праг за предупреждение</w:t>
      </w:r>
      <w:r w:rsidR="00FC7B1C">
        <w:t xml:space="preserve"> при наводнение</w:t>
      </w:r>
      <w:r w:rsidRPr="00002417">
        <w:t>, а 12% — „червения“ праг за предупреждение</w:t>
      </w:r>
      <w:r w:rsidR="00FC7B1C">
        <w:t xml:space="preserve"> при наводнение</w:t>
      </w:r>
      <w:r w:rsidRPr="00002417">
        <w:t>, в резултат на което бяха наблюдавани най-мащабните наводнения от 2013 г. насам;</w:t>
      </w:r>
    </w:p>
    <w:p w14:paraId="0D09DB1C" w14:textId="77777777" w:rsidR="00106483" w:rsidRPr="00002417" w:rsidRDefault="00106483" w:rsidP="00106483">
      <w:pPr>
        <w:spacing w:after="240"/>
        <w:ind w:left="567" w:hanging="567"/>
        <w:rPr>
          <w:szCs w:val="24"/>
          <w:shd w:val="clear" w:color="auto" w:fill="FFFFFF"/>
        </w:rPr>
      </w:pPr>
      <w:r w:rsidRPr="00002417">
        <w:t>1.</w:t>
      </w:r>
      <w:r w:rsidRPr="00002417">
        <w:tab/>
        <w:t>изразява</w:t>
      </w:r>
      <w:r w:rsidRPr="00002417">
        <w:rPr>
          <w:shd w:val="clear" w:color="auto" w:fill="FFFFFF"/>
        </w:rPr>
        <w:t xml:space="preserve"> най-дълбока солидарност с всички жертви, техните семейства и всички лица, засегнати от разрушителните наводнения в Австрия, Полша, Чехия, Словакия, Молдова и Босна и Херцеговина, както и с националните, регионалните и местните органи, участващи в усилията за оказване на помощ;</w:t>
      </w:r>
    </w:p>
    <w:p w14:paraId="4E2770E7" w14:textId="77777777" w:rsidR="00106483" w:rsidRPr="00002417" w:rsidRDefault="00106483" w:rsidP="00106483">
      <w:pPr>
        <w:pStyle w:val="NormalHanging12a"/>
      </w:pPr>
      <w:r w:rsidRPr="00002417">
        <w:t>2.</w:t>
      </w:r>
      <w:r w:rsidRPr="00002417">
        <w:tab/>
        <w:t>приветства решението като осезаема и видима форма на солидарност на Съюза с неговите граждани и регионите в засегнатите територии, включително в държавите партньори;</w:t>
      </w:r>
    </w:p>
    <w:p w14:paraId="5A231C71" w14:textId="77777777" w:rsidR="00106483" w:rsidRPr="00002417" w:rsidRDefault="00106483" w:rsidP="00106483">
      <w:pPr>
        <w:pStyle w:val="NormalHanging12a"/>
      </w:pPr>
      <w:r w:rsidRPr="00002417">
        <w:t>3.</w:t>
      </w:r>
      <w:r w:rsidRPr="00002417">
        <w:tab/>
        <w:t>отново подчертава значението на осведомяването на обществеността за осезаемите ползи, предоставяни от фонд „Солидарност“ на Европейския съюз („фонд „Солидарност“), включително за допълнителното повишаване на информираността на гражданите за инструментите и програмите на Съюза в държавите членки и в държавите, водещи преговори със Съюза за присъединяване;</w:t>
      </w:r>
    </w:p>
    <w:p w14:paraId="100702AE" w14:textId="77777777" w:rsidR="00106483" w:rsidRPr="00002417" w:rsidRDefault="00106483" w:rsidP="00106483">
      <w:pPr>
        <w:spacing w:after="240"/>
        <w:ind w:left="567" w:hanging="567"/>
        <w:rPr>
          <w:szCs w:val="24"/>
        </w:rPr>
      </w:pPr>
      <w:r w:rsidRPr="00002417">
        <w:t>4.</w:t>
      </w:r>
      <w:r w:rsidRPr="00002417">
        <w:tab/>
        <w:t xml:space="preserve">подчертава нарастващия брой тежки, разрушителни и причиняващи смърт природни бедствия в Европа и призовава държавите членки и Комисията да инвестират в мерки за смекчаване на изменението на климата и адаптиране към него, за да се избегнат загубите на човешки живот и икономическите загуби; подчертава, че по оценки през 2024 г. бурите и наводненията са засегнали 413 000 души, като са довели до смъртта на най-малко 335 души, и че щетите от бури и наводнения в цяла Европа през годината се оценяват на най-малко </w:t>
      </w:r>
      <w:r w:rsidRPr="00002417">
        <w:lastRenderedPageBreak/>
        <w:t>18 милиарда евро</w:t>
      </w:r>
      <w:r w:rsidRPr="00002417">
        <w:rPr>
          <w:rStyle w:val="FootnoteReference"/>
          <w:szCs w:val="24"/>
        </w:rPr>
        <w:footnoteReference w:id="10"/>
      </w:r>
      <w:r w:rsidRPr="00002417">
        <w:t>; счита, че бюджетът на фонд „Солидарност“ или равностойна структура следва да бъде съществено увеличен с оглед на предстоящото предложение на Комисията относно новата многогодишна финансова рамка и последващите междуинституционални преговори и че фонд „Солидарност“ или равностойна структура трябва да предоставя на гражданите помощ, която е съизмерима с мащаба на тези бедствия; отбелязва, че значителното увеличаване на средствата по фонд „Солидарност“ ще даде възможност на държавите членки да реагират по-ефективно и бързо на бедствия, докато други инструменти, и по-специално фондовете на политиката на сближаване, чиято основна цел не е реагирането при бедствия, ще могат да бъдат запазени; настоятелно призовава също така Комисията да проучи всички възможни начини за ускоряване на мобилизирането на фонд „Солидарност“, по-специално чрез изменение на действащите правила и предоставяне на по-големи авансови плащания на подалите заявление държави;</w:t>
      </w:r>
    </w:p>
    <w:p w14:paraId="77FE88B3" w14:textId="77777777" w:rsidR="00106483" w:rsidRPr="00002417" w:rsidRDefault="00106483" w:rsidP="00106483">
      <w:pPr>
        <w:spacing w:after="240"/>
        <w:ind w:left="567" w:hanging="567"/>
        <w:rPr>
          <w:szCs w:val="24"/>
        </w:rPr>
      </w:pPr>
      <w:r w:rsidRPr="00002417">
        <w:t>5.</w:t>
      </w:r>
      <w:r w:rsidRPr="00002417">
        <w:tab/>
        <w:t>призовава Комисията да разработи специални инструменти за реагиране при кризи за периода след 2027 г., като признава, че все по-честите и по-тежки природни бедствия, извънредните ситуации, свързани със здравето, геополитическата нестабилност и икономическите сътресения изискват по-гъвкави и адаптирани финансови механизми на равнището на Съюза; подчертава необходимостта от засилена координация с националните системи за гражданска защита и механизмите за ранно предупреждение, така че да се гарантира по-интегрирана и основана на данни реакция при бедствия в целия Съюз; подчертава значението на специалната подкрепа за трансграничното и регионалното сътрудничество в усилията за подготвеност, смекчаване на последиците и възстановяване, особено в уязвими или високорискови зони;</w:t>
      </w:r>
    </w:p>
    <w:p w14:paraId="7ACF43C5" w14:textId="39009939" w:rsidR="00106483" w:rsidRPr="00002417" w:rsidRDefault="00106483" w:rsidP="00CA11E7">
      <w:pPr>
        <w:spacing w:after="240"/>
        <w:ind w:left="567" w:hanging="567"/>
        <w:rPr>
          <w:szCs w:val="24"/>
        </w:rPr>
      </w:pPr>
      <w:r w:rsidRPr="00002417">
        <w:t>6.</w:t>
      </w:r>
      <w:r w:rsidRPr="00002417">
        <w:tab/>
        <w:t xml:space="preserve">подчертава, че фонд „Солидарност“ е само инструмент за облекчаване на последиците и че Съюзът следва също така да продължи да полага усилия за адаптиране към и смекчаване на изменението на климата, като подкрепя европейските и националните политики за предотвратяване на природни бедствия; подчертава, че в Доклад № 1/2024 на </w:t>
      </w:r>
      <w:r w:rsidR="00CA11E7" w:rsidRPr="00002417">
        <w:t>Европейската агенция за околна среда</w:t>
      </w:r>
      <w:r w:rsidRPr="00002417">
        <w:t>, озаглавен „</w:t>
      </w:r>
      <w:proofErr w:type="spellStart"/>
      <w:r w:rsidRPr="00002417">
        <w:t>European</w:t>
      </w:r>
      <w:proofErr w:type="spellEnd"/>
      <w:r w:rsidRPr="00002417">
        <w:t xml:space="preserve"> </w:t>
      </w:r>
      <w:proofErr w:type="spellStart"/>
      <w:r w:rsidRPr="00002417">
        <w:t>Climate</w:t>
      </w:r>
      <w:proofErr w:type="spellEnd"/>
      <w:r w:rsidRPr="00002417">
        <w:t xml:space="preserve"> </w:t>
      </w:r>
      <w:proofErr w:type="spellStart"/>
      <w:r w:rsidRPr="00002417">
        <w:t>Risk</w:t>
      </w:r>
      <w:proofErr w:type="spellEnd"/>
      <w:r w:rsidRPr="00002417">
        <w:t xml:space="preserve"> </w:t>
      </w:r>
      <w:proofErr w:type="spellStart"/>
      <w:r w:rsidRPr="00002417">
        <w:t>Assessment</w:t>
      </w:r>
      <w:proofErr w:type="spellEnd"/>
      <w:r w:rsidRPr="00002417">
        <w:t>“ (Европейска оценка на риска, свързан с климата), се предупреждава, че Съюзът не е подготвен за последиците от изменението на климата, дори ако светът успее да задържи повишаването на температурата в световен мащаб до 1,5 градуса по Целзий, както е посочено в Парижкото споразумение,</w:t>
      </w:r>
      <w:r w:rsidRPr="00002417">
        <w:rPr>
          <w:i/>
        </w:rPr>
        <w:t xml:space="preserve"> </w:t>
      </w:r>
      <w:r w:rsidRPr="00002417">
        <w:t xml:space="preserve">и се подчертава необходимостта от действия, за да се избегнат ситуации, при които установените климатични рискове достигат критични равнища; припомня необходимостта от ефективни полезни взаимодействия с други политики и програми на Съюза и подчертава, че държавите членки следва да използват по най-добрия начин възможностите за финансиране, по-специално по линия на Европейския фонд за регионално развитие, Европейския социален фонд плюс и програмите за развитие на селските райони; призовава Комисията да прави оценка с необходимата спешност на всички мотивирани искания от страна на държавите членки за преразпределяне на средства в рамките на националните планове за възстановяване и устойчивост с </w:t>
      </w:r>
      <w:r w:rsidRPr="00002417">
        <w:lastRenderedPageBreak/>
        <w:t>цел предоставяне на помощ при природни бедствия в съответствие с правилата, определени в Регламент (ЕС) 2021/241 на Европейския парламент и на Съвета</w:t>
      </w:r>
      <w:r w:rsidRPr="00002417">
        <w:rPr>
          <w:rStyle w:val="FootnoteReference"/>
          <w:szCs w:val="24"/>
        </w:rPr>
        <w:footnoteReference w:id="11"/>
      </w:r>
      <w:r w:rsidRPr="00002417">
        <w:t>; подчертава също необходимостта от превантивни мерки не само за смекчаване на бъдещите щети, но и за предотвратяване на изострянето на рисковите условия след катастрофични събития, като наводнения, горски пожари, свлачища или пресъхване на езера и реки; подчертава, че всяко възстановяване, финансирано от фонд „Солидарност“, трябва да бъде устойчиво на изменението на климата; подчертава, че е важно да се осигури подходяща гъвкавост между различните програми; подчертава, че помощта, предоставяна по линия на фонд „Солидарност“, не следва да бъде за сметка на финансирането от Съюза, получено от държавите членки в рамките на други програми или политики на Съюза; припомня, че държавите членки могат да предоставят държавна помощ в съответствие с приложимите правила на Съюза, по-конкретно за селскостопанските предприятия, които са претърпели щети вследствие на природни бедствия;</w:t>
      </w:r>
    </w:p>
    <w:p w14:paraId="7C67C96F" w14:textId="67030409" w:rsidR="00106483" w:rsidRPr="00002417" w:rsidRDefault="00106483" w:rsidP="00FC7B1C">
      <w:pPr>
        <w:spacing w:after="240"/>
        <w:ind w:left="567" w:hanging="567"/>
        <w:rPr>
          <w:szCs w:val="24"/>
        </w:rPr>
      </w:pPr>
      <w:r w:rsidRPr="00002417">
        <w:t>7.</w:t>
      </w:r>
      <w:r w:rsidRPr="00002417">
        <w:tab/>
        <w:t>припомня, че RESTORE и специфичните мерки по линия на Европейския земеделски фонд за развитие на селските райони (ЕЗФРСР)</w:t>
      </w:r>
      <w:r w:rsidR="00D2216F">
        <w:t xml:space="preserve">, въведени с Регламент (ЕС) 2024/3242 на </w:t>
      </w:r>
      <w:r w:rsidR="00D2216F" w:rsidRPr="00002417">
        <w:t>Европейския парламент и на Съвета</w:t>
      </w:r>
      <w:r w:rsidRPr="00002417">
        <w:rPr>
          <w:rStyle w:val="FootnoteReference"/>
          <w:szCs w:val="24"/>
        </w:rPr>
        <w:footnoteReference w:id="12"/>
      </w:r>
      <w:r w:rsidR="00D2216F">
        <w:t>,</w:t>
      </w:r>
      <w:r w:rsidRPr="00002417">
        <w:t xml:space="preserve"> предоставят допълнителна помощ на държавите членки, засегнати от природни бедствия, чрез допълнителни възможности за гъвкавост при използването на средствата; подчертава, че държавите членки следва да се възползват от новите възможности; подчертава също така, че RESTORE предоставя ограничена гъвкавост за някои държави членки, тъй като прилагането на действащата многогодишна финансова рамка е в много напреднал стадий;</w:t>
      </w:r>
    </w:p>
    <w:p w14:paraId="34A7A4AE" w14:textId="77777777" w:rsidR="00106483" w:rsidRPr="00002417" w:rsidRDefault="00106483" w:rsidP="00106483">
      <w:pPr>
        <w:spacing w:after="240"/>
        <w:ind w:left="567" w:hanging="567"/>
        <w:rPr>
          <w:szCs w:val="24"/>
        </w:rPr>
      </w:pPr>
      <w:r w:rsidRPr="00002417">
        <w:t>8.</w:t>
      </w:r>
      <w:r w:rsidRPr="00002417">
        <w:tab/>
        <w:t>припомня значението на бързата и солидна оценка на щетите, която надлежно взема предвид икономическите последици, и призовава за полагането на по-големи оперативни усилия, за да се намали средното време за отпускане на авансови плащания, така че да се предлага своевременно помощ на регионите, засегнати от природни бедствия и екстремни метеорологични явления, като същевременно се осигури защитата на бюджета на Съюза; подчертава, че в контекста на мерките за реагиране при бедствия и възстановяване държавите членки следва да отдават дължимото предимство на потребностите на засегнатото население, като обръщат специално внимание на уязвимите групи;</w:t>
      </w:r>
    </w:p>
    <w:p w14:paraId="1E657CB5" w14:textId="77777777" w:rsidR="00106483" w:rsidRPr="00002417" w:rsidRDefault="00106483" w:rsidP="00106483">
      <w:pPr>
        <w:spacing w:after="240"/>
        <w:ind w:left="567" w:hanging="567"/>
      </w:pPr>
      <w:r w:rsidRPr="00002417">
        <w:t>9.</w:t>
      </w:r>
      <w:r w:rsidRPr="00002417">
        <w:tab/>
        <w:t xml:space="preserve">подчертава неотложната необходимост от незабавно отпускане на финансова помощ чрез фонд „Солидарност“, за да може подкрепата да стигне своевременно до засегнатите региони; </w:t>
      </w:r>
    </w:p>
    <w:p w14:paraId="366DE8E5" w14:textId="77777777" w:rsidR="00106483" w:rsidRPr="00002417" w:rsidRDefault="00106483" w:rsidP="00106483">
      <w:pPr>
        <w:spacing w:after="240"/>
        <w:ind w:left="567" w:hanging="567"/>
      </w:pPr>
      <w:r w:rsidRPr="00002417">
        <w:lastRenderedPageBreak/>
        <w:t>10.</w:t>
      </w:r>
      <w:r w:rsidRPr="00002417">
        <w:tab/>
        <w:t>одобрява приложеното към настоящата резолюция решение;</w:t>
      </w:r>
    </w:p>
    <w:p w14:paraId="318C7B6C" w14:textId="77777777" w:rsidR="00106483" w:rsidRPr="00002417" w:rsidRDefault="00106483" w:rsidP="00106483">
      <w:pPr>
        <w:spacing w:after="240"/>
        <w:ind w:left="567" w:hanging="567"/>
      </w:pPr>
      <w:r w:rsidRPr="00002417">
        <w:t>11.</w:t>
      </w:r>
      <w:r w:rsidRPr="00002417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002417">
        <w:rPr>
          <w:i/>
        </w:rPr>
        <w:t>Официален вестник на Европейския съюз</w:t>
      </w:r>
      <w:r w:rsidRPr="00002417">
        <w:t>;</w:t>
      </w:r>
    </w:p>
    <w:p w14:paraId="7567BD17" w14:textId="77777777" w:rsidR="00106483" w:rsidRPr="00002417" w:rsidRDefault="00106483" w:rsidP="00106483">
      <w:pPr>
        <w:spacing w:after="240"/>
        <w:ind w:left="567" w:hanging="567"/>
      </w:pPr>
      <w:r w:rsidRPr="00002417">
        <w:t>12.</w:t>
      </w:r>
      <w:r w:rsidRPr="00002417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27CE19E9" w14:textId="77777777" w:rsidR="00106483" w:rsidRPr="00002417" w:rsidRDefault="00106483" w:rsidP="00106483">
      <w:pPr>
        <w:rPr>
          <w:noProof/>
        </w:rPr>
      </w:pPr>
    </w:p>
    <w:p w14:paraId="28C4D18B" w14:textId="77777777" w:rsidR="004432D4" w:rsidRDefault="004432D4">
      <w:pPr>
        <w:widowControl/>
        <w:rPr>
          <w:rFonts w:ascii="Arial" w:hAnsi="Arial" w:cs="Arial"/>
          <w:b/>
        </w:rPr>
      </w:pPr>
      <w:bookmarkStart w:id="7" w:name="_Toc202347048"/>
      <w:r>
        <w:br w:type="page"/>
      </w:r>
    </w:p>
    <w:p w14:paraId="25F5D654" w14:textId="77777777" w:rsidR="007A4855" w:rsidRDefault="00106483" w:rsidP="00106483">
      <w:pPr>
        <w:pStyle w:val="PageHeading"/>
        <w:rPr>
          <w:rFonts w:ascii="Times New Roman" w:hAnsi="Times New Roman" w:cs="Times New Roman"/>
          <w:lang w:val="en-GB"/>
        </w:rPr>
      </w:pPr>
      <w:r w:rsidRPr="001357E7">
        <w:rPr>
          <w:rFonts w:ascii="Times New Roman" w:hAnsi="Times New Roman" w:cs="Times New Roman"/>
        </w:rPr>
        <w:lastRenderedPageBreak/>
        <w:t>ПРИЛОЖЕНИЕ</w:t>
      </w:r>
    </w:p>
    <w:p w14:paraId="21A7896E" w14:textId="7611DA6F" w:rsidR="00106483" w:rsidRPr="001357E7" w:rsidRDefault="00106483" w:rsidP="00106483">
      <w:pPr>
        <w:pStyle w:val="PageHeading"/>
        <w:rPr>
          <w:rFonts w:ascii="Times New Roman" w:hAnsi="Times New Roman" w:cs="Times New Roman"/>
        </w:rPr>
      </w:pPr>
      <w:r w:rsidRPr="001357E7">
        <w:rPr>
          <w:rFonts w:ascii="Times New Roman" w:hAnsi="Times New Roman" w:cs="Times New Roman"/>
        </w:rPr>
        <w:t>РЕШЕНИЕ НА ЕВРОПЕЙСКИЯ ПАРЛАМЕНТ И НА СЪВЕТА</w:t>
      </w:r>
      <w:bookmarkEnd w:id="7"/>
    </w:p>
    <w:p w14:paraId="335002D3" w14:textId="77777777" w:rsidR="00106483" w:rsidRDefault="00106483" w:rsidP="00106483">
      <w:pPr>
        <w:pStyle w:val="Institutionquiagit"/>
        <w:rPr>
          <w:b/>
          <w:bCs/>
          <w:lang w:val="en-GB"/>
        </w:rPr>
      </w:pPr>
      <w:r w:rsidRPr="00002417">
        <w:rPr>
          <w:b/>
          <w:bCs/>
        </w:rPr>
        <w:t>относно мобилизирането на средства от фонд „Солидарност“ на Европейския съюз за предоставяне на помощ на Австрия, Полша, Чехия, Словакия и Молдова във връзка с наводненията, настъпили през месец септември 2024 г. и на Босна и Херцеговина във връзка с наводненията, настъпили през месец октомври 2024 г.</w:t>
      </w:r>
    </w:p>
    <w:p w14:paraId="6BF8A077" w14:textId="3E1B57F4" w:rsidR="00E365E1" w:rsidRPr="00002417" w:rsidRDefault="007A4855" w:rsidP="007A4855">
      <w:pPr>
        <w:rPr>
          <w:sz w:val="28"/>
          <w:lang w:eastAsia="fr-FR"/>
        </w:rPr>
      </w:pPr>
      <w:r w:rsidRPr="0051470D">
        <w:rPr>
          <w:i/>
          <w:szCs w:val="24"/>
          <w:lang w:eastAsia="de-DE"/>
        </w:rPr>
        <w:t xml:space="preserve">(Текстът на това приложение не е </w:t>
      </w:r>
      <w:r w:rsidRPr="007A4855">
        <w:rPr>
          <w:i/>
          <w:szCs w:val="24"/>
          <w:lang w:eastAsia="de-DE"/>
        </w:rPr>
        <w:t xml:space="preserve">възпроизведен тук, тъй като той съответства на окончателния акт, Решение </w:t>
      </w:r>
      <w:r w:rsidRPr="007A4855">
        <w:rPr>
          <w:i/>
          <w:szCs w:val="24"/>
          <w:lang w:val="lt-LT" w:eastAsia="de-DE"/>
        </w:rPr>
        <w:t>(</w:t>
      </w:r>
      <w:r w:rsidRPr="007A4855">
        <w:rPr>
          <w:i/>
          <w:szCs w:val="24"/>
          <w:lang w:eastAsia="de-DE"/>
        </w:rPr>
        <w:t>ЕС</w:t>
      </w:r>
      <w:r w:rsidRPr="007A4855">
        <w:rPr>
          <w:i/>
          <w:szCs w:val="24"/>
          <w:lang w:val="lt-LT" w:eastAsia="de-DE"/>
        </w:rPr>
        <w:t xml:space="preserve">) </w:t>
      </w:r>
      <w:r w:rsidRPr="007A4855">
        <w:rPr>
          <w:rFonts w:eastAsia="Calibri"/>
          <w:i/>
          <w:iCs/>
          <w:szCs w:val="24"/>
          <w:lang w:eastAsia="en-US"/>
        </w:rPr>
        <w:t>2025/1525</w:t>
      </w:r>
      <w:r w:rsidRPr="007A4855">
        <w:rPr>
          <w:i/>
          <w:szCs w:val="24"/>
          <w:lang w:eastAsia="de-DE"/>
        </w:rPr>
        <w:t>.)</w:t>
      </w:r>
      <w:bookmarkEnd w:id="1"/>
    </w:p>
    <w:sectPr w:rsidR="00E365E1" w:rsidRPr="00002417" w:rsidSect="000024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5581D" w14:textId="77777777" w:rsidR="007B6AA5" w:rsidRPr="00002417" w:rsidRDefault="007B6AA5">
      <w:r w:rsidRPr="00002417">
        <w:separator/>
      </w:r>
    </w:p>
  </w:endnote>
  <w:endnote w:type="continuationSeparator" w:id="0">
    <w:p w14:paraId="5DEBA529" w14:textId="77777777" w:rsidR="007B6AA5" w:rsidRPr="00002417" w:rsidRDefault="007B6AA5">
      <w:r w:rsidRPr="000024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5F2F7" w14:textId="77777777" w:rsidR="00064002" w:rsidRPr="000024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C3FB" w14:textId="77777777" w:rsidR="00064002" w:rsidRPr="000024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41E2" w14:textId="77777777" w:rsidR="00064002" w:rsidRPr="000024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1ADD3" w14:textId="77777777" w:rsidR="007B6AA5" w:rsidRPr="00002417" w:rsidRDefault="007B6AA5">
      <w:r w:rsidRPr="00002417">
        <w:separator/>
      </w:r>
    </w:p>
  </w:footnote>
  <w:footnote w:type="continuationSeparator" w:id="0">
    <w:p w14:paraId="7809904B" w14:textId="77777777" w:rsidR="007B6AA5" w:rsidRPr="00002417" w:rsidRDefault="007B6AA5">
      <w:r w:rsidRPr="00002417">
        <w:continuationSeparator/>
      </w:r>
    </w:p>
  </w:footnote>
  <w:footnote w:id="1">
    <w:p w14:paraId="6A96AE94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OВ L 311, 14.11.2002 г., стр. 3, ELI: </w:t>
      </w:r>
      <w:hyperlink r:id="rId1" w:history="1">
        <w:r w:rsidRPr="00002417">
          <w:rPr>
            <w:rStyle w:val="Hyperlink"/>
            <w:sz w:val="24"/>
            <w:lang w:val="bg-BG"/>
          </w:rPr>
          <w:t>http://data.europa.eu/eli/reg/2002/2012/oj</w:t>
        </w:r>
      </w:hyperlink>
      <w:r w:rsidRPr="00002417">
        <w:rPr>
          <w:sz w:val="24"/>
          <w:lang w:val="bg-BG"/>
        </w:rPr>
        <w:t>.</w:t>
      </w:r>
    </w:p>
  </w:footnote>
  <w:footnote w:id="2">
    <w:p w14:paraId="31B460F9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OВ L 433 I, 22.12.2020 г., стр. 11, ELI: </w:t>
      </w:r>
      <w:hyperlink r:id="rId2" w:history="1">
        <w:r w:rsidRPr="00002417">
          <w:rPr>
            <w:rStyle w:val="Hyperlink"/>
            <w:sz w:val="24"/>
            <w:lang w:val="bg-BG"/>
          </w:rPr>
          <w:t>http://data.europa.eu/eli/reg/2020/2093/oj</w:t>
        </w:r>
      </w:hyperlink>
      <w:r w:rsidRPr="00002417">
        <w:rPr>
          <w:sz w:val="24"/>
          <w:lang w:val="bg-BG"/>
        </w:rPr>
        <w:t>.</w:t>
      </w:r>
    </w:p>
  </w:footnote>
  <w:footnote w:id="3">
    <w:p w14:paraId="6FF8F7F0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ОВ L 433 I, 22.12.2020 г., стр. 28, ELI: </w:t>
      </w:r>
      <w:hyperlink r:id="rId3" w:history="1">
        <w:r w:rsidRPr="00002417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002417">
        <w:rPr>
          <w:sz w:val="24"/>
          <w:lang w:val="bg-BG"/>
        </w:rPr>
        <w:t>.</w:t>
      </w:r>
    </w:p>
  </w:footnote>
  <w:footnote w:id="4">
    <w:p w14:paraId="3D4C96F7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ОВ L 231, 30.6.2021 г., стр. 60, ELI: </w:t>
      </w:r>
      <w:hyperlink r:id="rId4" w:history="1">
        <w:r w:rsidRPr="00002417">
          <w:rPr>
            <w:rStyle w:val="Hyperlink"/>
            <w:sz w:val="24"/>
            <w:lang w:val="bg-BG"/>
          </w:rPr>
          <w:t>http://data.europa.eu/eli/reg/2021/1058/oj</w:t>
        </w:r>
      </w:hyperlink>
      <w:r w:rsidRPr="00002417">
        <w:rPr>
          <w:sz w:val="24"/>
          <w:lang w:val="bg-BG"/>
        </w:rPr>
        <w:t>.</w:t>
      </w:r>
    </w:p>
  </w:footnote>
  <w:footnote w:id="5">
    <w:p w14:paraId="3E486769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ОВ L 231, 30.6.2021 г., стр. 21, ELI: </w:t>
      </w:r>
      <w:hyperlink r:id="rId5" w:history="1">
        <w:r w:rsidRPr="00002417">
          <w:rPr>
            <w:rStyle w:val="Hyperlink"/>
            <w:sz w:val="24"/>
            <w:lang w:val="bg-BG"/>
          </w:rPr>
          <w:t>http://data.europa.eu/eli/reg/2021/1057/oj</w:t>
        </w:r>
      </w:hyperlink>
      <w:r w:rsidRPr="00002417">
        <w:rPr>
          <w:sz w:val="24"/>
          <w:lang w:val="bg-BG"/>
        </w:rPr>
        <w:t>.</w:t>
      </w:r>
    </w:p>
  </w:footnote>
  <w:footnote w:id="6">
    <w:p w14:paraId="7AB3ED46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ОВ L 435, 6.12.2021 г., стр. 1, ELI: </w:t>
      </w:r>
      <w:hyperlink r:id="rId6" w:history="1">
        <w:r w:rsidRPr="00002417">
          <w:rPr>
            <w:rStyle w:val="Hyperlink"/>
            <w:sz w:val="24"/>
            <w:lang w:val="bg-BG"/>
          </w:rPr>
          <w:t>http://data.europa.eu/eli/reg/2021/2115/oj</w:t>
        </w:r>
      </w:hyperlink>
      <w:r w:rsidRPr="00002417">
        <w:rPr>
          <w:rStyle w:val="Hyperlink"/>
          <w:sz w:val="24"/>
          <w:lang w:val="bg-BG"/>
        </w:rPr>
        <w:t>.</w:t>
      </w:r>
      <w:r w:rsidRPr="00002417">
        <w:rPr>
          <w:sz w:val="24"/>
          <w:lang w:val="bg-BG"/>
        </w:rPr>
        <w:t xml:space="preserve"> </w:t>
      </w:r>
    </w:p>
  </w:footnote>
  <w:footnote w:id="7">
    <w:p w14:paraId="63A2973B" w14:textId="77777777" w:rsidR="00106483" w:rsidRPr="00002417" w:rsidRDefault="00106483" w:rsidP="00CA11E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>Приети текстове, P9_TA(2024)0082.</w:t>
      </w:r>
    </w:p>
  </w:footnote>
  <w:footnote w:id="8">
    <w:p w14:paraId="6F909590" w14:textId="06F47C54" w:rsidR="00FC7B1C" w:rsidRPr="001357E7" w:rsidRDefault="00FC7B1C" w:rsidP="001357E7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1357E7">
        <w:rPr>
          <w:lang w:val="bg-BG"/>
        </w:rPr>
        <w:t xml:space="preserve"> </w:t>
      </w:r>
      <w:r>
        <w:rPr>
          <w:lang w:val="bg-BG"/>
        </w:rPr>
        <w:tab/>
      </w:r>
      <w:r w:rsidRPr="00FC7B1C">
        <w:rPr>
          <w:sz w:val="24"/>
          <w:szCs w:val="24"/>
          <w:lang w:val="hr-HR"/>
        </w:rPr>
        <w:t>O</w:t>
      </w:r>
      <w:r>
        <w:rPr>
          <w:sz w:val="24"/>
          <w:szCs w:val="24"/>
          <w:lang w:val="bg-BG"/>
        </w:rPr>
        <w:t>В</w:t>
      </w:r>
      <w:r w:rsidRPr="001357E7">
        <w:rPr>
          <w:sz w:val="24"/>
          <w:szCs w:val="24"/>
          <w:lang w:val="hr-HR"/>
        </w:rPr>
        <w:t xml:space="preserve"> L, 2024/3236, 23.12.2024</w:t>
      </w:r>
      <w:r>
        <w:rPr>
          <w:sz w:val="24"/>
          <w:szCs w:val="24"/>
          <w:lang w:val="bg-BG"/>
        </w:rPr>
        <w:t> г.</w:t>
      </w:r>
      <w:r w:rsidRPr="001357E7">
        <w:rPr>
          <w:sz w:val="24"/>
          <w:szCs w:val="24"/>
          <w:lang w:val="hr-HR"/>
        </w:rPr>
        <w:t xml:space="preserve">, ELI: </w:t>
      </w:r>
      <w:hyperlink r:id="rId7" w:history="1">
        <w:r w:rsidRPr="002B35CC">
          <w:rPr>
            <w:rStyle w:val="Hyperlink"/>
            <w:sz w:val="24"/>
            <w:szCs w:val="24"/>
            <w:lang w:val="hr-HR"/>
          </w:rPr>
          <w:t>http://data.europa.eu/eli/reg/2024/3236/oj</w:t>
        </w:r>
      </w:hyperlink>
      <w:r w:rsidRPr="001357E7">
        <w:rPr>
          <w:sz w:val="24"/>
          <w:szCs w:val="24"/>
          <w:lang w:val="hr-HR"/>
        </w:rPr>
        <w:t>.</w:t>
      </w:r>
    </w:p>
  </w:footnote>
  <w:footnote w:id="9">
    <w:p w14:paraId="1637A86E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hyperlink r:id="rId8" w:history="1">
        <w:r w:rsidRPr="00002417">
          <w:rPr>
            <w:rStyle w:val="Hyperlink"/>
            <w:sz w:val="24"/>
            <w:lang w:val="bg-BG"/>
          </w:rPr>
          <w:t>https://www.eea.europa.eu/publications/european-climate-risk-assessment</w:t>
        </w:r>
      </w:hyperlink>
      <w:r w:rsidRPr="00002417">
        <w:rPr>
          <w:sz w:val="24"/>
          <w:lang w:val="bg-BG"/>
        </w:rPr>
        <w:t xml:space="preserve">. </w:t>
      </w:r>
    </w:p>
  </w:footnote>
  <w:footnote w:id="10">
    <w:p w14:paraId="704541D9" w14:textId="701AC3E9" w:rsidR="00106483" w:rsidRPr="00002417" w:rsidRDefault="00106483" w:rsidP="009E641A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Услуга в областта на изменението на климата на „Коперник“ и Световна метеорологична организация, 2025 г.: </w:t>
      </w:r>
      <w:r w:rsidRPr="00002417">
        <w:rPr>
          <w:sz w:val="24"/>
          <w:lang w:val="bg-BG"/>
        </w:rPr>
        <w:t>„</w:t>
      </w:r>
      <w:proofErr w:type="spellStart"/>
      <w:r w:rsidRPr="00002417">
        <w:rPr>
          <w:sz w:val="24"/>
          <w:lang w:val="bg-BG"/>
        </w:rPr>
        <w:t>European</w:t>
      </w:r>
      <w:proofErr w:type="spellEnd"/>
      <w:r w:rsidRPr="00002417">
        <w:rPr>
          <w:sz w:val="24"/>
          <w:lang w:val="bg-BG"/>
        </w:rPr>
        <w:t xml:space="preserve"> State </w:t>
      </w:r>
      <w:proofErr w:type="spellStart"/>
      <w:r w:rsidRPr="00002417">
        <w:rPr>
          <w:sz w:val="24"/>
          <w:lang w:val="bg-BG"/>
        </w:rPr>
        <w:t>of</w:t>
      </w:r>
      <w:proofErr w:type="spellEnd"/>
      <w:r w:rsidRPr="00002417">
        <w:rPr>
          <w:sz w:val="24"/>
          <w:lang w:val="bg-BG"/>
        </w:rPr>
        <w:t xml:space="preserve"> </w:t>
      </w:r>
      <w:proofErr w:type="spellStart"/>
      <w:r w:rsidRPr="00002417">
        <w:rPr>
          <w:sz w:val="24"/>
          <w:lang w:val="bg-BG"/>
        </w:rPr>
        <w:t>the</w:t>
      </w:r>
      <w:proofErr w:type="spellEnd"/>
      <w:r w:rsidRPr="00002417">
        <w:rPr>
          <w:sz w:val="24"/>
          <w:lang w:val="bg-BG"/>
        </w:rPr>
        <w:t xml:space="preserve"> </w:t>
      </w:r>
      <w:proofErr w:type="spellStart"/>
      <w:r w:rsidRPr="00002417">
        <w:rPr>
          <w:sz w:val="24"/>
          <w:lang w:val="bg-BG"/>
        </w:rPr>
        <w:t>Climate</w:t>
      </w:r>
      <w:proofErr w:type="spellEnd"/>
      <w:r w:rsidRPr="00002417">
        <w:rPr>
          <w:sz w:val="24"/>
          <w:lang w:val="bg-BG"/>
        </w:rPr>
        <w:t xml:space="preserve"> 2024“ (Доклад за състоянието на климата в Европа за 2024 г.), </w:t>
      </w:r>
      <w:hyperlink r:id="rId9" w:history="1">
        <w:r w:rsidR="009E641A" w:rsidRPr="002B35CC">
          <w:rPr>
            <w:rStyle w:val="Hyperlink"/>
            <w:sz w:val="24"/>
            <w:lang w:val="bg-BG"/>
          </w:rPr>
          <w:t>https://</w:t>
        </w:r>
        <w:r w:rsidRPr="002B35CC">
          <w:rPr>
            <w:rStyle w:val="Hyperlink"/>
            <w:sz w:val="24"/>
            <w:lang w:val="bg-BG"/>
          </w:rPr>
          <w:t>climate.copernicus.eu/ESOTC/2024</w:t>
        </w:r>
      </w:hyperlink>
      <w:r w:rsidRPr="00002417">
        <w:rPr>
          <w:sz w:val="24"/>
          <w:lang w:val="bg-BG"/>
        </w:rPr>
        <w:t>.</w:t>
      </w:r>
    </w:p>
  </w:footnote>
  <w:footnote w:id="11">
    <w:p w14:paraId="2BFC2362" w14:textId="77777777" w:rsidR="00106483" w:rsidRPr="00002417" w:rsidRDefault="00106483" w:rsidP="00002417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Pr="00002417">
        <w:rPr>
          <w:sz w:val="24"/>
          <w:lang w:val="bg-BG"/>
        </w:rPr>
        <w:t xml:space="preserve">Регламент (ЕС) 2021/241 на Европейския парламент и на Съвета от 12 февруари 2021 г. за създаване на Механизъм за възстановяване и устойчивост (ОВ L 57, 18.2.2021 г., стр. 17, </w:t>
      </w:r>
      <w:r w:rsidRPr="00002417">
        <w:rPr>
          <w:color w:val="333333"/>
          <w:sz w:val="24"/>
          <w:shd w:val="clear" w:color="auto" w:fill="FFFFFF"/>
          <w:lang w:val="bg-BG"/>
        </w:rPr>
        <w:t>ELI: </w:t>
      </w:r>
      <w:hyperlink r:id="rId10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002417">
          <w:rPr>
            <w:color w:val="23527C"/>
            <w:sz w:val="24"/>
            <w:u w:val="single"/>
            <w:shd w:val="clear" w:color="auto" w:fill="FFFFFF"/>
            <w:lang w:val="bg-BG"/>
          </w:rPr>
          <w:t>http://data.europa.eu/eli/reg/2021/241/oj</w:t>
        </w:r>
      </w:hyperlink>
      <w:r w:rsidRPr="00002417">
        <w:rPr>
          <w:sz w:val="24"/>
          <w:lang w:val="bg-BG"/>
        </w:rPr>
        <w:t>).</w:t>
      </w:r>
    </w:p>
  </w:footnote>
  <w:footnote w:id="12">
    <w:p w14:paraId="56993CD7" w14:textId="2EB56C70" w:rsidR="00106483" w:rsidRPr="00002417" w:rsidRDefault="00106483" w:rsidP="00D2216F">
      <w:pPr>
        <w:pStyle w:val="FootnoteText"/>
        <w:ind w:left="567" w:hanging="567"/>
        <w:rPr>
          <w:sz w:val="24"/>
          <w:lang w:val="bg-BG"/>
        </w:rPr>
      </w:pPr>
      <w:r w:rsidRPr="00002417">
        <w:rPr>
          <w:rStyle w:val="FootnoteReference"/>
          <w:sz w:val="24"/>
          <w:lang w:val="bg-BG"/>
        </w:rPr>
        <w:footnoteRef/>
      </w:r>
      <w:r w:rsidR="00002417" w:rsidRPr="00002417">
        <w:rPr>
          <w:sz w:val="24"/>
          <w:lang w:val="bg-BG"/>
        </w:rPr>
        <w:t xml:space="preserve"> </w:t>
      </w:r>
      <w:r w:rsidR="00002417" w:rsidRPr="00002417">
        <w:rPr>
          <w:sz w:val="24"/>
          <w:lang w:val="bg-BG"/>
        </w:rPr>
        <w:tab/>
      </w:r>
      <w:r w:rsidR="00D2216F" w:rsidRPr="00D2216F">
        <w:rPr>
          <w:sz w:val="24"/>
          <w:lang w:val="bg-BG"/>
        </w:rPr>
        <w:t>Регламент (ЕС) 2024/3242 на Европейския парламент и на С</w:t>
      </w:r>
      <w:r w:rsidR="00D2216F">
        <w:rPr>
          <w:sz w:val="24"/>
          <w:lang w:val="bg-BG"/>
        </w:rPr>
        <w:t>ъвета от 19 декември 2024 г.</w:t>
      </w:r>
      <w:r w:rsidR="00D2216F" w:rsidRPr="00D2216F">
        <w:rPr>
          <w:sz w:val="24"/>
          <w:lang w:val="bg-BG"/>
        </w:rPr>
        <w:t xml:space="preserve"> </w:t>
      </w:r>
      <w:r w:rsidR="00D2216F" w:rsidRPr="00D2216F">
        <w:rPr>
          <w:sz w:val="24"/>
          <w:lang w:val="bg-BG"/>
        </w:rPr>
        <w:t>за изменение на Регламент (ЕС) 2020/2220 по отношение на специфични мерки по линия на Европейския земеделски фонд за развитие на селските райони за предоставяне на допълнителна помощ на държавите членки, засегнати от природни бедствия</w:t>
      </w:r>
      <w:r w:rsidR="00D2216F">
        <w:rPr>
          <w:sz w:val="24"/>
          <w:lang w:val="bg-BG"/>
        </w:rPr>
        <w:t xml:space="preserve"> (</w:t>
      </w:r>
      <w:r w:rsidRPr="00002417">
        <w:rPr>
          <w:sz w:val="24"/>
          <w:lang w:val="bg-BG"/>
        </w:rPr>
        <w:t xml:space="preserve">OВ L, 2024/3242, 23.12.2024 г., ELI: </w:t>
      </w:r>
      <w:hyperlink r:id="rId11" w:history="1">
        <w:r w:rsidRPr="002B35CC">
          <w:rPr>
            <w:rStyle w:val="Hyperlink"/>
            <w:sz w:val="24"/>
            <w:lang w:val="bg-BG"/>
          </w:rPr>
          <w:t>http://data.europa.eu/eli/reg/2024/3242/oj</w:t>
        </w:r>
      </w:hyperlink>
      <w:r w:rsidR="00D2216F">
        <w:rPr>
          <w:sz w:val="24"/>
          <w:lang w:val="bg-BG"/>
        </w:rPr>
        <w:t>)</w:t>
      </w:r>
      <w:r w:rsidRPr="00002417">
        <w:rPr>
          <w:sz w:val="24"/>
          <w:lang w:val="bg-BG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3A891" w14:textId="77777777" w:rsidR="00064002" w:rsidRPr="000024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2773" w14:textId="77777777" w:rsidR="00064002" w:rsidRPr="000024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9C228" w14:textId="77777777" w:rsidR="00064002" w:rsidRPr="000024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960331">
    <w:abstractNumId w:val="9"/>
  </w:num>
  <w:num w:numId="2" w16cid:durableId="862523111">
    <w:abstractNumId w:val="9"/>
  </w:num>
  <w:num w:numId="3" w16cid:durableId="241185989">
    <w:abstractNumId w:val="7"/>
  </w:num>
  <w:num w:numId="4" w16cid:durableId="1262567497">
    <w:abstractNumId w:val="7"/>
  </w:num>
  <w:num w:numId="5" w16cid:durableId="1764111267">
    <w:abstractNumId w:val="6"/>
  </w:num>
  <w:num w:numId="6" w16cid:durableId="657998692">
    <w:abstractNumId w:val="6"/>
  </w:num>
  <w:num w:numId="7" w16cid:durableId="1263148209">
    <w:abstractNumId w:val="5"/>
  </w:num>
  <w:num w:numId="8" w16cid:durableId="751898918">
    <w:abstractNumId w:val="5"/>
  </w:num>
  <w:num w:numId="9" w16cid:durableId="1476143494">
    <w:abstractNumId w:val="4"/>
  </w:num>
  <w:num w:numId="10" w16cid:durableId="1737314200">
    <w:abstractNumId w:val="4"/>
  </w:num>
  <w:num w:numId="11" w16cid:durableId="300351913">
    <w:abstractNumId w:val="8"/>
  </w:num>
  <w:num w:numId="12" w16cid:durableId="991256042">
    <w:abstractNumId w:val="8"/>
  </w:num>
  <w:num w:numId="13" w16cid:durableId="281346048">
    <w:abstractNumId w:val="3"/>
  </w:num>
  <w:num w:numId="14" w16cid:durableId="1633437297">
    <w:abstractNumId w:val="3"/>
  </w:num>
  <w:num w:numId="15" w16cid:durableId="241722099">
    <w:abstractNumId w:val="2"/>
  </w:num>
  <w:num w:numId="16" w16cid:durableId="385034200">
    <w:abstractNumId w:val="2"/>
  </w:num>
  <w:num w:numId="17" w16cid:durableId="177931896">
    <w:abstractNumId w:val="1"/>
  </w:num>
  <w:num w:numId="18" w16cid:durableId="927811239">
    <w:abstractNumId w:val="1"/>
  </w:num>
  <w:num w:numId="19" w16cid:durableId="1074081749">
    <w:abstractNumId w:val="0"/>
  </w:num>
  <w:num w:numId="20" w16cid:durableId="850412780">
    <w:abstractNumId w:val="0"/>
  </w:num>
  <w:num w:numId="21" w16cid:durableId="1828745904">
    <w:abstractNumId w:val="9"/>
  </w:num>
  <w:num w:numId="22" w16cid:durableId="1824006621">
    <w:abstractNumId w:val="7"/>
  </w:num>
  <w:num w:numId="23" w16cid:durableId="136803700">
    <w:abstractNumId w:val="6"/>
  </w:num>
  <w:num w:numId="24" w16cid:durableId="1447694228">
    <w:abstractNumId w:val="5"/>
  </w:num>
  <w:num w:numId="25" w16cid:durableId="1255162027">
    <w:abstractNumId w:val="4"/>
  </w:num>
  <w:num w:numId="26" w16cid:durableId="955256800">
    <w:abstractNumId w:val="8"/>
  </w:num>
  <w:num w:numId="27" w16cid:durableId="1645890710">
    <w:abstractNumId w:val="3"/>
  </w:num>
  <w:num w:numId="28" w16cid:durableId="900098985">
    <w:abstractNumId w:val="2"/>
  </w:num>
  <w:num w:numId="29" w16cid:durableId="796919644">
    <w:abstractNumId w:val="1"/>
  </w:num>
  <w:num w:numId="30" w16cid:durableId="229392883">
    <w:abstractNumId w:val="0"/>
  </w:num>
  <w:num w:numId="31" w16cid:durableId="1744907620">
    <w:abstractNumId w:val="9"/>
  </w:num>
  <w:num w:numId="32" w16cid:durableId="1814369324">
    <w:abstractNumId w:val="7"/>
  </w:num>
  <w:num w:numId="33" w16cid:durableId="1660033298">
    <w:abstractNumId w:val="6"/>
  </w:num>
  <w:num w:numId="34" w16cid:durableId="1520856453">
    <w:abstractNumId w:val="5"/>
  </w:num>
  <w:num w:numId="35" w16cid:durableId="84614172">
    <w:abstractNumId w:val="4"/>
  </w:num>
  <w:num w:numId="36" w16cid:durableId="1208764202">
    <w:abstractNumId w:val="8"/>
  </w:num>
  <w:num w:numId="37" w16cid:durableId="1952586101">
    <w:abstractNumId w:val="3"/>
  </w:num>
  <w:num w:numId="38" w16cid:durableId="984435593">
    <w:abstractNumId w:val="2"/>
  </w:num>
  <w:num w:numId="39" w16cid:durableId="1202016169">
    <w:abstractNumId w:val="1"/>
  </w:num>
  <w:num w:numId="40" w16cid:durableId="641080675">
    <w:abstractNumId w:val="0"/>
  </w:num>
  <w:num w:numId="41" w16cid:durableId="2035500253">
    <w:abstractNumId w:val="10"/>
  </w:num>
  <w:num w:numId="42" w16cid:durableId="1809664958">
    <w:abstractNumId w:val="10"/>
  </w:num>
  <w:num w:numId="43" w16cid:durableId="1525635805">
    <w:abstractNumId w:val="10"/>
  </w:num>
  <w:num w:numId="44" w16cid:durableId="13597717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4/2025"/>
    <w:docVar w:name="dvlangue" w:val="BG"/>
    <w:docVar w:name="dvnumam" w:val="0"/>
    <w:docVar w:name="dvpe" w:val="774.284"/>
    <w:docVar w:name="dvrapporteur" w:val="Докладчик: "/>
    <w:docVar w:name="dvtitre" w:val="Резолюция на Европейския парламент от ... 2025 г. Относно предложението за решение на Европейския парламент и на Съвета във връзка с мобилизирането на средства от фонд „Солидарност“ на Европейския съюз за предоставяне на помощ на Австрия, Полша, Чехия, Словакия и Молдова във връзка с наводненията, настъпили през месец септември 2024 г. и на Босна и Херцеговина във връзка с наводненията, настъпили през месец октомври 2024 г.(COM(2025)0250 – C10-0102/2025 – 2025/0138(BUD))"/>
  </w:docVars>
  <w:rsids>
    <w:rsidRoot w:val="007B6AA5"/>
    <w:rsid w:val="00002272"/>
    <w:rsid w:val="00002417"/>
    <w:rsid w:val="00064002"/>
    <w:rsid w:val="000677B9"/>
    <w:rsid w:val="000831BA"/>
    <w:rsid w:val="000A42CC"/>
    <w:rsid w:val="000E7DD9"/>
    <w:rsid w:val="0010095E"/>
    <w:rsid w:val="00106483"/>
    <w:rsid w:val="00125B37"/>
    <w:rsid w:val="001357E7"/>
    <w:rsid w:val="00187494"/>
    <w:rsid w:val="001F32AE"/>
    <w:rsid w:val="002767FF"/>
    <w:rsid w:val="002B18FE"/>
    <w:rsid w:val="002B35CC"/>
    <w:rsid w:val="002B5493"/>
    <w:rsid w:val="00343214"/>
    <w:rsid w:val="00361C00"/>
    <w:rsid w:val="0036303D"/>
    <w:rsid w:val="00395FA1"/>
    <w:rsid w:val="003E15D4"/>
    <w:rsid w:val="00411CCE"/>
    <w:rsid w:val="0041666E"/>
    <w:rsid w:val="00421060"/>
    <w:rsid w:val="004432D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B9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855"/>
    <w:rsid w:val="007B6AA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9AC"/>
    <w:rsid w:val="009E641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A11E7"/>
    <w:rsid w:val="00CC2357"/>
    <w:rsid w:val="00CF071A"/>
    <w:rsid w:val="00D058B8"/>
    <w:rsid w:val="00D2216F"/>
    <w:rsid w:val="00D56C11"/>
    <w:rsid w:val="00D834A0"/>
    <w:rsid w:val="00D872DF"/>
    <w:rsid w:val="00D91E21"/>
    <w:rsid w:val="00DA7FCD"/>
    <w:rsid w:val="00E365E1"/>
    <w:rsid w:val="00E8067B"/>
    <w:rsid w:val="00E820A4"/>
    <w:rsid w:val="00E901F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B1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41B4B"/>
  <w15:chartTrackingRefBased/>
  <w15:docId w15:val="{CF7EBD34-A8C1-4A64-83C9-856993D0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064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064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10648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064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6483"/>
    <w:rPr>
      <w:sz w:val="24"/>
      <w:lang w:val="bg-BG"/>
    </w:rPr>
  </w:style>
  <w:style w:type="paragraph" w:customStyle="1" w:styleId="EPFooter">
    <w:name w:val="EPFooter"/>
    <w:basedOn w:val="Normal"/>
    <w:rsid w:val="001064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06483"/>
    <w:pPr>
      <w:spacing w:before="480" w:after="240"/>
    </w:pPr>
  </w:style>
  <w:style w:type="character" w:styleId="Hyperlink">
    <w:name w:val="Hyperlink"/>
    <w:basedOn w:val="DefaultParagraphFont"/>
    <w:uiPriority w:val="99"/>
    <w:rsid w:val="0010648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06483"/>
    <w:pPr>
      <w:widowControl/>
      <w:spacing w:before="100" w:beforeAutospacing="1" w:after="100" w:afterAutospacing="1"/>
    </w:pPr>
    <w:rPr>
      <w:szCs w:val="24"/>
    </w:rPr>
  </w:style>
  <w:style w:type="paragraph" w:customStyle="1" w:styleId="Titrearticle">
    <w:name w:val="Titre article"/>
    <w:basedOn w:val="Normal"/>
    <w:next w:val="Normal"/>
    <w:rsid w:val="0010648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0648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0648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Normal"/>
    <w:rsid w:val="0010648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106483"/>
    <w:rPr>
      <w:sz w:val="24"/>
      <w:lang w:val="bg-BG"/>
    </w:rPr>
  </w:style>
  <w:style w:type="paragraph" w:customStyle="1" w:styleId="Point0">
    <w:name w:val="Point 0"/>
    <w:basedOn w:val="Normal"/>
    <w:rsid w:val="001064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0648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E806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067B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FC7B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B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7B1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C7B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7B1C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2B3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a.europa.eu/publications/european-climate-risk-assessment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reg/2024/3236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24/3242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s://climate.copernicus.eu/ESOTC/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D66B8-8D5F-4C09-8C59-671E8321C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1917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2025-10-21T13:07:00Z</dcterms:created>
  <dcterms:modified xsi:type="dcterms:W3CDTF">2025-10-21T13:07:00Z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P10_TA(2025)0152_</vt:lpwstr>
  </property>
  <property fmtid="{D5CDD505-2E9C-101B-9397-08002B2CF9AE}" pid="4" name="&lt;Type&gt;">
    <vt:lpwstr>RR</vt:lpwstr>
  </property>
</Properties>
</file>