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1115" w14:paraId="7E37C5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18CD73" w14:textId="77777777" w:rsidR="00751A4A" w:rsidRPr="00CF1115" w:rsidRDefault="00CA0933" w:rsidP="0010095E">
            <w:pPr>
              <w:pStyle w:val="EPName"/>
            </w:pPr>
            <w:r w:rsidRPr="00CF1115">
              <w:t>Evropský parlament</w:t>
            </w:r>
          </w:p>
          <w:p w14:paraId="198E9AAF" w14:textId="77777777" w:rsidR="00751A4A" w:rsidRPr="00CF11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1115">
              <w:t>2024</w:t>
            </w:r>
            <w:r w:rsidR="00817416" w:rsidRPr="00CF1115">
              <w:t>-202</w:t>
            </w:r>
            <w:r w:rsidRPr="00CF1115">
              <w:t>9</w:t>
            </w:r>
          </w:p>
        </w:tc>
        <w:tc>
          <w:tcPr>
            <w:tcW w:w="2268" w:type="dxa"/>
            <w:shd w:val="clear" w:color="auto" w:fill="auto"/>
          </w:tcPr>
          <w:p w14:paraId="0ED0E041" w14:textId="77777777" w:rsidR="00751A4A" w:rsidRPr="00CF1115" w:rsidRDefault="00187494" w:rsidP="0010095E">
            <w:pPr>
              <w:pStyle w:val="EPLogo"/>
            </w:pPr>
            <w:r w:rsidRPr="00CF1115">
              <w:rPr>
                <w:noProof/>
                <w:lang w:val="en-GB"/>
              </w:rPr>
              <w:drawing>
                <wp:inline distT="0" distB="0" distL="0" distR="0" wp14:anchorId="3581D6C8" wp14:editId="511975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99E555" w14:textId="77777777" w:rsidR="00D058B8" w:rsidRPr="00CF1115" w:rsidRDefault="00D058B8" w:rsidP="004C5D52">
      <w:pPr>
        <w:pStyle w:val="LineTop"/>
      </w:pPr>
    </w:p>
    <w:p w14:paraId="76FFC22C" w14:textId="77777777" w:rsidR="00680577" w:rsidRPr="00CF1115" w:rsidRDefault="00CA0933" w:rsidP="00680577">
      <w:pPr>
        <w:pStyle w:val="EPBodyTA1"/>
      </w:pPr>
      <w:r w:rsidRPr="00CF1115">
        <w:t>PŘIJATÉ TEXTY</w:t>
      </w:r>
    </w:p>
    <w:p w14:paraId="4CC8F916" w14:textId="77777777" w:rsidR="00D058B8" w:rsidRPr="00CF1115" w:rsidRDefault="00D058B8" w:rsidP="00D058B8">
      <w:pPr>
        <w:pStyle w:val="LineBottom"/>
      </w:pPr>
    </w:p>
    <w:p w14:paraId="5508986F" w14:textId="60C798AB" w:rsidR="00CA0933" w:rsidRPr="00CF1115" w:rsidRDefault="00CA0933" w:rsidP="00CA0933">
      <w:pPr>
        <w:pStyle w:val="ATHeading1"/>
      </w:pPr>
      <w:bookmarkStart w:id="0" w:name="TANumber"/>
      <w:r w:rsidRPr="00CF1115">
        <w:t>P10_TA(2025)0</w:t>
      </w:r>
      <w:r w:rsidR="004014FE">
        <w:t>15</w:t>
      </w:r>
      <w:bookmarkEnd w:id="0"/>
      <w:r w:rsidR="009013FA">
        <w:t>2</w:t>
      </w:r>
    </w:p>
    <w:p w14:paraId="45CCB330" w14:textId="77777777" w:rsidR="00CA0933" w:rsidRPr="00CF1115" w:rsidRDefault="00CA0933" w:rsidP="00CA0933">
      <w:pPr>
        <w:pStyle w:val="ATHeading2"/>
      </w:pPr>
      <w:bookmarkStart w:id="1" w:name="title"/>
      <w:r w:rsidRPr="00CF1115">
        <w:t>Uvolnění prostředků z Fondu solidarity Evropské unie: pomoc Rakousku, Polsku, Česku, Slovensku a Moldavsku v souvislosti s povodněmi, k nimž došlo v září 2024, a Bosně a Hercegovině v souvislosti s povodněmi, k nimž došlo v říjnu 2024</w:t>
      </w:r>
      <w:bookmarkEnd w:id="1"/>
    </w:p>
    <w:p w14:paraId="5903229C" w14:textId="77777777" w:rsidR="00CA0933" w:rsidRPr="00CF1115" w:rsidRDefault="00CA0933" w:rsidP="00CA0933">
      <w:pPr>
        <w:rPr>
          <w:i/>
          <w:vanish/>
        </w:rPr>
      </w:pPr>
      <w:r w:rsidRPr="00CF1115">
        <w:rPr>
          <w:i/>
        </w:rPr>
        <w:fldChar w:fldCharType="begin"/>
      </w:r>
      <w:r w:rsidRPr="00CF1115">
        <w:rPr>
          <w:i/>
        </w:rPr>
        <w:instrText xml:space="preserve"> TC"(</w:instrText>
      </w:r>
      <w:bookmarkStart w:id="2" w:name="DocNumber"/>
      <w:r w:rsidRPr="00CF1115">
        <w:rPr>
          <w:i/>
        </w:rPr>
        <w:instrText>A10-0114/2025</w:instrText>
      </w:r>
      <w:bookmarkEnd w:id="2"/>
      <w:r w:rsidRPr="00CF1115">
        <w:rPr>
          <w:i/>
        </w:rPr>
        <w:instrText xml:space="preserve"> - Zpravodaj: Andrzej Halicki)"\l3 \n&gt; \* MERGEFORMAT </w:instrText>
      </w:r>
      <w:r w:rsidRPr="00CF1115">
        <w:rPr>
          <w:i/>
        </w:rPr>
        <w:fldChar w:fldCharType="end"/>
      </w:r>
    </w:p>
    <w:p w14:paraId="6853A345" w14:textId="77777777" w:rsidR="00CA0933" w:rsidRPr="00CF1115" w:rsidRDefault="00CA0933" w:rsidP="00CA0933">
      <w:pPr>
        <w:rPr>
          <w:vanish/>
        </w:rPr>
      </w:pPr>
      <w:bookmarkStart w:id="3" w:name="Commission"/>
      <w:r w:rsidRPr="00CF1115">
        <w:rPr>
          <w:vanish/>
        </w:rPr>
        <w:t>Rozpočtový výbor</w:t>
      </w:r>
      <w:bookmarkEnd w:id="3"/>
    </w:p>
    <w:p w14:paraId="6BAB7DC8" w14:textId="77777777" w:rsidR="00CA0933" w:rsidRPr="00CF1115" w:rsidRDefault="00CA0933" w:rsidP="00CA0933">
      <w:pPr>
        <w:rPr>
          <w:vanish/>
        </w:rPr>
      </w:pPr>
      <w:bookmarkStart w:id="4" w:name="PE"/>
      <w:r w:rsidRPr="00CF1115">
        <w:rPr>
          <w:vanish/>
        </w:rPr>
        <w:t>PE774.284</w:t>
      </w:r>
      <w:bookmarkEnd w:id="4"/>
    </w:p>
    <w:p w14:paraId="2D055B31" w14:textId="77777777" w:rsidR="00CA0933" w:rsidRPr="00CF1115" w:rsidRDefault="00CA0933" w:rsidP="00CA0933">
      <w:pPr>
        <w:pStyle w:val="ATHeading3"/>
      </w:pPr>
      <w:bookmarkStart w:id="5" w:name="Sujet"/>
      <w:r w:rsidRPr="00CF1115">
        <w:t>Usnesení Evropského parlamentu ze dne 9. července 2025 o návrhu rozhodnutí Evropského parlamentu a Rady o uvolnění prostředků z Fondu solidarity Evropské unie za účelem poskytnutí pomoci Rakousku, Polsku, Česku, Slovensku a Moldavsku v souvislosti s povodněmi, k nimž došlo v září 2024, a Bosně a Hercegovině v souvislosti s povodněmi, k nimž došlo v říjnu 2024</w:t>
      </w:r>
      <w:bookmarkEnd w:id="5"/>
      <w:r w:rsidRPr="00CF1115">
        <w:t xml:space="preserve"> </w:t>
      </w:r>
      <w:bookmarkStart w:id="6" w:name="References"/>
      <w:r w:rsidRPr="00CF1115">
        <w:t>(</w:t>
      </w:r>
      <w:proofErr w:type="gramStart"/>
      <w:r w:rsidRPr="00CF1115">
        <w:t>COM(</w:t>
      </w:r>
      <w:proofErr w:type="gramEnd"/>
      <w:r w:rsidRPr="00CF1115">
        <w:t>2025)0250 – C10-0102/2025 – 2025/0138(BUD))</w:t>
      </w:r>
      <w:bookmarkEnd w:id="6"/>
    </w:p>
    <w:p w14:paraId="4BC7CCC8" w14:textId="77777777" w:rsidR="000E6B2C" w:rsidRPr="00CF1115" w:rsidRDefault="000E6B2C" w:rsidP="000E6B2C">
      <w:pPr>
        <w:pStyle w:val="EPComma"/>
        <w:rPr>
          <w:noProof/>
        </w:rPr>
      </w:pPr>
      <w:r w:rsidRPr="00CF1115">
        <w:rPr>
          <w:i/>
        </w:rPr>
        <w:t>Evropský parlament</w:t>
      </w:r>
      <w:r w:rsidRPr="00CF1115">
        <w:t>,</w:t>
      </w:r>
    </w:p>
    <w:p w14:paraId="4B07EEB8" w14:textId="77777777" w:rsidR="000E6B2C" w:rsidRPr="00CF1115" w:rsidRDefault="000E6B2C" w:rsidP="00675E71">
      <w:pPr>
        <w:pStyle w:val="NormalHanging12a"/>
        <w:rPr>
          <w:noProof/>
        </w:rPr>
      </w:pPr>
      <w:r w:rsidRPr="00CF1115">
        <w:t>–</w:t>
      </w:r>
      <w:r w:rsidRPr="00CF1115">
        <w:tab/>
        <w:t>s ohledem na návrh Komise předložený Evropskému parlamentu a Radě (</w:t>
      </w:r>
      <w:proofErr w:type="gramStart"/>
      <w:r w:rsidRPr="00CF1115">
        <w:t>COM(</w:t>
      </w:r>
      <w:proofErr w:type="gramEnd"/>
      <w:r w:rsidRPr="00CF1115">
        <w:t>2025)0250 – C10</w:t>
      </w:r>
      <w:r w:rsidRPr="00CF1115">
        <w:noBreakHyphen/>
        <w:t>0102/2025),</w:t>
      </w:r>
    </w:p>
    <w:p w14:paraId="0A5DEF6D" w14:textId="4F806C63" w:rsidR="000E6B2C" w:rsidRPr="00CF1115" w:rsidRDefault="000E6B2C" w:rsidP="00675E71">
      <w:pPr>
        <w:pStyle w:val="NormalHanging12a"/>
        <w:rPr>
          <w:noProof/>
        </w:rPr>
      </w:pPr>
      <w:r w:rsidRPr="00CF1115">
        <w:t>–</w:t>
      </w:r>
      <w:r w:rsidRPr="00CF1115">
        <w:tab/>
        <w:t>s ohledem na nařízení Rady (ES) č. 2012/2002 ze dne 11. listopadu 2002 o zřízení Fondu solidarity Evropské unie</w:t>
      </w:r>
      <w:r w:rsidRPr="00CF1115">
        <w:rPr>
          <w:rStyle w:val="FootnoteReference"/>
        </w:rPr>
        <w:footnoteReference w:id="1"/>
      </w:r>
      <w:r w:rsidRPr="00CF1115">
        <w:t>,</w:t>
      </w:r>
    </w:p>
    <w:p w14:paraId="50B6CF43" w14:textId="586F2D44" w:rsidR="000E6B2C" w:rsidRPr="00CF1115" w:rsidRDefault="000E6B2C" w:rsidP="00675E71">
      <w:pPr>
        <w:pStyle w:val="NormalHanging12a"/>
        <w:rPr>
          <w:noProof/>
        </w:rPr>
      </w:pPr>
      <w:r w:rsidRPr="00CF1115">
        <w:t>–</w:t>
      </w:r>
      <w:r w:rsidRPr="00CF1115">
        <w:tab/>
        <w:t>s ohledem na nařízení Rady (EU, Euratom) 2020/2093 ze dne 17. prosince 2020, kterým se stanoví víceletý finanční rámec na období 2021–2027</w:t>
      </w:r>
      <w:r w:rsidRPr="00CF1115">
        <w:rPr>
          <w:rStyle w:val="FootnoteReference"/>
          <w:noProof/>
        </w:rPr>
        <w:footnoteReference w:id="2"/>
      </w:r>
      <w:r w:rsidRPr="00CF1115">
        <w:t xml:space="preserve">, a zejména na článek </w:t>
      </w:r>
      <w:r w:rsidR="00256A7C">
        <w:t>9</w:t>
      </w:r>
      <w:r w:rsidR="00256A7C" w:rsidRPr="00CF1115">
        <w:t xml:space="preserve"> </w:t>
      </w:r>
      <w:r w:rsidRPr="00CF1115">
        <w:t>tohoto nařízení,</w:t>
      </w:r>
    </w:p>
    <w:p w14:paraId="103A0CB1" w14:textId="77777777" w:rsidR="000E6B2C" w:rsidRPr="00CF1115" w:rsidRDefault="000E6B2C" w:rsidP="00675E71">
      <w:pPr>
        <w:pStyle w:val="NormalHanging12a"/>
        <w:rPr>
          <w:noProof/>
        </w:rPr>
      </w:pPr>
      <w:r w:rsidRPr="00CF1115">
        <w:t>–</w:t>
      </w:r>
      <w:r w:rsidRPr="00CF1115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CF1115">
        <w:rPr>
          <w:rStyle w:val="FootnoteReference"/>
          <w:noProof/>
        </w:rPr>
        <w:footnoteReference w:id="3"/>
      </w:r>
      <w:r w:rsidRPr="00CF1115">
        <w:t>, a zejména na článek 10 této dohody,</w:t>
      </w:r>
    </w:p>
    <w:p w14:paraId="1E05A37E" w14:textId="77777777" w:rsidR="000E6B2C" w:rsidRPr="00CF1115" w:rsidRDefault="000E6B2C" w:rsidP="00675E71">
      <w:pPr>
        <w:pStyle w:val="NormalHanging12a"/>
      </w:pPr>
      <w:r w:rsidRPr="00CF1115">
        <w:t>–</w:t>
      </w:r>
      <w:r w:rsidRPr="00CF1115">
        <w:tab/>
        <w:t xml:space="preserve">s ohledem na nařízení Evropského parlamentu a Rady (EU) 2021/1058 ze dne </w:t>
      </w:r>
      <w:r w:rsidRPr="00CF1115">
        <w:lastRenderedPageBreak/>
        <w:t>24. června 2021 o Evropském fondu pro regionální rozvoj a o Fondu soudržnosti</w:t>
      </w:r>
      <w:r w:rsidRPr="00CF1115">
        <w:rPr>
          <w:rStyle w:val="FootnoteReference"/>
        </w:rPr>
        <w:footnoteReference w:id="4"/>
      </w:r>
      <w:r w:rsidRPr="00CF1115">
        <w:t xml:space="preserve">, </w:t>
      </w:r>
    </w:p>
    <w:p w14:paraId="595DCD4C" w14:textId="77777777" w:rsidR="000E6B2C" w:rsidRPr="00CF1115" w:rsidRDefault="000E6B2C" w:rsidP="00675E71">
      <w:pPr>
        <w:pStyle w:val="NormalHanging12a"/>
      </w:pPr>
      <w:r w:rsidRPr="00CF1115">
        <w:t>–</w:t>
      </w:r>
      <w:r w:rsidRPr="00CF1115">
        <w:tab/>
        <w:t>s ohledem na nařízení Evropského parlamentu a Rady (EU) 2021/1057 ze dne 24. června 2021, kterým se zřizuje Evropský sociální fond plus (ESF+)</w:t>
      </w:r>
      <w:r w:rsidRPr="00CF1115">
        <w:rPr>
          <w:rStyle w:val="FootnoteReference"/>
        </w:rPr>
        <w:footnoteReference w:id="5"/>
      </w:r>
      <w:r w:rsidRPr="00CF1115">
        <w:t xml:space="preserve">, </w:t>
      </w:r>
    </w:p>
    <w:p w14:paraId="7E99C31C" w14:textId="77777777" w:rsidR="000E6B2C" w:rsidRPr="00CF1115" w:rsidRDefault="000E6B2C" w:rsidP="00675E71">
      <w:pPr>
        <w:pStyle w:val="NormalHanging12a"/>
        <w:rPr>
          <w:noProof/>
        </w:rPr>
      </w:pPr>
      <w:r w:rsidRPr="00CF1115">
        <w:t>–</w:t>
      </w:r>
      <w:r w:rsidRPr="00CF1115">
        <w:tab/>
        <w:t>s ohledem na nařízení Evropského parlamentu a Rady (EU) 2021/2115 ze dne 2. prosince 2021,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č. 1305/2013 a (EU) č. 1307/2013</w:t>
      </w:r>
      <w:r w:rsidRPr="00CF1115">
        <w:rPr>
          <w:rStyle w:val="FootnoteReference"/>
          <w:noProof/>
        </w:rPr>
        <w:footnoteReference w:id="6"/>
      </w:r>
      <w:r w:rsidRPr="00CF1115">
        <w:t xml:space="preserve">, </w:t>
      </w:r>
    </w:p>
    <w:p w14:paraId="6BDEF597" w14:textId="77777777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t>–</w:t>
      </w:r>
      <w:r w:rsidRPr="00CF1115">
        <w:tab/>
        <w:t>s ohledem na své usnesení ze dne 27. února 2024 o návrhu nařízení Rady, kterým se mění nařízení (EU, Euratom) 2020/2093, kterým se stanoví víceletý finanční rámec na období 2021–2027</w:t>
      </w:r>
      <w:r w:rsidRPr="00CF1115">
        <w:rPr>
          <w:rStyle w:val="FootnoteReference"/>
        </w:rPr>
        <w:footnoteReference w:id="7"/>
      </w:r>
      <w:r w:rsidRPr="00CF1115">
        <w:t>,</w:t>
      </w:r>
    </w:p>
    <w:p w14:paraId="63809BC3" w14:textId="136DA1EA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t>–</w:t>
      </w:r>
      <w:r w:rsidRPr="00CF1115">
        <w:rPr>
          <w:b/>
          <w:i/>
        </w:rPr>
        <w:tab/>
      </w:r>
      <w:r w:rsidR="00067AF4" w:rsidRPr="00AD6E02">
        <w:rPr>
          <w:bCs/>
          <w:iCs/>
        </w:rPr>
        <w:t>s ohledem na zprávu Výboru pro zaměstnanost a sociální věci a Výboru pro regionální rozvoj (A10-0031/2024) v rámci legislativního postupu pro přijetí nařízení Evropského parlamentu a Rady (EU) 2024/3236 ze dne 19. prosince 2024, kterým se mění nařízení (EU) 2021/1057 a (EU) 2021/1058, pokud jde o regionální mimořádnou podporu na obnovu (RESTORE)</w:t>
      </w:r>
      <w:r w:rsidR="009D60CE" w:rsidRPr="00AD6E02">
        <w:rPr>
          <w:rStyle w:val="FootnoteReference"/>
        </w:rPr>
        <w:footnoteReference w:id="8"/>
      </w:r>
      <w:r w:rsidR="00067AF4" w:rsidRPr="00AD6E02">
        <w:rPr>
          <w:bCs/>
          <w:iCs/>
        </w:rPr>
        <w:t>, a zejména na rozpočtové posouzení Rozpočtového výboru připojené k této zprávě</w:t>
      </w:r>
      <w:r w:rsidRPr="00CF1115">
        <w:t>,</w:t>
      </w:r>
    </w:p>
    <w:p w14:paraId="57E4760F" w14:textId="6FE94993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t>–</w:t>
      </w:r>
      <w:r w:rsidRPr="00CF1115">
        <w:tab/>
        <w:t xml:space="preserve">s ohledem na zprávu agentury </w:t>
      </w:r>
      <w:r w:rsidR="00067AF4" w:rsidRPr="00067AF4">
        <w:t>Evropsk</w:t>
      </w:r>
      <w:r w:rsidR="00067AF4">
        <w:t>é</w:t>
      </w:r>
      <w:r w:rsidR="00067AF4" w:rsidRPr="00067AF4">
        <w:t xml:space="preserve"> agentur</w:t>
      </w:r>
      <w:r w:rsidR="00067AF4">
        <w:t>y</w:t>
      </w:r>
      <w:r w:rsidR="00067AF4" w:rsidRPr="00067AF4">
        <w:t xml:space="preserve"> pro životní prostředí</w:t>
      </w:r>
      <w:r w:rsidRPr="00CF1115">
        <w:t xml:space="preserve"> č. 1/2024 – Evropské posouzení klimatických rizik (EUCRA)</w:t>
      </w:r>
      <w:r w:rsidRPr="00CF1115">
        <w:rPr>
          <w:rStyle w:val="FootnoteReference"/>
        </w:rPr>
        <w:footnoteReference w:id="9"/>
      </w:r>
      <w:r w:rsidRPr="00CF1115">
        <w:t>,</w:t>
      </w:r>
    </w:p>
    <w:p w14:paraId="7291FEB4" w14:textId="77777777" w:rsidR="000E6B2C" w:rsidRPr="00CF1115" w:rsidRDefault="000E6B2C" w:rsidP="00675E71">
      <w:pPr>
        <w:pStyle w:val="NormalHanging12a"/>
      </w:pPr>
      <w:r w:rsidRPr="00CF1115">
        <w:t>–</w:t>
      </w:r>
      <w:r w:rsidRPr="00CF1115">
        <w:tab/>
        <w:t>s ohledem na zprávu Rozpočtového výboru (A10</w:t>
      </w:r>
      <w:r w:rsidRPr="00CF1115">
        <w:noBreakHyphen/>
        <w:t>0114/2025),</w:t>
      </w:r>
    </w:p>
    <w:p w14:paraId="65E536C0" w14:textId="77777777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t>A.</w:t>
      </w:r>
      <w:r w:rsidRPr="00CF1115">
        <w:tab/>
        <w:t xml:space="preserve">vzhledem k tomu, že v září 2024 způsobilo v Rakousku mimořádně vysoké množství srážek rozsáhlé záplavy, přičemž celkové přímé škody odhadly rakouské orgány na 1 771,6 milionu EUR; </w:t>
      </w:r>
    </w:p>
    <w:p w14:paraId="25724B3A" w14:textId="77777777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t>B.</w:t>
      </w:r>
      <w:r w:rsidRPr="00CF1115">
        <w:tab/>
        <w:t>vzhledem k tomu, že v září 2024 rozvodnily silné deště v jihozápadním Polsku toky několika řek, což způsobilo přímé škody, jejichž celková výše je polskými orgány odhadována na 3,04 miliardy EUR;</w:t>
      </w:r>
    </w:p>
    <w:p w14:paraId="2CBCC3FE" w14:textId="77777777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t>C.</w:t>
      </w:r>
      <w:r w:rsidRPr="00CF1115">
        <w:tab/>
        <w:t>vzhledem k tomu, že v září 2024 zasáhly celé Česko velmi silné větry a přívalové deště, které způsobily povodně a následné přímé škody, jejichž celková výše je českými orgány odhadována na 2,82 miliardy EUR;</w:t>
      </w:r>
    </w:p>
    <w:p w14:paraId="60B7AB88" w14:textId="77777777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t>D.</w:t>
      </w:r>
      <w:r w:rsidRPr="00CF1115">
        <w:tab/>
        <w:t>vzhledem k tomu, že dne 15. září 2024 zasáhly Slovensko rozsáhlé záplavy, zejména v Bratislavě a okolních regionech, při nichž výrazně stoupla hladina Dunaje a Moravy, což vedlo k přímým škodám odhadovaným slovenskými orgány na celkem 84,3 milionu EUR;</w:t>
      </w:r>
    </w:p>
    <w:p w14:paraId="013C6C75" w14:textId="77777777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lastRenderedPageBreak/>
        <w:t>E.</w:t>
      </w:r>
      <w:r w:rsidRPr="00CF1115">
        <w:tab/>
        <w:t>vzhledem k tomu, že v září 2024 zasáhly několik moldavských okresů přívalové deště a následné povodně, přičemž celkové přímé škody jsou moldavskými orgány odhadovány na 7,8 milionu EUR;</w:t>
      </w:r>
    </w:p>
    <w:p w14:paraId="06197523" w14:textId="77777777" w:rsidR="000E6B2C" w:rsidRPr="00CF1115" w:rsidRDefault="000E6B2C" w:rsidP="00675E71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CF1115">
        <w:t>F.</w:t>
      </w:r>
      <w:r w:rsidRPr="00CF1115">
        <w:tab/>
        <w:t>vzhledem k tomu, že v říjnu 2024 zasáhly Bosnu a Hercegovinu přívalové deště, které způsobily bleskové povodně, sesuvy půdy a záplavy v několika částech země s katastrofálními následky, přičemž tamní orgány vyčíslily přímé škody na celkem 841,85 milionu EUR;</w:t>
      </w:r>
    </w:p>
    <w:p w14:paraId="19AF6EC6" w14:textId="63B875C0" w:rsidR="000E6B2C" w:rsidRPr="00CF1115" w:rsidRDefault="000E6B2C" w:rsidP="00675E71">
      <w:pPr>
        <w:pStyle w:val="NormalHanging12a"/>
      </w:pPr>
      <w:r w:rsidRPr="00CF1115">
        <w:t>G.</w:t>
      </w:r>
      <w:r w:rsidRPr="00CF1115">
        <w:tab/>
        <w:t>vzhledem k tomu, že výše uvedené události způsobené závažnými přírodními katastrofami jsou důsledkem celosvětové změny klimatu; vzhledem k tomu, že se ve zprávě „Stav klimatu v Evropě v roce 2024“ potvrzuje, že rok 2024 byl v Evropě dosud nejteplejším rokem a že 30 % říční sítě kontinentu překročilo „vysokou“ prahovou hodnotu povodní, zatímco 12 % překročilo „kritickou“ prahovou hodnotu</w:t>
      </w:r>
      <w:r w:rsidR="0030018A">
        <w:t xml:space="preserve"> povodní</w:t>
      </w:r>
      <w:r w:rsidRPr="00CF1115">
        <w:t>, což vedlo k nejrozšířenějším záplavám od roku 2013;</w:t>
      </w:r>
    </w:p>
    <w:p w14:paraId="7A396399" w14:textId="27C0562A" w:rsidR="000E6B2C" w:rsidRPr="00CF1115" w:rsidRDefault="000E6B2C" w:rsidP="00675E71">
      <w:pPr>
        <w:spacing w:after="240"/>
        <w:ind w:left="567" w:hanging="567"/>
        <w:rPr>
          <w:szCs w:val="24"/>
          <w:shd w:val="clear" w:color="auto" w:fill="FFFFFF"/>
        </w:rPr>
      </w:pPr>
      <w:r w:rsidRPr="00CF1115">
        <w:t>1.</w:t>
      </w:r>
      <w:r w:rsidRPr="00CF1115">
        <w:tab/>
        <w:t xml:space="preserve">vyjadřuje </w:t>
      </w:r>
      <w:r w:rsidR="00507CF0" w:rsidRPr="00CF1115">
        <w:t xml:space="preserve">svou hlubokou solidaritu </w:t>
      </w:r>
      <w:r w:rsidR="00507CF0">
        <w:t xml:space="preserve">se </w:t>
      </w:r>
      <w:r w:rsidRPr="00CF1115">
        <w:t>všem</w:t>
      </w:r>
      <w:r w:rsidR="00507CF0">
        <w:t>i</w:t>
      </w:r>
      <w:r w:rsidRPr="00CF1115">
        <w:t xml:space="preserve"> obě</w:t>
      </w:r>
      <w:r w:rsidR="00507CF0">
        <w:t>ťmi</w:t>
      </w:r>
      <w:r w:rsidRPr="00CF1115">
        <w:t xml:space="preserve"> v Rakousku, Polsku, Česku, na Slovensku, v Moldavsku a v Bosně a Hercegovině, </w:t>
      </w:r>
      <w:r w:rsidR="00507CF0">
        <w:t>s</w:t>
      </w:r>
      <w:r w:rsidR="00321152">
        <w:t> </w:t>
      </w:r>
      <w:r w:rsidRPr="00CF1115">
        <w:t>jej</w:t>
      </w:r>
      <w:r w:rsidR="00321152">
        <w:t>ich</w:t>
      </w:r>
      <w:r w:rsidRPr="00CF1115">
        <w:t xml:space="preserve"> rodin</w:t>
      </w:r>
      <w:r w:rsidR="00507CF0">
        <w:t>ami</w:t>
      </w:r>
      <w:r w:rsidRPr="00CF1115">
        <w:t xml:space="preserve"> a všem</w:t>
      </w:r>
      <w:r w:rsidR="00321152">
        <w:t>i</w:t>
      </w:r>
      <w:r w:rsidRPr="00CF1115">
        <w:t xml:space="preserve"> lidm</w:t>
      </w:r>
      <w:r w:rsidR="00321152">
        <w:t>i</w:t>
      </w:r>
      <w:r w:rsidRPr="00CF1115">
        <w:t xml:space="preserve"> postiženým</w:t>
      </w:r>
      <w:r w:rsidR="00321152">
        <w:t>i</w:t>
      </w:r>
      <w:r w:rsidRPr="00CF1115">
        <w:t xml:space="preserve"> ničivými povodněmi, jakož i s celostátním</w:t>
      </w:r>
      <w:r w:rsidR="00321152">
        <w:t>i</w:t>
      </w:r>
      <w:r w:rsidRPr="00CF1115">
        <w:t>, regionálním</w:t>
      </w:r>
      <w:r w:rsidR="00321152">
        <w:t>i</w:t>
      </w:r>
      <w:r w:rsidRPr="00CF1115">
        <w:t xml:space="preserve"> a místním</w:t>
      </w:r>
      <w:r w:rsidR="00321152">
        <w:t>i</w:t>
      </w:r>
      <w:r w:rsidRPr="00CF1115">
        <w:t xml:space="preserve"> orgán</w:t>
      </w:r>
      <w:r w:rsidR="00321152">
        <w:t>y</w:t>
      </w:r>
      <w:r w:rsidRPr="00CF1115">
        <w:t xml:space="preserve"> zajišťujícím</w:t>
      </w:r>
      <w:r w:rsidR="00321152">
        <w:t>i</w:t>
      </w:r>
      <w:r w:rsidRPr="00CF1115">
        <w:t xml:space="preserve"> pomoc;</w:t>
      </w:r>
    </w:p>
    <w:p w14:paraId="06AED1F6" w14:textId="77777777" w:rsidR="000E6B2C" w:rsidRPr="00CF1115" w:rsidRDefault="000E6B2C" w:rsidP="00675E71">
      <w:pPr>
        <w:pStyle w:val="NormalHanging12a"/>
      </w:pPr>
      <w:r w:rsidRPr="00CF1115">
        <w:t>2.</w:t>
      </w:r>
      <w:r w:rsidRPr="00CF1115">
        <w:tab/>
        <w:t>vítá toto rozhodnutí jako skutečný a jasný projev solidarity Unie s jejími občany a s regiony v postižených oblastech, mj. s regiony v partnerských zemích;</w:t>
      </w:r>
    </w:p>
    <w:p w14:paraId="7BB98D46" w14:textId="77777777" w:rsidR="000E6B2C" w:rsidRPr="00CF1115" w:rsidRDefault="000E6B2C" w:rsidP="00675E71">
      <w:pPr>
        <w:pStyle w:val="NormalHanging12a"/>
      </w:pPr>
      <w:r w:rsidRPr="00CF1115">
        <w:t>3.</w:t>
      </w:r>
      <w:r w:rsidRPr="00CF1115">
        <w:tab/>
        <w:t>připomíná, že je důležité informovat veřejnost o reálných přínosech Fondu solidarity Evropské unie (EUSF) a dále zvyšovat povědomí občanů o nástrojích a programech Unie v členských státech a v zemích zapojených do přístupových jednání s Unií;</w:t>
      </w:r>
    </w:p>
    <w:p w14:paraId="186DBE81" w14:textId="77777777" w:rsidR="000E6B2C" w:rsidRPr="00CF1115" w:rsidRDefault="000E6B2C" w:rsidP="00675E71">
      <w:pPr>
        <w:spacing w:after="240"/>
        <w:ind w:left="567" w:hanging="567"/>
        <w:rPr>
          <w:szCs w:val="24"/>
        </w:rPr>
      </w:pPr>
      <w:r w:rsidRPr="00CF1115">
        <w:t>4.</w:t>
      </w:r>
      <w:r w:rsidRPr="00CF1115">
        <w:tab/>
        <w:t xml:space="preserve">upozorňuje na rostoucí počet závažných, ničivých a smrtících přírodních katastrof v Evropě a vyzývá členské státy a Komisi, aby investovaly do </w:t>
      </w:r>
      <w:proofErr w:type="spellStart"/>
      <w:r w:rsidRPr="00CF1115">
        <w:t>mitigačních</w:t>
      </w:r>
      <w:proofErr w:type="spellEnd"/>
      <w:r w:rsidRPr="00CF1115">
        <w:t xml:space="preserve"> a adaptačních opatření v oblasti klimatu s cílem zabránit lidským a hospodářským ztrátám; zdůrazňuje, že v roce 2024 zasáhly bouřky a záplavy odhadem 413 000 lidí, což mělo za následek ztrátu nejméně 335 životů, a že se škody způsobené bouřkami a povodněmi v průběhu roku v celé Evropě odhadují nejméně na 18 miliard EUR</w:t>
      </w:r>
      <w:r w:rsidRPr="00CF1115">
        <w:rPr>
          <w:rStyle w:val="FootnoteReference"/>
          <w:szCs w:val="24"/>
        </w:rPr>
        <w:footnoteReference w:id="10"/>
      </w:r>
      <w:r w:rsidRPr="00CF1115">
        <w:t>; domnívá se, že s ohledem na nadcházející návrh Komise týkající se nového víceletého finančního rámce a následná interinstitucionální jednání by měl být navýšen rozpočet EUSF nebo jeho ekvivalentu a že EUSF nebo jeho ekvivalent musí občanům poskytovat pomoc úměrnou rozsahu příslušných katastrof; konstatuje, že výrazné navýšení EUSF by členským státům umožnilo reagovat na katastrofy účinněji a rychleji, přičemž prostředky z jiných nástrojů, zejména fondů soudržnosti, jejichž hlavním účelem není reakce na katastrofy, by mohly zůstat zachovány; naléhavě vyzývá Komisi také k tomu, aby prozkoumala všechny možné způsoby, jak urychlit uvolnění prostředků z fondu EUSF, zejména prostřednictvím změny stávajících pravidel a poskytnutí vyšších záloh kandidátským zemím;</w:t>
      </w:r>
    </w:p>
    <w:p w14:paraId="453208F2" w14:textId="77777777" w:rsidR="000E6B2C" w:rsidRPr="00CF1115" w:rsidRDefault="000E6B2C" w:rsidP="00675E71">
      <w:pPr>
        <w:spacing w:after="240"/>
        <w:ind w:left="567" w:hanging="567"/>
        <w:rPr>
          <w:szCs w:val="24"/>
        </w:rPr>
      </w:pPr>
      <w:r w:rsidRPr="00CF1115">
        <w:t>5.</w:t>
      </w:r>
      <w:r w:rsidRPr="00CF1115">
        <w:tab/>
        <w:t xml:space="preserve">vyzývá Komisi, aby vytvořila na období po roce 2027 specializované nástroje reakce na krize a aby uznala, že rostoucí četnost a závažnost přírodních katastrof, mimořádných situací v oblasti zdraví, geopolitické nestability a hospodářských otřesů vyžaduje na </w:t>
      </w:r>
      <w:r w:rsidRPr="00CF1115">
        <w:lastRenderedPageBreak/>
        <w:t>úrovni Unie pružnější a individuálnější finanční mechanismy; zdůrazňuje, že je třeba prohloubit koordinaci s vnitrostátními systémy civilní ochrany a mechanismy včasného varování a zajistit v celé Unii jednotnější reakci na katastrofy, která by vycházela ze získaných údajů; poukazuje na význam specializované podpory přeshraniční a regionální spolupráce v oblasti připravenosti, zmírňování změny klimatu a obnovy, zejména v ohrožených nebo rizikových oblastech;</w:t>
      </w:r>
    </w:p>
    <w:p w14:paraId="2B8DFA97" w14:textId="18B642A8" w:rsidR="000E6B2C" w:rsidRPr="00CF1115" w:rsidRDefault="000E6B2C" w:rsidP="00675E71">
      <w:pPr>
        <w:spacing w:after="240"/>
        <w:ind w:left="567" w:hanging="567"/>
        <w:rPr>
          <w:szCs w:val="24"/>
        </w:rPr>
      </w:pPr>
      <w:r w:rsidRPr="00CF1115">
        <w:t>6.</w:t>
      </w:r>
      <w:r w:rsidRPr="00CF1115">
        <w:tab/>
        <w:t xml:space="preserve">zdůrazňuje, že EUSF je pouze nápravným nástrojem a že adaptační a </w:t>
      </w:r>
      <w:proofErr w:type="spellStart"/>
      <w:r w:rsidRPr="00CF1115">
        <w:t>mitigační</w:t>
      </w:r>
      <w:proofErr w:type="spellEnd"/>
      <w:r w:rsidRPr="00CF1115">
        <w:t xml:space="preserve"> snahy Unie v oblasti klimatu by měly být spojeny i s podporou evropských a vnitrostátních politik zaměřených na předcházení přírodním katastrofám; zdůrazňuje, že zpráva agentury </w:t>
      </w:r>
      <w:r w:rsidR="009D60CE" w:rsidRPr="009D60CE">
        <w:t>Evropské agentury pro životní prostředí</w:t>
      </w:r>
      <w:r w:rsidRPr="00CF1115">
        <w:t xml:space="preserve"> č. 1/2024 – Evropské posouzení klimatických rizik obsahovala varování, že Unie není na dopady změny klimatu připravena, i když se světu podaří udržet nárůst globální teploty na 1,5 °C, jak je stanoveno v Pařížské dohodě, a podtrhuje, že je nutné přijmout opatření, která zabrání tomu, aby zjištěná klimatická rizika dosáhla kritických úrovní; připomíná, že je nutná účinná součinnost s dalšími politikami a programy Unie, a zdůrazňuje, že členské státy by měly co nejlépe využívat možností financování, zejména z Evropského fondu pro regionální rozvoj, Evropského sociálního fondu+ a programů rozvoje venkova; vyzývá Komisi, aby s náležitou naléhavostí posoudila veškeré odůvodněné žádosti členských států o to, aby byly v rámci jejich národních plánů pro oživení a odolnost přerozděleny finanční prostředky na pomoc při přírodních katastrofách, a to v souladu s pravidly stanovenými v nařízení Evropského parlamentu a Rady (EU) 2021/241</w:t>
      </w:r>
      <w:r w:rsidRPr="00CF1115">
        <w:rPr>
          <w:rStyle w:val="FootnoteReference"/>
          <w:szCs w:val="24"/>
        </w:rPr>
        <w:footnoteReference w:id="11"/>
      </w:r>
      <w:r w:rsidRPr="00CF1115">
        <w:t>; rovněž upozorňuje na nutnost zavádět preventivní opatření, a to nejen s cílem zmírnit budoucí škody, ale také zabránit zhoršení rizikových faktorů v důsledku ničivých událostí, jako jsou povodně, přírodní požáry, sesuvy půdy nebo vysychání jezer a řek; zdůrazňuje, že veškeré projekty obnovy financované z FSEU musí zajišťovat odolnost vůči změně klimatu; podtrhuje význam přiměřené flexibility mezi jednotlivými programy; zdůrazňuje, že pomoc poskytovaná v rámci EUSF by neměla být na úkor unijního financování, které členské státy získávají v rámci jiných politik nebo programů Unie; připomíná, že členské státy mohou poskytovat státní podporu v souladu s platnými pravidly Unie, zejména zemědělským podnikům, které utrpěly škody v důsledku přírodních katastrof;</w:t>
      </w:r>
    </w:p>
    <w:p w14:paraId="00D3420F" w14:textId="4BBFB5D8" w:rsidR="000E6B2C" w:rsidRPr="00CF1115" w:rsidRDefault="000E6B2C" w:rsidP="00675E71">
      <w:pPr>
        <w:spacing w:after="240"/>
        <w:ind w:left="567" w:hanging="567"/>
        <w:rPr>
          <w:szCs w:val="24"/>
        </w:rPr>
      </w:pPr>
      <w:r w:rsidRPr="00CF1115">
        <w:t>7.</w:t>
      </w:r>
      <w:r w:rsidRPr="00CF1115">
        <w:tab/>
        <w:t xml:space="preserve">připomíná, že iniciativa RESTORE a zvláštní opatření v rámci Evropského zemědělského fondu pro rozvoj venkova (EZFRV) </w:t>
      </w:r>
      <w:r w:rsidR="00381F99">
        <w:t xml:space="preserve">zavedená nařízením Evropského parlamentu a </w:t>
      </w:r>
      <w:r w:rsidR="00381F99" w:rsidRPr="00381F99">
        <w:t xml:space="preserve">Rady </w:t>
      </w:r>
      <w:r w:rsidR="00381F99" w:rsidRPr="00AD6E02">
        <w:rPr>
          <w:szCs w:val="24"/>
        </w:rPr>
        <w:t>(EU) 2024/3242</w:t>
      </w:r>
      <w:r w:rsidR="00381F99" w:rsidRPr="00483D1C">
        <w:rPr>
          <w:rStyle w:val="FootnoteReference"/>
          <w:szCs w:val="24"/>
        </w:rPr>
        <w:footnoteReference w:id="12"/>
      </w:r>
      <w:r w:rsidR="00381F99" w:rsidRPr="00AD6E02">
        <w:rPr>
          <w:szCs w:val="24"/>
        </w:rPr>
        <w:t xml:space="preserve"> </w:t>
      </w:r>
      <w:r w:rsidRPr="00381F99">
        <w:t>poskytují</w:t>
      </w:r>
      <w:r w:rsidRPr="00CF1115">
        <w:t xml:space="preserve"> dodatečnou pomoc členským státům postiženým přírodními katastrofami prostřednictvím větší flexibility při využívání finančních prostředků; zdůrazňuje, že členské státy by měly tyto nové příležitosti využívat; poukazuje rovněž na to, že v důsledku velmi pokročilého provádění víceletého finančního rámce získaly některé členské státy v rámci iniciativy RESTORE jen omezenou flexibilitu;</w:t>
      </w:r>
    </w:p>
    <w:p w14:paraId="4399ECB3" w14:textId="77777777" w:rsidR="000E6B2C" w:rsidRPr="00CF1115" w:rsidRDefault="000E6B2C" w:rsidP="00675E71">
      <w:pPr>
        <w:spacing w:after="240"/>
        <w:ind w:left="567" w:hanging="567"/>
        <w:rPr>
          <w:szCs w:val="24"/>
        </w:rPr>
      </w:pPr>
      <w:r w:rsidRPr="00CF1115">
        <w:t>8.</w:t>
      </w:r>
      <w:r w:rsidRPr="00CF1115">
        <w:tab/>
        <w:t xml:space="preserve">připomíná důležitost rychlého a důkladného posouzení škod, které náležitě zohlední </w:t>
      </w:r>
      <w:r w:rsidRPr="00CF1115">
        <w:lastRenderedPageBreak/>
        <w:t>hospodářské důsledky, a vyzývá k tomu, aby se při současném zajištění ochrany unijního rozpočtu více usilovalo o to, zkrátit průměrnou dobu vyplácení zálohových plateb, a poskytnout tak regionům postiženým přírodními katastrofami a extrémními povětrnostními událostmi příslušnou pomoc včas; zdůrazňuje, že členské státy by měly v souvislosti s opatřeními v oblasti reakce na katastrofy a obnovy věnovat prvořadou pozornost potřebám postiženého obyvatelstva, přičemž zvláštní pozornost by měla být věnována zranitelným skupinám;</w:t>
      </w:r>
    </w:p>
    <w:p w14:paraId="031A722A" w14:textId="77777777" w:rsidR="000E6B2C" w:rsidRPr="00CF1115" w:rsidRDefault="000E6B2C" w:rsidP="00675E71">
      <w:pPr>
        <w:spacing w:after="240"/>
        <w:ind w:left="567" w:hanging="567"/>
      </w:pPr>
      <w:r w:rsidRPr="00CF1115">
        <w:t>9.</w:t>
      </w:r>
      <w:r w:rsidRPr="00CF1115">
        <w:tab/>
        <w:t xml:space="preserve">zdůrazňuje, že je naléhavě nutné uvolnit prostřednictvím EUSF okamžitou finanční pomoc, aby bylo zajištěno, že se podpora dostane do postižených regionů včas; </w:t>
      </w:r>
    </w:p>
    <w:p w14:paraId="289A59C0" w14:textId="77777777" w:rsidR="000E6B2C" w:rsidRPr="00CF1115" w:rsidRDefault="000E6B2C" w:rsidP="00675E71">
      <w:pPr>
        <w:pStyle w:val="NormalHanging12a"/>
        <w:rPr>
          <w:noProof/>
        </w:rPr>
      </w:pPr>
      <w:r w:rsidRPr="00CF1115">
        <w:t>10.</w:t>
      </w:r>
      <w:r w:rsidRPr="00CF1115">
        <w:tab/>
        <w:t>schvaluje rozhodnutí uvedené v příloze k tomuto usnesení;</w:t>
      </w:r>
    </w:p>
    <w:p w14:paraId="4471DFD6" w14:textId="77777777" w:rsidR="000E6B2C" w:rsidRPr="00CF1115" w:rsidRDefault="000E6B2C" w:rsidP="00675E71">
      <w:pPr>
        <w:pStyle w:val="NormalHanging12a"/>
        <w:rPr>
          <w:noProof/>
        </w:rPr>
      </w:pPr>
      <w:r w:rsidRPr="00CF1115">
        <w:t>11.</w:t>
      </w:r>
      <w:r w:rsidRPr="00CF1115">
        <w:tab/>
        <w:t>pověřuje svou předsedkyni, aby podepsala toto rozhodnutí společně s předsedou Rady a aby zajistila jeho zveřejnění v </w:t>
      </w:r>
      <w:r w:rsidRPr="00CF1115">
        <w:rPr>
          <w:i/>
        </w:rPr>
        <w:t>Úředním věstníku Evropské unie</w:t>
      </w:r>
      <w:r w:rsidRPr="00CF1115">
        <w:t>;</w:t>
      </w:r>
    </w:p>
    <w:p w14:paraId="5FA4F15A" w14:textId="77777777" w:rsidR="000E6B2C" w:rsidRPr="00CF1115" w:rsidRDefault="000E6B2C" w:rsidP="00675E71">
      <w:pPr>
        <w:pStyle w:val="NormalHanging12a"/>
        <w:rPr>
          <w:noProof/>
        </w:rPr>
      </w:pPr>
      <w:r w:rsidRPr="00CF1115">
        <w:t>12.</w:t>
      </w:r>
      <w:r w:rsidRPr="00CF1115">
        <w:tab/>
        <w:t>pověřuje svou předsedkyni, aby předala toto usnesení včetně přílohy Radě a Komisi.</w:t>
      </w:r>
    </w:p>
    <w:p w14:paraId="55CBF704" w14:textId="77777777" w:rsidR="000E6B2C" w:rsidRPr="00CF1115" w:rsidRDefault="000E6B2C" w:rsidP="00675E71">
      <w:pPr>
        <w:ind w:hanging="567"/>
        <w:rPr>
          <w:noProof/>
        </w:rPr>
      </w:pPr>
    </w:p>
    <w:p w14:paraId="0CD02ED2" w14:textId="77777777" w:rsidR="000E6B2C" w:rsidRPr="00CF1115" w:rsidRDefault="000E6B2C" w:rsidP="000E6B2C">
      <w:pPr>
        <w:pStyle w:val="PageHeading"/>
        <w:rPr>
          <w:noProof/>
        </w:rPr>
        <w:sectPr w:rsidR="000E6B2C" w:rsidRPr="00CF1115" w:rsidSect="007F3B74">
          <w:footerReference w:type="even" r:id="rId9"/>
          <w:footerReference w:type="first" r:id="rId10"/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9CA32E6" w14:textId="77777777" w:rsidR="006C7B02" w:rsidRPr="00625764" w:rsidRDefault="000E6B2C" w:rsidP="000E6B2C">
      <w:pPr>
        <w:pStyle w:val="PageHeading"/>
        <w:rPr>
          <w:rFonts w:ascii="Times New Roman" w:hAnsi="Times New Roman" w:cs="Times New Roman"/>
        </w:rPr>
      </w:pPr>
      <w:bookmarkStart w:id="7" w:name="_Toc200980373"/>
      <w:bookmarkStart w:id="8" w:name="_Toc202368946"/>
      <w:r w:rsidRPr="00625764">
        <w:rPr>
          <w:rFonts w:ascii="Times New Roman" w:hAnsi="Times New Roman" w:cs="Times New Roman"/>
        </w:rPr>
        <w:lastRenderedPageBreak/>
        <w:t>PŘÍLOHA</w:t>
      </w:r>
    </w:p>
    <w:p w14:paraId="29A0E404" w14:textId="08413CE8" w:rsidR="000E6B2C" w:rsidRPr="00625764" w:rsidRDefault="000E6B2C" w:rsidP="000E6B2C">
      <w:pPr>
        <w:pStyle w:val="PageHeading"/>
        <w:rPr>
          <w:rFonts w:ascii="Times New Roman" w:hAnsi="Times New Roman" w:cs="Times New Roman"/>
          <w:noProof/>
        </w:rPr>
      </w:pPr>
      <w:r w:rsidRPr="00625764">
        <w:rPr>
          <w:rFonts w:ascii="Times New Roman" w:hAnsi="Times New Roman" w:cs="Times New Roman"/>
        </w:rPr>
        <w:t>ROZHODNUTÍ EVROPSKÉHO PARLAMENTU A RADY</w:t>
      </w:r>
      <w:bookmarkEnd w:id="7"/>
      <w:bookmarkEnd w:id="8"/>
    </w:p>
    <w:p w14:paraId="1C5829FF" w14:textId="14B00B4B" w:rsidR="000E6B2C" w:rsidRDefault="000E6B2C" w:rsidP="006C7B02">
      <w:pPr>
        <w:pStyle w:val="NormalBold24a"/>
        <w:jc w:val="center"/>
      </w:pPr>
      <w:r w:rsidRPr="00CF1115">
        <w:t xml:space="preserve">o uvolnění prostředků z Fondu solidarity Evropské unie </w:t>
      </w:r>
      <w:r w:rsidR="0082658C">
        <w:t>na</w:t>
      </w:r>
      <w:r w:rsidRPr="00CF1115">
        <w:t xml:space="preserve"> poskytnutí pomoci Rakousku, Polsku, Česku, Slovensku a Moldavsku v souvislosti s povodněmi, k nimž došlo v září 2024, a Bosně a Hercegovině v souvislosti s povodněmi, k nimž došlo v říjnu 2024</w:t>
      </w:r>
    </w:p>
    <w:p w14:paraId="38263DF0" w14:textId="74D94A22" w:rsidR="006C7B02" w:rsidRPr="006C7B02" w:rsidRDefault="006C7B02" w:rsidP="000E6B2C">
      <w:pPr>
        <w:pStyle w:val="NormalBold24a"/>
        <w:rPr>
          <w:b w:val="0"/>
          <w:bCs w:val="0"/>
        </w:rPr>
      </w:pPr>
      <w:r w:rsidRPr="006C7B02">
        <w:rPr>
          <w:b w:val="0"/>
          <w:bCs w:val="0"/>
          <w:i/>
          <w:lang w:eastAsia="de-DE"/>
        </w:rPr>
        <w:t>(Znění této přílohy se zde neuvádí, jelikož odpovídá znění konečného aktu, rozhodnutí (EU) 202</w:t>
      </w:r>
      <w:r w:rsidR="000862CF">
        <w:rPr>
          <w:b w:val="0"/>
          <w:bCs w:val="0"/>
          <w:i/>
          <w:lang w:eastAsia="de-DE"/>
        </w:rPr>
        <w:t>5</w:t>
      </w:r>
      <w:r w:rsidRPr="006C7B02">
        <w:rPr>
          <w:b w:val="0"/>
          <w:bCs w:val="0"/>
          <w:i/>
          <w:lang w:eastAsia="de-DE"/>
        </w:rPr>
        <w:t>/</w:t>
      </w:r>
      <w:r w:rsidR="000862CF">
        <w:rPr>
          <w:b w:val="0"/>
          <w:bCs w:val="0"/>
          <w:i/>
          <w:lang w:eastAsia="de-DE"/>
        </w:rPr>
        <w:t>1525</w:t>
      </w:r>
      <w:r w:rsidRPr="006C7B02">
        <w:rPr>
          <w:b w:val="0"/>
          <w:bCs w:val="0"/>
          <w:i/>
          <w:lang w:eastAsia="de-DE"/>
        </w:rPr>
        <w:t>.)</w:t>
      </w:r>
    </w:p>
    <w:sectPr w:rsidR="006C7B02" w:rsidRPr="006C7B02" w:rsidSect="00DF23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45D81" w14:textId="77777777" w:rsidR="00CA0933" w:rsidRPr="00DF2347" w:rsidRDefault="00CA0933">
      <w:r w:rsidRPr="00DF2347">
        <w:separator/>
      </w:r>
    </w:p>
  </w:endnote>
  <w:endnote w:type="continuationSeparator" w:id="0">
    <w:p w14:paraId="24A4568C" w14:textId="77777777" w:rsidR="00CA0933" w:rsidRPr="00DF2347" w:rsidRDefault="00CA0933">
      <w:r w:rsidRPr="00DF23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5C722" w14:textId="77777777" w:rsidR="000E6B2C" w:rsidRPr="00DF2347" w:rsidRDefault="000E6B2C" w:rsidP="008040E0">
    <w:pPr>
      <w:pStyle w:val="EPFooter"/>
    </w:pPr>
    <w:r w:rsidRPr="00DF2347">
      <w:t>PE</w:t>
    </w:r>
    <w:r w:rsidRPr="00DF2347">
      <w:rPr>
        <w:rStyle w:val="HideTWBExt"/>
      </w:rPr>
      <w:t>&lt;NoPE&gt;</w:t>
    </w:r>
    <w:r w:rsidRPr="00DF2347">
      <w:t>774.284</w:t>
    </w:r>
    <w:r w:rsidRPr="00DF2347">
      <w:rPr>
        <w:rStyle w:val="HideTWBExt"/>
      </w:rPr>
      <w:t>&lt;/NoPE&gt;&lt;Version&gt;</w:t>
    </w:r>
    <w:r w:rsidRPr="00DF2347">
      <w:t>v02-00</w:t>
    </w:r>
    <w:r w:rsidRPr="00DF2347">
      <w:rPr>
        <w:rStyle w:val="HideTWBExt"/>
      </w:rPr>
      <w:t>&lt;/Version&gt;</w:t>
    </w:r>
    <w:r w:rsidRPr="00DF2347">
      <w:tab/>
    </w:r>
    <w:r w:rsidRPr="00DF2347">
      <w:fldChar w:fldCharType="begin"/>
    </w:r>
    <w:r w:rsidRPr="00DF2347">
      <w:instrText xml:space="preserve"> PAGE  \* MERGEFORMAT </w:instrText>
    </w:r>
    <w:r w:rsidRPr="00DF2347">
      <w:fldChar w:fldCharType="separate"/>
    </w:r>
    <w:r w:rsidRPr="00DF2347">
      <w:rPr>
        <w:noProof/>
      </w:rPr>
      <w:t>16</w:t>
    </w:r>
    <w:r w:rsidRPr="00DF2347">
      <w:fldChar w:fldCharType="end"/>
    </w:r>
    <w:r w:rsidRPr="00DF2347">
      <w:t>/</w:t>
    </w:r>
    <w:r w:rsidR="000862CF">
      <w:fldChar w:fldCharType="begin"/>
    </w:r>
    <w:r w:rsidR="000862CF">
      <w:instrText xml:space="preserve"> NUMPAGES  \* MERGEFORMAT </w:instrText>
    </w:r>
    <w:r w:rsidR="000862CF">
      <w:fldChar w:fldCharType="separate"/>
    </w:r>
    <w:r w:rsidRPr="00DF2347">
      <w:rPr>
        <w:noProof/>
      </w:rPr>
      <w:t>16</w:t>
    </w:r>
    <w:r w:rsidR="000862CF">
      <w:rPr>
        <w:noProof/>
      </w:rPr>
      <w:fldChar w:fldCharType="end"/>
    </w:r>
    <w:r w:rsidRPr="00DF2347">
      <w:tab/>
    </w:r>
    <w:r w:rsidRPr="00DF2347">
      <w:rPr>
        <w:rStyle w:val="HideTWBExt"/>
      </w:rPr>
      <w:t>&lt;PathFdR&gt;</w:t>
    </w:r>
    <w:r w:rsidRPr="00DF2347">
      <w:t>RR\1323790CS.docx</w:t>
    </w:r>
    <w:r w:rsidRPr="00DF2347">
      <w:rPr>
        <w:rStyle w:val="HideTWBExt"/>
      </w:rPr>
      <w:t>&lt;/PathFdR&gt;</w:t>
    </w:r>
  </w:p>
  <w:p w14:paraId="15A54570" w14:textId="77777777" w:rsidR="000E6B2C" w:rsidRPr="00DF2347" w:rsidRDefault="000E6B2C" w:rsidP="008040E0">
    <w:pPr>
      <w:pStyle w:val="EPFooter2"/>
    </w:pPr>
    <w:r w:rsidRPr="00DF2347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0AD11" w14:textId="77777777" w:rsidR="000E6B2C" w:rsidRPr="00DF2347" w:rsidRDefault="000E6B2C" w:rsidP="008040E0">
    <w:pPr>
      <w:pStyle w:val="EPFooter"/>
    </w:pPr>
    <w:r w:rsidRPr="00DF2347">
      <w:rPr>
        <w:rStyle w:val="HideTWBExt"/>
      </w:rPr>
      <w:t>&lt;PathFdR&gt;</w:t>
    </w:r>
    <w:r w:rsidRPr="00DF2347">
      <w:t>RR\1323790CS.docx</w:t>
    </w:r>
    <w:r w:rsidRPr="00DF2347">
      <w:rPr>
        <w:rStyle w:val="HideTWBExt"/>
      </w:rPr>
      <w:t>&lt;/PathFdR&gt;</w:t>
    </w:r>
    <w:r w:rsidRPr="00DF2347">
      <w:tab/>
    </w:r>
    <w:r w:rsidRPr="00DF2347">
      <w:tab/>
      <w:t>PE</w:t>
    </w:r>
    <w:r w:rsidRPr="00DF2347">
      <w:rPr>
        <w:rStyle w:val="HideTWBExt"/>
      </w:rPr>
      <w:t>&lt;NoPE&gt;</w:t>
    </w:r>
    <w:r w:rsidRPr="00DF2347">
      <w:t>774.284</w:t>
    </w:r>
    <w:r w:rsidRPr="00DF2347">
      <w:rPr>
        <w:rStyle w:val="HideTWBExt"/>
      </w:rPr>
      <w:t>&lt;/NoPE&gt;&lt;Version&gt;</w:t>
    </w:r>
    <w:r w:rsidRPr="00DF2347">
      <w:t>v02-00</w:t>
    </w:r>
    <w:r w:rsidRPr="00DF2347">
      <w:rPr>
        <w:rStyle w:val="HideTWBExt"/>
      </w:rPr>
      <w:t>&lt;/Version&gt;</w:t>
    </w:r>
  </w:p>
  <w:p w14:paraId="50FC4801" w14:textId="77777777" w:rsidR="000E6B2C" w:rsidRPr="00DF2347" w:rsidRDefault="000E6B2C" w:rsidP="008040E0">
    <w:pPr>
      <w:pStyle w:val="EPFooter2"/>
    </w:pPr>
    <w:r w:rsidRPr="00DF2347">
      <w:t>CS</w:t>
    </w:r>
    <w:r w:rsidRPr="00DF2347">
      <w:tab/>
    </w:r>
    <w:r w:rsidRPr="00DF2347">
      <w:rPr>
        <w:b w:val="0"/>
        <w:i/>
        <w:color w:val="C0C0C0"/>
        <w:sz w:val="22"/>
      </w:rPr>
      <w:t>Jednotná v rozmanitosti</w:t>
    </w:r>
    <w:r w:rsidRPr="00DF2347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15F07" w14:textId="77777777" w:rsidR="00064002" w:rsidRPr="00DF234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FC50" w14:textId="77777777" w:rsidR="00064002" w:rsidRPr="00DF234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A9C88" w14:textId="77777777" w:rsidR="00064002" w:rsidRPr="00DF23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4189F" w14:textId="77777777" w:rsidR="00CA0933" w:rsidRPr="00DF2347" w:rsidRDefault="00CA0933">
      <w:r w:rsidRPr="00DF2347">
        <w:separator/>
      </w:r>
    </w:p>
  </w:footnote>
  <w:footnote w:type="continuationSeparator" w:id="0">
    <w:p w14:paraId="186A08A7" w14:textId="77777777" w:rsidR="00CA0933" w:rsidRPr="00DF2347" w:rsidRDefault="00CA0933">
      <w:r w:rsidRPr="00DF2347">
        <w:continuationSeparator/>
      </w:r>
    </w:p>
  </w:footnote>
  <w:footnote w:id="1">
    <w:p w14:paraId="36D784E3" w14:textId="4F555321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proofErr w:type="spellStart"/>
      <w:r w:rsidRPr="00DF2347">
        <w:rPr>
          <w:sz w:val="24"/>
          <w:lang w:val="cs-CZ"/>
        </w:rPr>
        <w:t>Úř</w:t>
      </w:r>
      <w:proofErr w:type="spellEnd"/>
      <w:r w:rsidRPr="00DF2347">
        <w:rPr>
          <w:sz w:val="24"/>
          <w:lang w:val="cs-CZ"/>
        </w:rPr>
        <w:t xml:space="preserve">. </w:t>
      </w:r>
      <w:proofErr w:type="spellStart"/>
      <w:r w:rsidRPr="00DF2347">
        <w:rPr>
          <w:sz w:val="24"/>
          <w:lang w:val="cs-CZ"/>
        </w:rPr>
        <w:t>věst</w:t>
      </w:r>
      <w:proofErr w:type="spellEnd"/>
      <w:r w:rsidRPr="00DF2347">
        <w:rPr>
          <w:sz w:val="24"/>
          <w:lang w:val="cs-CZ"/>
        </w:rPr>
        <w:t xml:space="preserve">. L 311, 14.11.2002, s. 3, ELI: </w:t>
      </w:r>
      <w:hyperlink r:id="rId1" w:history="1">
        <w:r w:rsidRPr="00DF2347">
          <w:rPr>
            <w:rStyle w:val="Hyperlink"/>
            <w:sz w:val="24"/>
            <w:lang w:val="cs-CZ"/>
          </w:rPr>
          <w:t>http://data.europa.eu/eli/reg/2002/2012/oj</w:t>
        </w:r>
      </w:hyperlink>
      <w:r w:rsidRPr="00DF2347">
        <w:rPr>
          <w:sz w:val="24"/>
          <w:lang w:val="cs-CZ"/>
        </w:rPr>
        <w:t>.</w:t>
      </w:r>
    </w:p>
  </w:footnote>
  <w:footnote w:id="2">
    <w:p w14:paraId="0511D24F" w14:textId="7A9F72FC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proofErr w:type="spellStart"/>
      <w:r w:rsidRPr="00DF2347">
        <w:rPr>
          <w:sz w:val="24"/>
          <w:lang w:val="cs-CZ"/>
        </w:rPr>
        <w:t>Úř</w:t>
      </w:r>
      <w:proofErr w:type="spellEnd"/>
      <w:r w:rsidRPr="00DF2347">
        <w:rPr>
          <w:sz w:val="24"/>
          <w:lang w:val="cs-CZ"/>
        </w:rPr>
        <w:t xml:space="preserve">. </w:t>
      </w:r>
      <w:proofErr w:type="spellStart"/>
      <w:r w:rsidRPr="00DF2347">
        <w:rPr>
          <w:sz w:val="24"/>
          <w:lang w:val="cs-CZ"/>
        </w:rPr>
        <w:t>věst</w:t>
      </w:r>
      <w:proofErr w:type="spellEnd"/>
      <w:r w:rsidRPr="00DF2347">
        <w:rPr>
          <w:sz w:val="24"/>
          <w:lang w:val="cs-CZ"/>
        </w:rPr>
        <w:t>. L 433</w:t>
      </w:r>
      <w:r w:rsidR="00256A7C">
        <w:rPr>
          <w:sz w:val="24"/>
          <w:lang w:val="cs-CZ"/>
        </w:rPr>
        <w:t xml:space="preserve"> I</w:t>
      </w:r>
      <w:r w:rsidRPr="00DF2347">
        <w:rPr>
          <w:sz w:val="24"/>
          <w:lang w:val="cs-CZ"/>
        </w:rPr>
        <w:t xml:space="preserve">, 22.12.2020, s. 11, ELI: </w:t>
      </w:r>
      <w:hyperlink r:id="rId2" w:history="1">
        <w:r w:rsidRPr="00DF2347">
          <w:rPr>
            <w:rStyle w:val="Hyperlink"/>
            <w:sz w:val="24"/>
            <w:lang w:val="cs-CZ"/>
          </w:rPr>
          <w:t>http://data.europa.eu/eli/reg/2020/2093/oj</w:t>
        </w:r>
      </w:hyperlink>
      <w:r w:rsidRPr="00DF2347">
        <w:rPr>
          <w:sz w:val="24"/>
          <w:lang w:val="cs-CZ"/>
        </w:rPr>
        <w:t>.</w:t>
      </w:r>
    </w:p>
  </w:footnote>
  <w:footnote w:id="3">
    <w:p w14:paraId="17BDCC03" w14:textId="1387BDAC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proofErr w:type="spellStart"/>
      <w:r w:rsidRPr="00DF2347">
        <w:rPr>
          <w:sz w:val="24"/>
          <w:lang w:val="cs-CZ"/>
        </w:rPr>
        <w:t>Úř</w:t>
      </w:r>
      <w:proofErr w:type="spellEnd"/>
      <w:r w:rsidRPr="00DF2347">
        <w:rPr>
          <w:sz w:val="24"/>
          <w:lang w:val="cs-CZ"/>
        </w:rPr>
        <w:t xml:space="preserve">. </w:t>
      </w:r>
      <w:proofErr w:type="spellStart"/>
      <w:r w:rsidRPr="00DF2347">
        <w:rPr>
          <w:sz w:val="24"/>
          <w:lang w:val="cs-CZ"/>
        </w:rPr>
        <w:t>věst</w:t>
      </w:r>
      <w:proofErr w:type="spellEnd"/>
      <w:r w:rsidRPr="00DF2347">
        <w:rPr>
          <w:sz w:val="24"/>
          <w:lang w:val="cs-CZ"/>
        </w:rPr>
        <w:t>. L 433</w:t>
      </w:r>
      <w:r w:rsidR="00256A7C">
        <w:rPr>
          <w:sz w:val="24"/>
          <w:lang w:val="cs-CZ"/>
        </w:rPr>
        <w:t xml:space="preserve"> I</w:t>
      </w:r>
      <w:r w:rsidRPr="00DF2347">
        <w:rPr>
          <w:sz w:val="24"/>
          <w:lang w:val="cs-CZ"/>
        </w:rPr>
        <w:t xml:space="preserve">, 22.12.2020, s. 28, ELI: </w:t>
      </w:r>
      <w:r w:rsidR="009013FA">
        <w:fldChar w:fldCharType="begin"/>
      </w:r>
      <w:r w:rsidR="009013FA" w:rsidRPr="006C7B02">
        <w:rPr>
          <w:lang w:val="cs-CZ"/>
        </w:rPr>
        <w:instrText>HYPERLINK "http://data.europa.eu/eli/agree_interinstit/2020/1222/oj"</w:instrText>
      </w:r>
      <w:r w:rsidR="009013FA">
        <w:fldChar w:fldCharType="separate"/>
      </w:r>
      <w:r w:rsidRPr="00DF2347">
        <w:rPr>
          <w:rStyle w:val="Hyperlink"/>
          <w:sz w:val="24"/>
          <w:lang w:val="cs-CZ"/>
        </w:rPr>
        <w:t>http://data.europa.eu/eli/agree_interinstit/2020/1222/oj</w:t>
      </w:r>
      <w:r w:rsidR="009013FA">
        <w:rPr>
          <w:rStyle w:val="Hyperlink"/>
          <w:sz w:val="24"/>
          <w:lang w:val="cs-CZ"/>
        </w:rPr>
        <w:fldChar w:fldCharType="end"/>
      </w:r>
      <w:r w:rsidRPr="00DF2347">
        <w:rPr>
          <w:sz w:val="24"/>
          <w:lang w:val="cs-CZ"/>
        </w:rPr>
        <w:t>.</w:t>
      </w:r>
    </w:p>
  </w:footnote>
  <w:footnote w:id="4">
    <w:p w14:paraId="6748421D" w14:textId="6C9D09B4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proofErr w:type="spellStart"/>
      <w:r w:rsidRPr="00DF2347">
        <w:rPr>
          <w:sz w:val="24"/>
          <w:lang w:val="cs-CZ"/>
        </w:rPr>
        <w:t>Úř</w:t>
      </w:r>
      <w:proofErr w:type="spellEnd"/>
      <w:r w:rsidRPr="00DF2347">
        <w:rPr>
          <w:sz w:val="24"/>
          <w:lang w:val="cs-CZ"/>
        </w:rPr>
        <w:t xml:space="preserve">. </w:t>
      </w:r>
      <w:proofErr w:type="spellStart"/>
      <w:r w:rsidRPr="00DF2347">
        <w:rPr>
          <w:sz w:val="24"/>
          <w:lang w:val="cs-CZ"/>
        </w:rPr>
        <w:t>věst</w:t>
      </w:r>
      <w:proofErr w:type="spellEnd"/>
      <w:r w:rsidRPr="00DF2347">
        <w:rPr>
          <w:sz w:val="24"/>
          <w:lang w:val="cs-CZ"/>
        </w:rPr>
        <w:t xml:space="preserve">. L 231, 30.6.2021, s. 60, ELI: </w:t>
      </w:r>
      <w:hyperlink r:id="rId3" w:history="1">
        <w:r w:rsidRPr="00DF2347">
          <w:rPr>
            <w:rStyle w:val="Hyperlink"/>
            <w:sz w:val="24"/>
            <w:lang w:val="cs-CZ"/>
          </w:rPr>
          <w:t>http://data.europa.eu/eli/reg/2021/1058/oj</w:t>
        </w:r>
      </w:hyperlink>
      <w:r w:rsidRPr="00DF2347">
        <w:rPr>
          <w:sz w:val="24"/>
          <w:lang w:val="cs-CZ"/>
        </w:rPr>
        <w:t>.</w:t>
      </w:r>
    </w:p>
  </w:footnote>
  <w:footnote w:id="5">
    <w:p w14:paraId="5A1D471F" w14:textId="5356F892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proofErr w:type="spellStart"/>
      <w:r w:rsidRPr="00DF2347">
        <w:rPr>
          <w:sz w:val="24"/>
          <w:lang w:val="cs-CZ"/>
        </w:rPr>
        <w:t>Úř</w:t>
      </w:r>
      <w:proofErr w:type="spellEnd"/>
      <w:r w:rsidRPr="00DF2347">
        <w:rPr>
          <w:sz w:val="24"/>
          <w:lang w:val="cs-CZ"/>
        </w:rPr>
        <w:t xml:space="preserve">. </w:t>
      </w:r>
      <w:proofErr w:type="spellStart"/>
      <w:r w:rsidRPr="00DF2347">
        <w:rPr>
          <w:sz w:val="24"/>
          <w:lang w:val="cs-CZ"/>
        </w:rPr>
        <w:t>věst</w:t>
      </w:r>
      <w:proofErr w:type="spellEnd"/>
      <w:r w:rsidRPr="00DF2347">
        <w:rPr>
          <w:sz w:val="24"/>
          <w:lang w:val="cs-CZ"/>
        </w:rPr>
        <w:t xml:space="preserve">. L 231, 30.6.2021, s. 21, ELI: </w:t>
      </w:r>
      <w:hyperlink r:id="rId4" w:history="1">
        <w:r w:rsidRPr="00DF2347">
          <w:rPr>
            <w:rStyle w:val="Hyperlink"/>
            <w:sz w:val="24"/>
            <w:lang w:val="cs-CZ"/>
          </w:rPr>
          <w:t>http://data.europa.eu/eli/reg/2021/1057/oj</w:t>
        </w:r>
      </w:hyperlink>
      <w:r w:rsidRPr="00DF2347">
        <w:rPr>
          <w:sz w:val="24"/>
          <w:lang w:val="cs-CZ"/>
        </w:rPr>
        <w:t>.</w:t>
      </w:r>
    </w:p>
  </w:footnote>
  <w:footnote w:id="6">
    <w:p w14:paraId="303E6261" w14:textId="098C47E6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proofErr w:type="spellStart"/>
      <w:r w:rsidRPr="00DF2347">
        <w:rPr>
          <w:sz w:val="24"/>
          <w:lang w:val="cs-CZ"/>
        </w:rPr>
        <w:t>Úř</w:t>
      </w:r>
      <w:proofErr w:type="spellEnd"/>
      <w:r w:rsidRPr="00DF2347">
        <w:rPr>
          <w:sz w:val="24"/>
          <w:lang w:val="cs-CZ"/>
        </w:rPr>
        <w:t xml:space="preserve">. </w:t>
      </w:r>
      <w:proofErr w:type="spellStart"/>
      <w:r w:rsidRPr="00DF2347">
        <w:rPr>
          <w:sz w:val="24"/>
          <w:lang w:val="cs-CZ"/>
        </w:rPr>
        <w:t>věst</w:t>
      </w:r>
      <w:proofErr w:type="spellEnd"/>
      <w:r w:rsidRPr="00DF2347">
        <w:rPr>
          <w:sz w:val="24"/>
          <w:lang w:val="cs-CZ"/>
        </w:rPr>
        <w:t xml:space="preserve">. L 435, 6.12.2021, s. 1, ELI: </w:t>
      </w:r>
      <w:hyperlink r:id="rId5" w:history="1">
        <w:r w:rsidRPr="00DF2347">
          <w:rPr>
            <w:rStyle w:val="Hyperlink"/>
            <w:sz w:val="24"/>
            <w:lang w:val="cs-CZ"/>
          </w:rPr>
          <w:t>http://data.europa.eu/eli/reg/2021/2115/oj</w:t>
        </w:r>
      </w:hyperlink>
      <w:r w:rsidR="0060518A" w:rsidRPr="00DF2347">
        <w:rPr>
          <w:sz w:val="24"/>
          <w:lang w:val="cs-CZ"/>
        </w:rPr>
        <w:t>.</w:t>
      </w:r>
    </w:p>
  </w:footnote>
  <w:footnote w:id="7">
    <w:p w14:paraId="6450EF37" w14:textId="01289F9F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r w:rsidRPr="00DF2347">
        <w:rPr>
          <w:sz w:val="24"/>
          <w:lang w:val="cs-CZ"/>
        </w:rPr>
        <w:t>Přijaté texty, P9_TA(2024)0082.</w:t>
      </w:r>
    </w:p>
  </w:footnote>
  <w:footnote w:id="8">
    <w:p w14:paraId="55908259" w14:textId="1E8DC864" w:rsidR="009D60CE" w:rsidRPr="00AD6E02" w:rsidRDefault="009D60CE" w:rsidP="009D60CE">
      <w:pPr>
        <w:pStyle w:val="FootnoteText"/>
        <w:ind w:left="567" w:hanging="567"/>
        <w:rPr>
          <w:sz w:val="24"/>
          <w:szCs w:val="24"/>
          <w:lang w:val="hr-HR"/>
        </w:rPr>
      </w:pPr>
      <w:r w:rsidRPr="00AD6E02">
        <w:rPr>
          <w:rStyle w:val="FootnoteReference"/>
          <w:sz w:val="24"/>
          <w:szCs w:val="24"/>
        </w:rPr>
        <w:footnoteRef/>
      </w:r>
      <w:r w:rsidRPr="00AD6E02">
        <w:rPr>
          <w:sz w:val="24"/>
          <w:szCs w:val="24"/>
          <w:lang w:val="cs-CZ"/>
        </w:rPr>
        <w:t xml:space="preserve"> </w:t>
      </w:r>
      <w:r w:rsidRPr="00AD6E02">
        <w:rPr>
          <w:sz w:val="24"/>
          <w:szCs w:val="24"/>
          <w:lang w:val="hr-HR"/>
        </w:rPr>
        <w:tab/>
      </w:r>
      <w:proofErr w:type="spellStart"/>
      <w:r w:rsidRPr="009D60CE">
        <w:rPr>
          <w:sz w:val="24"/>
          <w:szCs w:val="24"/>
          <w:lang w:val="cs-CZ"/>
        </w:rPr>
        <w:t>Úř</w:t>
      </w:r>
      <w:proofErr w:type="spellEnd"/>
      <w:r w:rsidRPr="009D60CE">
        <w:rPr>
          <w:sz w:val="24"/>
          <w:szCs w:val="24"/>
          <w:lang w:val="cs-CZ"/>
        </w:rPr>
        <w:t xml:space="preserve">. </w:t>
      </w:r>
      <w:proofErr w:type="spellStart"/>
      <w:r w:rsidRPr="009D60CE">
        <w:rPr>
          <w:sz w:val="24"/>
          <w:szCs w:val="24"/>
          <w:lang w:val="cs-CZ"/>
        </w:rPr>
        <w:t>věst</w:t>
      </w:r>
      <w:proofErr w:type="spellEnd"/>
      <w:r w:rsidRPr="009D60CE">
        <w:rPr>
          <w:sz w:val="24"/>
          <w:szCs w:val="24"/>
          <w:lang w:val="cs-CZ"/>
        </w:rPr>
        <w:t xml:space="preserve">. </w:t>
      </w:r>
      <w:r w:rsidRPr="00AD6E02">
        <w:rPr>
          <w:sz w:val="24"/>
          <w:szCs w:val="24"/>
          <w:lang w:val="hr-HR"/>
        </w:rPr>
        <w:t>L, 2024/3236, 23.12.2024, ELI: http://data.europa.eu/eli/reg/2024/3236/oj.</w:t>
      </w:r>
    </w:p>
  </w:footnote>
  <w:footnote w:id="9">
    <w:p w14:paraId="694C7FCD" w14:textId="5C73EA84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hyperlink r:id="rId6" w:history="1">
        <w:r w:rsidRPr="00DF2347">
          <w:rPr>
            <w:rStyle w:val="Hyperlink"/>
            <w:sz w:val="24"/>
            <w:lang w:val="cs-CZ"/>
          </w:rPr>
          <w:t>https://www.eea.europa.eu/publications/european-climate-risk-assessment</w:t>
        </w:r>
      </w:hyperlink>
      <w:r w:rsidRPr="00DF2347">
        <w:rPr>
          <w:sz w:val="24"/>
          <w:lang w:val="cs-CZ"/>
        </w:rPr>
        <w:t xml:space="preserve"> </w:t>
      </w:r>
    </w:p>
  </w:footnote>
  <w:footnote w:id="10">
    <w:p w14:paraId="36CFD77B" w14:textId="12C6C559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r w:rsidRPr="00DF2347">
        <w:rPr>
          <w:sz w:val="24"/>
          <w:lang w:val="cs-CZ"/>
        </w:rPr>
        <w:t xml:space="preserve">Služba programu </w:t>
      </w:r>
      <w:proofErr w:type="spellStart"/>
      <w:r w:rsidRPr="00DF2347">
        <w:rPr>
          <w:sz w:val="24"/>
          <w:lang w:val="cs-CZ"/>
        </w:rPr>
        <w:t>Copernicus</w:t>
      </w:r>
      <w:proofErr w:type="spellEnd"/>
      <w:r w:rsidRPr="00DF2347">
        <w:rPr>
          <w:sz w:val="24"/>
          <w:lang w:val="cs-CZ"/>
        </w:rPr>
        <w:t xml:space="preserve"> v oblasti změny klimatu (C3S) a Světová meteorologická organizace (WMO), 2025: </w:t>
      </w:r>
      <w:proofErr w:type="spellStart"/>
      <w:r w:rsidRPr="00DF2347">
        <w:rPr>
          <w:sz w:val="24"/>
          <w:lang w:val="cs-CZ"/>
        </w:rPr>
        <w:t>European</w:t>
      </w:r>
      <w:proofErr w:type="spellEnd"/>
      <w:r w:rsidRPr="00DF2347">
        <w:rPr>
          <w:sz w:val="24"/>
          <w:lang w:val="cs-CZ"/>
        </w:rPr>
        <w:t xml:space="preserve"> </w:t>
      </w:r>
      <w:proofErr w:type="spellStart"/>
      <w:r w:rsidRPr="00DF2347">
        <w:rPr>
          <w:sz w:val="24"/>
          <w:lang w:val="cs-CZ"/>
        </w:rPr>
        <w:t>State</w:t>
      </w:r>
      <w:proofErr w:type="spellEnd"/>
      <w:r w:rsidRPr="00DF2347">
        <w:rPr>
          <w:sz w:val="24"/>
          <w:lang w:val="cs-CZ"/>
        </w:rPr>
        <w:t xml:space="preserve"> </w:t>
      </w:r>
      <w:proofErr w:type="spellStart"/>
      <w:r w:rsidRPr="00DF2347">
        <w:rPr>
          <w:sz w:val="24"/>
          <w:lang w:val="cs-CZ"/>
        </w:rPr>
        <w:t>of</w:t>
      </w:r>
      <w:proofErr w:type="spellEnd"/>
      <w:r w:rsidRPr="00DF2347">
        <w:rPr>
          <w:sz w:val="24"/>
          <w:lang w:val="cs-CZ"/>
        </w:rPr>
        <w:t xml:space="preserve"> </w:t>
      </w:r>
      <w:proofErr w:type="spellStart"/>
      <w:r w:rsidRPr="00DF2347">
        <w:rPr>
          <w:sz w:val="24"/>
          <w:lang w:val="cs-CZ"/>
        </w:rPr>
        <w:t>the</w:t>
      </w:r>
      <w:proofErr w:type="spellEnd"/>
      <w:r w:rsidRPr="00DF2347">
        <w:rPr>
          <w:sz w:val="24"/>
          <w:lang w:val="cs-CZ"/>
        </w:rPr>
        <w:t xml:space="preserve"> </w:t>
      </w:r>
      <w:proofErr w:type="spellStart"/>
      <w:r w:rsidRPr="00DF2347">
        <w:rPr>
          <w:sz w:val="24"/>
          <w:lang w:val="cs-CZ"/>
        </w:rPr>
        <w:t>Climate</w:t>
      </w:r>
      <w:proofErr w:type="spellEnd"/>
      <w:r w:rsidRPr="00DF2347">
        <w:rPr>
          <w:sz w:val="24"/>
          <w:lang w:val="cs-CZ"/>
        </w:rPr>
        <w:t xml:space="preserve"> 2024 (Stav klimatu v Evropě v roce 2024), </w:t>
      </w:r>
      <w:r w:rsidRPr="009D60CE">
        <w:rPr>
          <w:sz w:val="24"/>
          <w:lang w:val="cs-CZ"/>
        </w:rPr>
        <w:t>climate.copernicus.eu/ESOTC/2024, doi.org/10.24381/14j9-s541.</w:t>
      </w:r>
    </w:p>
  </w:footnote>
  <w:footnote w:id="11">
    <w:p w14:paraId="5E8A54C3" w14:textId="6E8D9676" w:rsidR="000E6B2C" w:rsidRPr="00DF2347" w:rsidRDefault="000E6B2C" w:rsidP="00DF2347">
      <w:pPr>
        <w:pStyle w:val="FootnoteText"/>
        <w:ind w:left="567" w:hanging="567"/>
        <w:rPr>
          <w:sz w:val="24"/>
          <w:lang w:val="cs-CZ"/>
        </w:rPr>
      </w:pPr>
      <w:r w:rsidRPr="00DF2347">
        <w:rPr>
          <w:rStyle w:val="FootnoteReference"/>
          <w:sz w:val="24"/>
          <w:lang w:val="cs-CZ"/>
        </w:rPr>
        <w:footnoteRef/>
      </w:r>
      <w:r w:rsidR="00DF2347" w:rsidRPr="00DF2347">
        <w:rPr>
          <w:sz w:val="24"/>
          <w:lang w:val="cs-CZ"/>
        </w:rPr>
        <w:t xml:space="preserve"> </w:t>
      </w:r>
      <w:r w:rsidR="00DF2347" w:rsidRPr="00DF2347">
        <w:rPr>
          <w:sz w:val="24"/>
          <w:lang w:val="cs-CZ"/>
        </w:rPr>
        <w:tab/>
      </w:r>
      <w:r w:rsidRPr="00DF2347">
        <w:rPr>
          <w:sz w:val="24"/>
          <w:lang w:val="cs-CZ"/>
        </w:rPr>
        <w:t>Nařízení Evropského parlamentu a Rady (EU) 2021/241 ze dne 12. února 2021, kterým se zřizuje Nástroj pro oživení a odolnost (</w:t>
      </w:r>
      <w:proofErr w:type="spellStart"/>
      <w:r w:rsidRPr="00DF2347">
        <w:rPr>
          <w:sz w:val="24"/>
          <w:lang w:val="cs-CZ"/>
        </w:rPr>
        <w:t>Úř</w:t>
      </w:r>
      <w:proofErr w:type="spellEnd"/>
      <w:r w:rsidRPr="00DF2347">
        <w:rPr>
          <w:sz w:val="24"/>
          <w:lang w:val="cs-CZ"/>
        </w:rPr>
        <w:t>. </w:t>
      </w:r>
      <w:proofErr w:type="spellStart"/>
      <w:r w:rsidRPr="00DF2347">
        <w:rPr>
          <w:sz w:val="24"/>
          <w:lang w:val="cs-CZ"/>
        </w:rPr>
        <w:t>věst</w:t>
      </w:r>
      <w:proofErr w:type="spellEnd"/>
      <w:r w:rsidRPr="00DF2347">
        <w:rPr>
          <w:sz w:val="24"/>
          <w:lang w:val="cs-CZ"/>
        </w:rPr>
        <w:t>. L 57, 18.2.2021, s. 17, ELI:</w:t>
      </w:r>
      <w:r w:rsidRPr="00DF2347">
        <w:rPr>
          <w:color w:val="333333"/>
          <w:sz w:val="24"/>
          <w:shd w:val="clear" w:color="auto" w:fill="FFFFFF"/>
          <w:lang w:val="cs-CZ"/>
        </w:rPr>
        <w:t> </w:t>
      </w:r>
      <w:hyperlink r:id="rId7" w:tooltip="Umožňuje přístup k tomuto dokumentu prostřednictvím identifikátoru ELI URI." w:history="1">
        <w:r w:rsidRPr="00DF2347">
          <w:rPr>
            <w:color w:val="23527C"/>
            <w:sz w:val="24"/>
            <w:u w:val="single"/>
            <w:shd w:val="clear" w:color="auto" w:fill="FFFFFF"/>
            <w:lang w:val="cs-CZ"/>
          </w:rPr>
          <w:t>http://data.europa.eu/</w:t>
        </w:r>
        <w:proofErr w:type="spellStart"/>
        <w:r w:rsidRPr="00DF2347">
          <w:rPr>
            <w:color w:val="23527C"/>
            <w:sz w:val="24"/>
            <w:u w:val="single"/>
            <w:shd w:val="clear" w:color="auto" w:fill="FFFFFF"/>
            <w:lang w:val="cs-CZ"/>
          </w:rPr>
          <w:t>eli</w:t>
        </w:r>
        <w:proofErr w:type="spellEnd"/>
        <w:r w:rsidRPr="00DF2347">
          <w:rPr>
            <w:color w:val="23527C"/>
            <w:sz w:val="24"/>
            <w:u w:val="single"/>
            <w:shd w:val="clear" w:color="auto" w:fill="FFFFFF"/>
            <w:lang w:val="cs-CZ"/>
          </w:rPr>
          <w:t>/</w:t>
        </w:r>
        <w:proofErr w:type="spellStart"/>
        <w:r w:rsidRPr="00DF2347">
          <w:rPr>
            <w:color w:val="23527C"/>
            <w:sz w:val="24"/>
            <w:u w:val="single"/>
            <w:shd w:val="clear" w:color="auto" w:fill="FFFFFF"/>
            <w:lang w:val="cs-CZ"/>
          </w:rPr>
          <w:t>reg</w:t>
        </w:r>
        <w:proofErr w:type="spellEnd"/>
        <w:r w:rsidRPr="00DF2347">
          <w:rPr>
            <w:color w:val="23527C"/>
            <w:sz w:val="24"/>
            <w:u w:val="single"/>
            <w:shd w:val="clear" w:color="auto" w:fill="FFFFFF"/>
            <w:lang w:val="cs-CZ"/>
          </w:rPr>
          <w:t>/2021/241/oj</w:t>
        </w:r>
      </w:hyperlink>
      <w:r w:rsidRPr="00DF2347">
        <w:rPr>
          <w:sz w:val="24"/>
          <w:lang w:val="cs-CZ"/>
        </w:rPr>
        <w:t>).</w:t>
      </w:r>
    </w:p>
  </w:footnote>
  <w:footnote w:id="12">
    <w:p w14:paraId="2670B054" w14:textId="05E22CC5" w:rsidR="00381F99" w:rsidRPr="00AD6E02" w:rsidRDefault="00381F99" w:rsidP="00381F99">
      <w:pPr>
        <w:pStyle w:val="FootnoteText"/>
        <w:keepLines w:val="0"/>
        <w:ind w:left="567" w:hanging="567"/>
        <w:rPr>
          <w:sz w:val="24"/>
          <w:lang w:val="cs-CZ"/>
        </w:rPr>
      </w:pPr>
      <w:r w:rsidRPr="00483D1C">
        <w:rPr>
          <w:rStyle w:val="FootnoteReference"/>
          <w:sz w:val="24"/>
          <w:lang w:val="en-GB"/>
        </w:rPr>
        <w:footnoteRef/>
      </w:r>
      <w:r w:rsidRPr="00AD6E02">
        <w:rPr>
          <w:sz w:val="24"/>
          <w:lang w:val="cs-CZ"/>
        </w:rPr>
        <w:t xml:space="preserve"> </w:t>
      </w:r>
      <w:r w:rsidRPr="00AD6E02">
        <w:rPr>
          <w:sz w:val="24"/>
          <w:lang w:val="cs-CZ"/>
        </w:rPr>
        <w:tab/>
        <w:t>Nařízení Evropského parlamentu a Rady (EU) 2024/3242 ze dne 19. prosince 2024, kterým se mění nařízení (EU) 2020/2220, pokud jde o zvláštní opatření v rámci Evropského zemědělského fondu pro rozvoj venkova k poskytnutí dodatečné pomoci členským státům postiženým přírodními katastrofami (</w:t>
      </w:r>
      <w:proofErr w:type="spellStart"/>
      <w:r w:rsidRPr="00DF2347">
        <w:rPr>
          <w:sz w:val="24"/>
          <w:lang w:val="cs-CZ"/>
        </w:rPr>
        <w:t>Úř</w:t>
      </w:r>
      <w:proofErr w:type="spellEnd"/>
      <w:r w:rsidRPr="00DF2347">
        <w:rPr>
          <w:sz w:val="24"/>
          <w:lang w:val="cs-CZ"/>
        </w:rPr>
        <w:t xml:space="preserve">. </w:t>
      </w:r>
      <w:proofErr w:type="spellStart"/>
      <w:r w:rsidRPr="00DF2347">
        <w:rPr>
          <w:sz w:val="24"/>
          <w:lang w:val="cs-CZ"/>
        </w:rPr>
        <w:t>věst</w:t>
      </w:r>
      <w:proofErr w:type="spellEnd"/>
      <w:r w:rsidRPr="00DF2347">
        <w:rPr>
          <w:sz w:val="24"/>
          <w:lang w:val="cs-CZ"/>
        </w:rPr>
        <w:t xml:space="preserve">. </w:t>
      </w:r>
      <w:r w:rsidRPr="00AD6E02">
        <w:rPr>
          <w:sz w:val="24"/>
          <w:lang w:val="cs-CZ"/>
        </w:rPr>
        <w:t xml:space="preserve">L, 2024/3242, 23.12.2024, ELI: </w:t>
      </w:r>
      <w:hyperlink r:id="rId8" w:history="1">
        <w:r w:rsidRPr="00AD6E02">
          <w:rPr>
            <w:rStyle w:val="Hyperlink"/>
            <w:sz w:val="24"/>
            <w:lang w:val="cs-CZ"/>
          </w:rPr>
          <w:t>http://data.europa.eu/eli/reg/2024/3242/oj</w:t>
        </w:r>
      </w:hyperlink>
      <w:r w:rsidRPr="00AD6E02">
        <w:rPr>
          <w:rStyle w:val="Hyperlink"/>
          <w:sz w:val="24"/>
          <w:lang w:val="cs-CZ"/>
        </w:rPr>
        <w:t>)</w:t>
      </w:r>
      <w:r w:rsidRPr="00AD6E02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B66A0" w14:textId="77777777" w:rsidR="00064002" w:rsidRPr="00DF23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97B95" w14:textId="77777777" w:rsidR="00064002" w:rsidRPr="00DF23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0FA21" w14:textId="77777777" w:rsidR="00064002" w:rsidRPr="00DF23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9553531">
    <w:abstractNumId w:val="9"/>
  </w:num>
  <w:num w:numId="2" w16cid:durableId="800536595">
    <w:abstractNumId w:val="9"/>
  </w:num>
  <w:num w:numId="3" w16cid:durableId="1391882171">
    <w:abstractNumId w:val="7"/>
  </w:num>
  <w:num w:numId="4" w16cid:durableId="2071807604">
    <w:abstractNumId w:val="7"/>
  </w:num>
  <w:num w:numId="5" w16cid:durableId="261570780">
    <w:abstractNumId w:val="6"/>
  </w:num>
  <w:num w:numId="6" w16cid:durableId="920330009">
    <w:abstractNumId w:val="6"/>
  </w:num>
  <w:num w:numId="7" w16cid:durableId="1710301640">
    <w:abstractNumId w:val="5"/>
  </w:num>
  <w:num w:numId="8" w16cid:durableId="380326566">
    <w:abstractNumId w:val="5"/>
  </w:num>
  <w:num w:numId="9" w16cid:durableId="1750034018">
    <w:abstractNumId w:val="4"/>
  </w:num>
  <w:num w:numId="10" w16cid:durableId="367069855">
    <w:abstractNumId w:val="4"/>
  </w:num>
  <w:num w:numId="11" w16cid:durableId="370805201">
    <w:abstractNumId w:val="8"/>
  </w:num>
  <w:num w:numId="12" w16cid:durableId="100149878">
    <w:abstractNumId w:val="8"/>
  </w:num>
  <w:num w:numId="13" w16cid:durableId="1757314189">
    <w:abstractNumId w:val="3"/>
  </w:num>
  <w:num w:numId="14" w16cid:durableId="1282766415">
    <w:abstractNumId w:val="3"/>
  </w:num>
  <w:num w:numId="15" w16cid:durableId="1863471642">
    <w:abstractNumId w:val="2"/>
  </w:num>
  <w:num w:numId="16" w16cid:durableId="325086886">
    <w:abstractNumId w:val="2"/>
  </w:num>
  <w:num w:numId="17" w16cid:durableId="322590459">
    <w:abstractNumId w:val="1"/>
  </w:num>
  <w:num w:numId="18" w16cid:durableId="857698300">
    <w:abstractNumId w:val="1"/>
  </w:num>
  <w:num w:numId="19" w16cid:durableId="1715734351">
    <w:abstractNumId w:val="0"/>
  </w:num>
  <w:num w:numId="20" w16cid:durableId="1046560052">
    <w:abstractNumId w:val="0"/>
  </w:num>
  <w:num w:numId="21" w16cid:durableId="1052195234">
    <w:abstractNumId w:val="9"/>
  </w:num>
  <w:num w:numId="22" w16cid:durableId="2124037694">
    <w:abstractNumId w:val="7"/>
  </w:num>
  <w:num w:numId="23" w16cid:durableId="1302077592">
    <w:abstractNumId w:val="6"/>
  </w:num>
  <w:num w:numId="24" w16cid:durableId="2103645483">
    <w:abstractNumId w:val="5"/>
  </w:num>
  <w:num w:numId="25" w16cid:durableId="1522937593">
    <w:abstractNumId w:val="4"/>
  </w:num>
  <w:num w:numId="26" w16cid:durableId="2086681226">
    <w:abstractNumId w:val="8"/>
  </w:num>
  <w:num w:numId="27" w16cid:durableId="1687049959">
    <w:abstractNumId w:val="3"/>
  </w:num>
  <w:num w:numId="28" w16cid:durableId="1174342268">
    <w:abstractNumId w:val="2"/>
  </w:num>
  <w:num w:numId="29" w16cid:durableId="1787581720">
    <w:abstractNumId w:val="1"/>
  </w:num>
  <w:num w:numId="30" w16cid:durableId="1744599012">
    <w:abstractNumId w:val="0"/>
  </w:num>
  <w:num w:numId="31" w16cid:durableId="643773249">
    <w:abstractNumId w:val="9"/>
  </w:num>
  <w:num w:numId="32" w16cid:durableId="874316282">
    <w:abstractNumId w:val="7"/>
  </w:num>
  <w:num w:numId="33" w16cid:durableId="988676768">
    <w:abstractNumId w:val="6"/>
  </w:num>
  <w:num w:numId="34" w16cid:durableId="501553804">
    <w:abstractNumId w:val="5"/>
  </w:num>
  <w:num w:numId="35" w16cid:durableId="11617412">
    <w:abstractNumId w:val="4"/>
  </w:num>
  <w:num w:numId="36" w16cid:durableId="1978485122">
    <w:abstractNumId w:val="8"/>
  </w:num>
  <w:num w:numId="37" w16cid:durableId="2001422372">
    <w:abstractNumId w:val="3"/>
  </w:num>
  <w:num w:numId="38" w16cid:durableId="1696811204">
    <w:abstractNumId w:val="2"/>
  </w:num>
  <w:num w:numId="39" w16cid:durableId="1144547762">
    <w:abstractNumId w:val="1"/>
  </w:num>
  <w:num w:numId="40" w16cid:durableId="1330913753">
    <w:abstractNumId w:val="0"/>
  </w:num>
  <w:num w:numId="41" w16cid:durableId="150021281">
    <w:abstractNumId w:val="10"/>
  </w:num>
  <w:num w:numId="42" w16cid:durableId="325086044">
    <w:abstractNumId w:val="10"/>
  </w:num>
  <w:num w:numId="43" w16cid:durableId="1987970752">
    <w:abstractNumId w:val="10"/>
  </w:num>
  <w:num w:numId="44" w16cid:durableId="943000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4/2025"/>
    <w:docVar w:name="dvlangue" w:val="CS"/>
    <w:docVar w:name="dvnumam" w:val="0"/>
    <w:docVar w:name="dvpe" w:val="774.284"/>
    <w:docVar w:name="dvrapporteur" w:val="Zpravodaj: "/>
    <w:docVar w:name="dvtitre" w:val="Usnesení Evropského parlamentu ze dne 9. července 2025 o návrhu rozhodnutí Evropského parlamentu a Rady o uvolnění prostředků z Fondu solidarity Evropské unie za účelem poskytnutí pomoci Rakousku, Polsku, Česku, Slovensku a Moldavsku v souvislosti s povodněmi, k nimž došlo v září 2024, a Bosně a Hercegovině v souvislosti s povodněmi, k nimž došlo v říjnu 2024(COM(2025)0250 – C10-0102/2025 – 2025/0138(BUD))"/>
  </w:docVars>
  <w:rsids>
    <w:rsidRoot w:val="00CA0933"/>
    <w:rsid w:val="00002272"/>
    <w:rsid w:val="00064002"/>
    <w:rsid w:val="000677B9"/>
    <w:rsid w:val="00067AF4"/>
    <w:rsid w:val="000831BA"/>
    <w:rsid w:val="000862CF"/>
    <w:rsid w:val="000A42CC"/>
    <w:rsid w:val="000E6B2C"/>
    <w:rsid w:val="000E7DD9"/>
    <w:rsid w:val="0010095E"/>
    <w:rsid w:val="00125B37"/>
    <w:rsid w:val="00187494"/>
    <w:rsid w:val="001F32AE"/>
    <w:rsid w:val="00206557"/>
    <w:rsid w:val="00256A7C"/>
    <w:rsid w:val="002767FF"/>
    <w:rsid w:val="002B18FE"/>
    <w:rsid w:val="002B5493"/>
    <w:rsid w:val="002D5689"/>
    <w:rsid w:val="0030018A"/>
    <w:rsid w:val="00321152"/>
    <w:rsid w:val="00343214"/>
    <w:rsid w:val="00361C00"/>
    <w:rsid w:val="00381F99"/>
    <w:rsid w:val="00395FA1"/>
    <w:rsid w:val="003E15D4"/>
    <w:rsid w:val="00400330"/>
    <w:rsid w:val="004014F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CF0"/>
    <w:rsid w:val="00514517"/>
    <w:rsid w:val="00545827"/>
    <w:rsid w:val="00560270"/>
    <w:rsid w:val="005C2568"/>
    <w:rsid w:val="005F1B17"/>
    <w:rsid w:val="006037C0"/>
    <w:rsid w:val="0060518A"/>
    <w:rsid w:val="00625764"/>
    <w:rsid w:val="006631B6"/>
    <w:rsid w:val="00675E71"/>
    <w:rsid w:val="00680577"/>
    <w:rsid w:val="006C52AF"/>
    <w:rsid w:val="006C7B02"/>
    <w:rsid w:val="006F74FA"/>
    <w:rsid w:val="007061A2"/>
    <w:rsid w:val="00731ADD"/>
    <w:rsid w:val="00734777"/>
    <w:rsid w:val="00747932"/>
    <w:rsid w:val="00751A4A"/>
    <w:rsid w:val="00756632"/>
    <w:rsid w:val="00762C74"/>
    <w:rsid w:val="00786EC0"/>
    <w:rsid w:val="007B093A"/>
    <w:rsid w:val="007D1690"/>
    <w:rsid w:val="007E22AD"/>
    <w:rsid w:val="007F3B74"/>
    <w:rsid w:val="00817416"/>
    <w:rsid w:val="0082658C"/>
    <w:rsid w:val="00842779"/>
    <w:rsid w:val="00865F67"/>
    <w:rsid w:val="00881A7B"/>
    <w:rsid w:val="008840E5"/>
    <w:rsid w:val="00887B3E"/>
    <w:rsid w:val="008C2AC6"/>
    <w:rsid w:val="009013FA"/>
    <w:rsid w:val="00930C23"/>
    <w:rsid w:val="0093193B"/>
    <w:rsid w:val="009509D8"/>
    <w:rsid w:val="00950B64"/>
    <w:rsid w:val="00981893"/>
    <w:rsid w:val="00993698"/>
    <w:rsid w:val="009D60CE"/>
    <w:rsid w:val="00A1687D"/>
    <w:rsid w:val="00A43E52"/>
    <w:rsid w:val="00A4678D"/>
    <w:rsid w:val="00A778C7"/>
    <w:rsid w:val="00A92B84"/>
    <w:rsid w:val="00AB441E"/>
    <w:rsid w:val="00AB6293"/>
    <w:rsid w:val="00AD6E02"/>
    <w:rsid w:val="00AE0928"/>
    <w:rsid w:val="00AF3B82"/>
    <w:rsid w:val="00B12E95"/>
    <w:rsid w:val="00B22876"/>
    <w:rsid w:val="00B558F0"/>
    <w:rsid w:val="00BD48FE"/>
    <w:rsid w:val="00BD67EC"/>
    <w:rsid w:val="00BD7BD8"/>
    <w:rsid w:val="00BE6ADC"/>
    <w:rsid w:val="00C05BFE"/>
    <w:rsid w:val="00C23CD4"/>
    <w:rsid w:val="00C61C0C"/>
    <w:rsid w:val="00C941CB"/>
    <w:rsid w:val="00CA0933"/>
    <w:rsid w:val="00CC2357"/>
    <w:rsid w:val="00CF071A"/>
    <w:rsid w:val="00CF1115"/>
    <w:rsid w:val="00CF3EA0"/>
    <w:rsid w:val="00D058B8"/>
    <w:rsid w:val="00D56C11"/>
    <w:rsid w:val="00D834A0"/>
    <w:rsid w:val="00D872DF"/>
    <w:rsid w:val="00D91E21"/>
    <w:rsid w:val="00DA7FCD"/>
    <w:rsid w:val="00DF234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B2BE3"/>
  <w15:chartTrackingRefBased/>
  <w15:docId w15:val="{ED2FE2B3-C8AC-438F-9EB4-025681F7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E6B2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0E6B2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E6B2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E6B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6B2C"/>
    <w:rPr>
      <w:sz w:val="24"/>
      <w:lang w:val="cs-CZ"/>
    </w:rPr>
  </w:style>
  <w:style w:type="paragraph" w:customStyle="1" w:styleId="NormalBold24a">
    <w:name w:val="NormalBold24a"/>
    <w:basedOn w:val="Normal"/>
    <w:rsid w:val="000E6B2C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0E6B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E6B2C"/>
    <w:pPr>
      <w:spacing w:before="480" w:after="240"/>
    </w:pPr>
  </w:style>
  <w:style w:type="character" w:styleId="Hyperlink">
    <w:name w:val="Hyperlink"/>
    <w:basedOn w:val="DefaultParagraphFont"/>
    <w:uiPriority w:val="99"/>
    <w:rsid w:val="000E6B2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E6B2C"/>
    <w:pPr>
      <w:widowControl/>
      <w:spacing w:before="100" w:beforeAutospacing="1" w:after="100" w:afterAutospacing="1"/>
    </w:pPr>
    <w:rPr>
      <w:szCs w:val="24"/>
    </w:rPr>
  </w:style>
  <w:style w:type="paragraph" w:customStyle="1" w:styleId="Formuledadoption">
    <w:name w:val="Formule d'adoption"/>
    <w:basedOn w:val="Normal"/>
    <w:next w:val="Normal"/>
    <w:rsid w:val="000E6B2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E6B2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0E6B2C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E6B2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0E6B2C"/>
    <w:rPr>
      <w:sz w:val="24"/>
      <w:lang w:val="cs-CZ"/>
    </w:rPr>
  </w:style>
  <w:style w:type="paragraph" w:customStyle="1" w:styleId="Point0">
    <w:name w:val="Point 0"/>
    <w:basedOn w:val="Normal"/>
    <w:rsid w:val="000E6B2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rsid w:val="00CF11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F1115"/>
    <w:rPr>
      <w:sz w:val="24"/>
      <w:lang w:val="cs-CZ"/>
    </w:rPr>
  </w:style>
  <w:style w:type="paragraph" w:styleId="Revision">
    <w:name w:val="Revision"/>
    <w:hidden/>
    <w:uiPriority w:val="99"/>
    <w:semiHidden/>
    <w:rsid w:val="00675E71"/>
    <w:rPr>
      <w:sz w:val="24"/>
      <w:lang w:val="cs-CZ"/>
    </w:rPr>
  </w:style>
  <w:style w:type="character" w:styleId="CommentReference">
    <w:name w:val="annotation reference"/>
    <w:basedOn w:val="DefaultParagraphFont"/>
    <w:rsid w:val="006051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51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518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6051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518A"/>
    <w:rPr>
      <w:b/>
      <w:bCs/>
      <w:lang w:val="cs-C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518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256A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6A7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1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242/oj" TargetMode="External"/><Relationship Id="rId3" Type="http://schemas.openxmlformats.org/officeDocument/2006/relationships/hyperlink" Target="http://data.europa.eu/eli/reg/2021/1058/oj" TargetMode="External"/><Relationship Id="rId7" Type="http://schemas.openxmlformats.org/officeDocument/2006/relationships/hyperlink" Target="https://eur-lex.euro.eu/eli/reg/2021/241/oj?locale=cs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s://www.eea.europa.eu/publications/european-climate-risk-assessment" TargetMode="External"/><Relationship Id="rId5" Type="http://schemas.openxmlformats.org/officeDocument/2006/relationships/hyperlink" Target="http://data.europa.eu/eli/reg/2021/2115/oj" TargetMode="External"/><Relationship Id="rId4" Type="http://schemas.openxmlformats.org/officeDocument/2006/relationships/hyperlink" Target="http://data.europa.eu/eli/reg/2021/1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372D3-E813-4FCB-9984-EE6B4BC6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1683</Words>
  <Characters>9915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2025-10-21T11:08:00Z</dcterms:created>
  <dcterms:modified xsi:type="dcterms:W3CDTF">2025-10-21T11:08:00Z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P10_TA(2025)0152_</vt:lpwstr>
  </property>
  <property fmtid="{D5CDD505-2E9C-101B-9397-08002B2CF9AE}" pid="4" name="&lt;Type&gt;">
    <vt:lpwstr>RR</vt:lpwstr>
  </property>
</Properties>
</file>