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54DA" w14:paraId="6DB949E4" w14:textId="77777777" w:rsidTr="0010095E">
        <w:trPr>
          <w:trHeight w:hRule="exact" w:val="1418"/>
        </w:trPr>
        <w:tc>
          <w:tcPr>
            <w:tcW w:w="6804" w:type="dxa"/>
            <w:shd w:val="clear" w:color="auto" w:fill="auto"/>
            <w:vAlign w:val="center"/>
          </w:tcPr>
          <w:p w14:paraId="238473EF" w14:textId="77777777" w:rsidR="00751A4A" w:rsidRPr="002B54DA" w:rsidRDefault="00BD6814" w:rsidP="0010095E">
            <w:pPr>
              <w:pStyle w:val="EPName"/>
            </w:pPr>
            <w:r w:rsidRPr="002B54DA">
              <w:t>Europa-Parlamentet</w:t>
            </w:r>
          </w:p>
          <w:p w14:paraId="2B6067B3" w14:textId="77777777" w:rsidR="00751A4A" w:rsidRPr="002B54DA" w:rsidRDefault="005F1B17" w:rsidP="005F1B17">
            <w:pPr>
              <w:pStyle w:val="EPTerm"/>
              <w:rPr>
                <w:rStyle w:val="HideTWBExt"/>
                <w:noProof w:val="0"/>
                <w:vanish w:val="0"/>
                <w:color w:val="auto"/>
              </w:rPr>
            </w:pPr>
            <w:r w:rsidRPr="002B54DA">
              <w:t>2024</w:t>
            </w:r>
            <w:r w:rsidR="00817416" w:rsidRPr="002B54DA">
              <w:t>-202</w:t>
            </w:r>
            <w:r w:rsidRPr="002B54DA">
              <w:t>9</w:t>
            </w:r>
          </w:p>
        </w:tc>
        <w:tc>
          <w:tcPr>
            <w:tcW w:w="2268" w:type="dxa"/>
            <w:shd w:val="clear" w:color="auto" w:fill="auto"/>
          </w:tcPr>
          <w:p w14:paraId="2C7709A2" w14:textId="77777777" w:rsidR="00751A4A" w:rsidRPr="002B54DA" w:rsidRDefault="00187494" w:rsidP="0010095E">
            <w:pPr>
              <w:pStyle w:val="EPLogo"/>
            </w:pPr>
            <w:r w:rsidRPr="002B54DA">
              <w:rPr>
                <w:noProof/>
                <w:lang w:val="en-GB"/>
              </w:rPr>
              <w:drawing>
                <wp:inline distT="0" distB="0" distL="0" distR="0" wp14:anchorId="23DA5A4B" wp14:editId="0AC6AB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5498F3" w14:textId="77777777" w:rsidR="00D058B8" w:rsidRPr="002B54DA" w:rsidRDefault="00D058B8" w:rsidP="004C5D52">
      <w:pPr>
        <w:pStyle w:val="LineTop"/>
      </w:pPr>
    </w:p>
    <w:p w14:paraId="607C9C7C" w14:textId="77777777" w:rsidR="00680577" w:rsidRPr="002B54DA" w:rsidRDefault="00BD6814" w:rsidP="00680577">
      <w:pPr>
        <w:pStyle w:val="EPBodyTA1"/>
      </w:pPr>
      <w:r w:rsidRPr="002B54DA">
        <w:t>VEDTAGNE TEKSTER</w:t>
      </w:r>
    </w:p>
    <w:p w14:paraId="278C24C7" w14:textId="77777777" w:rsidR="00D058B8" w:rsidRPr="002B54DA" w:rsidRDefault="00D058B8" w:rsidP="00D058B8">
      <w:pPr>
        <w:pStyle w:val="LineBottom"/>
      </w:pPr>
    </w:p>
    <w:p w14:paraId="466BB711" w14:textId="50AF28F0" w:rsidR="00BD6814" w:rsidRPr="00D37BD6" w:rsidRDefault="00BD6814" w:rsidP="00BD6814">
      <w:pPr>
        <w:pStyle w:val="ATHeading1"/>
      </w:pPr>
      <w:bookmarkStart w:id="0" w:name="TANumber"/>
      <w:r w:rsidRPr="00D37BD6">
        <w:t>P10_TA(2025)0</w:t>
      </w:r>
      <w:r w:rsidR="00E14CAB">
        <w:t>15</w:t>
      </w:r>
      <w:r w:rsidR="00C12207">
        <w:t>2</w:t>
      </w:r>
      <w:bookmarkEnd w:id="0"/>
    </w:p>
    <w:p w14:paraId="2D5AD9AC" w14:textId="77777777" w:rsidR="00BD6814" w:rsidRPr="00D37BD6" w:rsidRDefault="00BD6814" w:rsidP="00BD6814">
      <w:pPr>
        <w:pStyle w:val="ATHeading2"/>
      </w:pPr>
      <w:bookmarkStart w:id="1" w:name="title"/>
      <w:r w:rsidRPr="00D37BD6">
        <w:t>Anvendelse af Den Europæiske Unions Solidaritetsfond med henblik på at yde bistand til Østrig,</w:t>
      </w:r>
      <w:r w:rsidR="00D87044" w:rsidRPr="00D37BD6">
        <w:t xml:space="preserve"> </w:t>
      </w:r>
      <w:r w:rsidRPr="00D37BD6">
        <w:t>Polen, Tjekkiet, Slovakiet og Moldova i forbindelse med oversvømmelser i september 2024 og Bosnien-Hercegovina i forbindelse med oversvømmelser i oktober 2024</w:t>
      </w:r>
      <w:bookmarkEnd w:id="1"/>
    </w:p>
    <w:p w14:paraId="115D74CD" w14:textId="77777777" w:rsidR="00BD6814" w:rsidRPr="00D37BD6" w:rsidRDefault="00BD6814" w:rsidP="00BD6814">
      <w:pPr>
        <w:rPr>
          <w:i/>
          <w:vanish/>
        </w:rPr>
      </w:pPr>
      <w:r w:rsidRPr="00D37BD6">
        <w:rPr>
          <w:i/>
        </w:rPr>
        <w:fldChar w:fldCharType="begin"/>
      </w:r>
      <w:r w:rsidRPr="00D37BD6">
        <w:rPr>
          <w:i/>
        </w:rPr>
        <w:instrText xml:space="preserve"> TC"(</w:instrText>
      </w:r>
      <w:bookmarkStart w:id="2" w:name="DocNumber"/>
      <w:r w:rsidRPr="00D37BD6">
        <w:rPr>
          <w:i/>
        </w:rPr>
        <w:instrText>A10-0114/2025</w:instrText>
      </w:r>
      <w:bookmarkEnd w:id="2"/>
      <w:r w:rsidRPr="00D37BD6">
        <w:rPr>
          <w:i/>
        </w:rPr>
        <w:instrText xml:space="preserve"> - Ordfører: Andrzej </w:instrText>
      </w:r>
      <w:proofErr w:type="spellStart"/>
      <w:r w:rsidRPr="00D37BD6">
        <w:rPr>
          <w:i/>
        </w:rPr>
        <w:instrText>Halicki</w:instrText>
      </w:r>
      <w:proofErr w:type="spellEnd"/>
      <w:r w:rsidRPr="00D37BD6">
        <w:rPr>
          <w:i/>
        </w:rPr>
        <w:instrText xml:space="preserve">)"\l3 \n&gt; \* MERGEFORMAT </w:instrText>
      </w:r>
      <w:r w:rsidRPr="00D37BD6">
        <w:rPr>
          <w:i/>
        </w:rPr>
        <w:fldChar w:fldCharType="end"/>
      </w:r>
    </w:p>
    <w:p w14:paraId="4956A3BB" w14:textId="77777777" w:rsidR="00BD6814" w:rsidRPr="00D37BD6" w:rsidRDefault="00BD6814" w:rsidP="00BD6814">
      <w:pPr>
        <w:rPr>
          <w:vanish/>
        </w:rPr>
      </w:pPr>
      <w:bookmarkStart w:id="3" w:name="Commission"/>
      <w:r w:rsidRPr="00D37BD6">
        <w:rPr>
          <w:vanish/>
        </w:rPr>
        <w:t>Budgetudvalget</w:t>
      </w:r>
      <w:bookmarkEnd w:id="3"/>
    </w:p>
    <w:p w14:paraId="1BD40CCF" w14:textId="77777777" w:rsidR="00BD6814" w:rsidRPr="00D37BD6" w:rsidRDefault="00BD6814" w:rsidP="00BD6814">
      <w:pPr>
        <w:rPr>
          <w:vanish/>
        </w:rPr>
      </w:pPr>
      <w:bookmarkStart w:id="4" w:name="PE"/>
      <w:r w:rsidRPr="00D37BD6">
        <w:rPr>
          <w:vanish/>
        </w:rPr>
        <w:t>PE774.284</w:t>
      </w:r>
      <w:bookmarkEnd w:id="4"/>
    </w:p>
    <w:p w14:paraId="30FC2CCE" w14:textId="6D55D422" w:rsidR="00BD6814" w:rsidRPr="00D37BD6" w:rsidRDefault="00BD6814" w:rsidP="00BD6814">
      <w:pPr>
        <w:pStyle w:val="ATHeading3"/>
      </w:pPr>
      <w:bookmarkStart w:id="5" w:name="Sujet"/>
      <w:r w:rsidRPr="00D37BD6">
        <w:t xml:space="preserve">Europa-Parlamentets beslutning af </w:t>
      </w:r>
      <w:r w:rsidR="00D87044" w:rsidRPr="00D37BD6">
        <w:t>9</w:t>
      </w:r>
      <w:r w:rsidRPr="00D37BD6">
        <w:t>. juli 2025 om forslag til Europa-Parlamentets og Rådets afgørelse om anvendelse af Den Europæiske Unions Solidaritetsfond med henblik på at yde bistand til Østrig, Polen, Tjekkiet, Slovakiet og Moldova i forbindelse med oversvømmelser i september 2024 og Bosnien-Hercegovina i forbindelse med oversvømmelser i oktober 2024</w:t>
      </w:r>
      <w:bookmarkEnd w:id="5"/>
      <w:r w:rsidRPr="00D37BD6">
        <w:t xml:space="preserve"> </w:t>
      </w:r>
      <w:bookmarkStart w:id="6" w:name="References"/>
      <w:r w:rsidRPr="00D37BD6">
        <w:t>(</w:t>
      </w:r>
      <w:proofErr w:type="gramStart"/>
      <w:r w:rsidRPr="00D37BD6">
        <w:t>COM(</w:t>
      </w:r>
      <w:proofErr w:type="gramEnd"/>
      <w:r w:rsidRPr="00D37BD6">
        <w:t>2025)0250 – C10-0102/2025 – 2025/0138(BUD))</w:t>
      </w:r>
      <w:bookmarkEnd w:id="6"/>
    </w:p>
    <w:p w14:paraId="554F98E0" w14:textId="77777777" w:rsidR="00942340" w:rsidRPr="00D37BD6" w:rsidRDefault="00942340" w:rsidP="00942340">
      <w:pPr>
        <w:pStyle w:val="EPComma"/>
        <w:rPr>
          <w:noProof/>
        </w:rPr>
      </w:pPr>
      <w:r w:rsidRPr="00D37BD6">
        <w:rPr>
          <w:i/>
        </w:rPr>
        <w:t>Europa-Parlamentet</w:t>
      </w:r>
      <w:r w:rsidRPr="00D37BD6">
        <w:t>,</w:t>
      </w:r>
    </w:p>
    <w:p w14:paraId="69A8B27F" w14:textId="77777777" w:rsidR="00942340" w:rsidRPr="00D37BD6" w:rsidRDefault="00942340" w:rsidP="00942340">
      <w:pPr>
        <w:pStyle w:val="NormalHanging12a"/>
        <w:rPr>
          <w:noProof/>
        </w:rPr>
      </w:pPr>
      <w:r w:rsidRPr="00D37BD6">
        <w:t>–</w:t>
      </w:r>
      <w:r w:rsidRPr="00D37BD6">
        <w:tab/>
        <w:t>der henviser til Kommissionens forslag til Europa-Parlamentet og Rådet (</w:t>
      </w:r>
      <w:proofErr w:type="gramStart"/>
      <w:r w:rsidRPr="00D37BD6">
        <w:t>COM(</w:t>
      </w:r>
      <w:proofErr w:type="gramEnd"/>
      <w:r w:rsidRPr="00D37BD6">
        <w:t>2025)0250 – C10</w:t>
      </w:r>
      <w:r w:rsidRPr="00D37BD6">
        <w:noBreakHyphen/>
        <w:t>0102/2025),</w:t>
      </w:r>
    </w:p>
    <w:p w14:paraId="07D4AC46" w14:textId="77777777" w:rsidR="00942340" w:rsidRPr="00D37BD6" w:rsidRDefault="00942340" w:rsidP="00942340">
      <w:pPr>
        <w:pStyle w:val="NormalHanging12a"/>
        <w:rPr>
          <w:noProof/>
        </w:rPr>
      </w:pPr>
      <w:r w:rsidRPr="00D37BD6">
        <w:t>–</w:t>
      </w:r>
      <w:r w:rsidRPr="00D37BD6">
        <w:tab/>
        <w:t>der henviser til Rådets forordning (EF) nr. 2012/2002 af 11. november 2002 om oprettelse af Den Europæiske Unions Solidaritetsfond</w:t>
      </w:r>
      <w:r w:rsidRPr="00D37BD6">
        <w:rPr>
          <w:rStyle w:val="FootnoteReference"/>
        </w:rPr>
        <w:footnoteReference w:id="1"/>
      </w:r>
      <w:r w:rsidRPr="00D37BD6">
        <w:t>,</w:t>
      </w:r>
    </w:p>
    <w:p w14:paraId="04E1AFC2" w14:textId="2CBE4844" w:rsidR="00942340" w:rsidRPr="00D37BD6" w:rsidRDefault="00942340" w:rsidP="00942340">
      <w:pPr>
        <w:pStyle w:val="NormalHanging12a"/>
        <w:rPr>
          <w:noProof/>
        </w:rPr>
      </w:pPr>
      <w:r w:rsidRPr="00D37BD6">
        <w:t>–</w:t>
      </w:r>
      <w:r w:rsidRPr="00D37BD6">
        <w:tab/>
        <w:t>der henviser til Rådets forordning (EU, Euratom) 2020/2093 af 17. december 2020 om fastlæggelse af den flerårige finansielle ramme for årene 2021-2027</w:t>
      </w:r>
      <w:r w:rsidRPr="00D37BD6">
        <w:rPr>
          <w:rStyle w:val="FootnoteReference"/>
          <w:noProof/>
        </w:rPr>
        <w:footnoteReference w:id="2"/>
      </w:r>
      <w:r w:rsidRPr="00D37BD6">
        <w:t>, særlig artikel</w:t>
      </w:r>
      <w:r w:rsidR="00EA4532" w:rsidRPr="00D37BD6">
        <w:t> </w:t>
      </w:r>
      <w:r w:rsidRPr="00D37BD6">
        <w:t>9,</w:t>
      </w:r>
    </w:p>
    <w:p w14:paraId="61204D09" w14:textId="31573E02" w:rsidR="00942340" w:rsidRPr="00D37BD6" w:rsidRDefault="00942340" w:rsidP="00942340">
      <w:pPr>
        <w:pStyle w:val="NormalHanging12a"/>
        <w:rPr>
          <w:noProof/>
        </w:rPr>
      </w:pPr>
      <w:r w:rsidRPr="00D37BD6">
        <w:t>–</w:t>
      </w:r>
      <w:r w:rsidRPr="00D37BD6">
        <w:tab/>
        <w:t xml:space="preserve">der henviser til den </w:t>
      </w:r>
      <w:proofErr w:type="spellStart"/>
      <w:r w:rsidRPr="00D37BD6">
        <w:t>interinstitutionelle</w:t>
      </w:r>
      <w:proofErr w:type="spellEnd"/>
      <w:r w:rsidRPr="00D37BD6">
        <w:t xml:space="preserve"> aftale af 16. december 2020 mellem Europa-Parlamentet, Rådet og Kommissionen om budgetdisciplin, om samarbejde på budgetområdet og om forsvarlig økonomisk forvaltning samt om nye egne indtægter, herunder en køreplan </w:t>
      </w:r>
      <w:r w:rsidR="00EA4532" w:rsidRPr="00D37BD6">
        <w:t xml:space="preserve">hen imod </w:t>
      </w:r>
      <w:r w:rsidRPr="00D37BD6">
        <w:t>indførelse af nye egne indtægter</w:t>
      </w:r>
      <w:r w:rsidRPr="00D37BD6">
        <w:rPr>
          <w:rStyle w:val="FootnoteReference"/>
          <w:noProof/>
        </w:rPr>
        <w:footnoteReference w:id="3"/>
      </w:r>
      <w:r w:rsidRPr="00D37BD6">
        <w:t xml:space="preserve">, særlig </w:t>
      </w:r>
      <w:r w:rsidR="00EA4532" w:rsidRPr="00D37BD6">
        <w:t>punkt </w:t>
      </w:r>
      <w:r w:rsidRPr="00D37BD6">
        <w:t>10,</w:t>
      </w:r>
    </w:p>
    <w:p w14:paraId="2F384EE0" w14:textId="77777777" w:rsidR="00942340" w:rsidRPr="00D37BD6" w:rsidRDefault="00942340" w:rsidP="00942340">
      <w:pPr>
        <w:pStyle w:val="NormalHanging12a"/>
      </w:pPr>
      <w:r w:rsidRPr="00D37BD6">
        <w:t>–</w:t>
      </w:r>
      <w:r w:rsidRPr="00D37BD6">
        <w:tab/>
        <w:t>der henviser til Europa-Parlamentets og Rådets forordning (EU) 2021/1058 af 24. juni 2021 om Den Europæiske Fond for Regionaludvikling og Samhørighedsfonden</w:t>
      </w:r>
      <w:r w:rsidRPr="00D37BD6">
        <w:rPr>
          <w:rStyle w:val="FootnoteReference"/>
        </w:rPr>
        <w:footnoteReference w:id="4"/>
      </w:r>
      <w:r w:rsidRPr="00D37BD6">
        <w:t xml:space="preserve">, </w:t>
      </w:r>
    </w:p>
    <w:p w14:paraId="1E36C3D7" w14:textId="77777777" w:rsidR="00942340" w:rsidRPr="00D37BD6" w:rsidRDefault="00942340" w:rsidP="00942340">
      <w:pPr>
        <w:pStyle w:val="NormalHanging12a"/>
      </w:pPr>
      <w:r w:rsidRPr="00D37BD6">
        <w:t>–</w:t>
      </w:r>
      <w:r w:rsidRPr="00D37BD6">
        <w:tab/>
        <w:t xml:space="preserve">der henviser til Europa-Parlamentets og Rådets forordning (EU) 2021/1057 af 24. juni </w:t>
      </w:r>
      <w:r w:rsidRPr="00D37BD6">
        <w:lastRenderedPageBreak/>
        <w:t>2021 om oprettelse af Den Europæiske Socialfond Plus (ESF+)</w:t>
      </w:r>
      <w:r w:rsidRPr="00D37BD6">
        <w:rPr>
          <w:rStyle w:val="FootnoteReference"/>
        </w:rPr>
        <w:footnoteReference w:id="5"/>
      </w:r>
      <w:r w:rsidRPr="00D37BD6">
        <w:t xml:space="preserve">, </w:t>
      </w:r>
    </w:p>
    <w:p w14:paraId="3603C820" w14:textId="77777777" w:rsidR="00942340" w:rsidRPr="00D37BD6" w:rsidRDefault="00942340" w:rsidP="00942340">
      <w:pPr>
        <w:pStyle w:val="NormalHanging12a"/>
        <w:rPr>
          <w:noProof/>
        </w:rPr>
      </w:pPr>
      <w:r w:rsidRPr="00D37BD6">
        <w:t>–</w:t>
      </w:r>
      <w:r w:rsidRPr="00D37BD6">
        <w:tab/>
        <w:t>der henviser til 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w:t>
      </w:r>
      <w:r w:rsidRPr="00D37BD6">
        <w:rPr>
          <w:rStyle w:val="FootnoteReference"/>
          <w:noProof/>
        </w:rPr>
        <w:footnoteReference w:id="6"/>
      </w:r>
      <w:r w:rsidRPr="00D37BD6">
        <w:t xml:space="preserve">, </w:t>
      </w:r>
    </w:p>
    <w:p w14:paraId="4A21563B" w14:textId="78B79DEE" w:rsidR="00942340" w:rsidRPr="00D37BD6" w:rsidRDefault="00942340" w:rsidP="00942340">
      <w:pPr>
        <w:pStyle w:val="NormalWeb"/>
        <w:shd w:val="clear" w:color="auto" w:fill="FFFFFF"/>
        <w:ind w:left="567" w:hanging="567"/>
      </w:pPr>
      <w:r w:rsidRPr="00D37BD6">
        <w:t>–</w:t>
      </w:r>
      <w:r w:rsidRPr="00D37BD6">
        <w:tab/>
        <w:t>der henviser til sin beslutning af 27. februar 2024 om udkast til Rådets forordning om ændring af forordning (EU, Euratom) 2020/2093 om fastlæggelse af den flerårige finansielle ramme for årene 2021-2027</w:t>
      </w:r>
      <w:r w:rsidRPr="00D37BD6">
        <w:rPr>
          <w:rStyle w:val="FootnoteReference"/>
        </w:rPr>
        <w:footnoteReference w:id="7"/>
      </w:r>
      <w:r w:rsidRPr="00D37BD6">
        <w:t>,</w:t>
      </w:r>
    </w:p>
    <w:p w14:paraId="7BF5F0C5" w14:textId="2849012F" w:rsidR="00942340" w:rsidRPr="00D37BD6" w:rsidRDefault="00942340" w:rsidP="00942340">
      <w:pPr>
        <w:pStyle w:val="NormalWeb"/>
        <w:shd w:val="clear" w:color="auto" w:fill="FFFFFF"/>
        <w:ind w:left="567" w:hanging="567"/>
      </w:pPr>
      <w:r w:rsidRPr="00D37BD6">
        <w:t>–</w:t>
      </w:r>
      <w:r w:rsidRPr="00D37BD6">
        <w:rPr>
          <w:b/>
          <w:i/>
        </w:rPr>
        <w:tab/>
      </w:r>
      <w:r w:rsidR="00506426" w:rsidRPr="00D37BD6">
        <w:t>der henviser til betænkning fra Udvalget om Beskæftigelse og Sociale Anliggender og Regionaludviklingsudvalget (A10-0031/2024) inden for rammerne af lovgivningsproceduren med henblik på vedtagelse af Europa-Parlamentets og Rådets forordning (EU) 2024/3236 af 19. december 2024 om ændring af forordning (EU) 2021/1057 og (EU) 2021/1058, for så vidt angår regional nødhjælp til genopbygning (RESTORE)</w:t>
      </w:r>
      <w:r w:rsidR="00506426" w:rsidRPr="00D37BD6">
        <w:rPr>
          <w:rStyle w:val="FootnoteReference"/>
        </w:rPr>
        <w:footnoteReference w:id="8"/>
      </w:r>
      <w:r w:rsidR="00506426" w:rsidRPr="00D37BD6">
        <w:t>, og navnlig Budgetudvalgets budgetmæssige vurdering, der er ved</w:t>
      </w:r>
      <w:r w:rsidR="00A8321B" w:rsidRPr="00D37BD6">
        <w:t xml:space="preserve">hæftet nævnte </w:t>
      </w:r>
      <w:r w:rsidR="00506426" w:rsidRPr="00D37BD6">
        <w:t>betænkning,</w:t>
      </w:r>
      <w:r w:rsidRPr="00D37BD6">
        <w:t>,</w:t>
      </w:r>
    </w:p>
    <w:p w14:paraId="25229F84" w14:textId="77777777" w:rsidR="00942340" w:rsidRPr="00D37BD6" w:rsidRDefault="00942340" w:rsidP="00942340">
      <w:pPr>
        <w:pStyle w:val="NormalWeb"/>
        <w:shd w:val="clear" w:color="auto" w:fill="FFFFFF"/>
        <w:ind w:left="567" w:hanging="567"/>
      </w:pPr>
      <w:r w:rsidRPr="00D37BD6">
        <w:t>–</w:t>
      </w:r>
      <w:r w:rsidRPr="00D37BD6">
        <w:tab/>
        <w:t>der henviser til Det Europæiske Miljøagenturs rapport nr. 1/2024 – Europæisk klimarisikovurdering (EUCRA)</w:t>
      </w:r>
      <w:r w:rsidRPr="00D37BD6">
        <w:rPr>
          <w:rStyle w:val="FootnoteReference"/>
        </w:rPr>
        <w:footnoteReference w:id="9"/>
      </w:r>
      <w:r w:rsidRPr="00D37BD6">
        <w:t>,</w:t>
      </w:r>
    </w:p>
    <w:p w14:paraId="3C4E5ECC" w14:textId="77777777" w:rsidR="00942340" w:rsidRPr="00D37BD6" w:rsidRDefault="00942340" w:rsidP="00942340">
      <w:pPr>
        <w:pStyle w:val="NormalHanging12a"/>
      </w:pPr>
      <w:r w:rsidRPr="00D37BD6">
        <w:t>–</w:t>
      </w:r>
      <w:r w:rsidRPr="00D37BD6">
        <w:tab/>
        <w:t>der henviser til betænkning fra Budgetudvalget (A10-0114/2025),</w:t>
      </w:r>
    </w:p>
    <w:p w14:paraId="25979BC4" w14:textId="77777777" w:rsidR="00942340" w:rsidRPr="00D37BD6" w:rsidRDefault="00942340" w:rsidP="00942340">
      <w:pPr>
        <w:pStyle w:val="NormalWeb"/>
        <w:shd w:val="clear" w:color="auto" w:fill="FFFFFF"/>
        <w:ind w:left="567" w:hanging="567"/>
      </w:pPr>
      <w:r w:rsidRPr="00D37BD6">
        <w:t>A.</w:t>
      </w:r>
      <w:r w:rsidRPr="00D37BD6">
        <w:tab/>
        <w:t xml:space="preserve">der henviser til, at der i september 2024 faldt usædvanligt store regnmængder i Østrig, hvilket forårsagede alvorlige oversvømmelser, der resulterede i samlede direkte skader anslået af de østrigske myndigheder til 1 711,6 mio. EUR; </w:t>
      </w:r>
    </w:p>
    <w:p w14:paraId="443F7802" w14:textId="77777777" w:rsidR="00942340" w:rsidRPr="00D37BD6" w:rsidRDefault="00942340" w:rsidP="00942340">
      <w:pPr>
        <w:pStyle w:val="NormalWeb"/>
        <w:shd w:val="clear" w:color="auto" w:fill="FFFFFF"/>
        <w:ind w:left="567" w:hanging="567"/>
      </w:pPr>
      <w:r w:rsidRPr="00D37BD6">
        <w:t>B.</w:t>
      </w:r>
      <w:r w:rsidRPr="00D37BD6">
        <w:tab/>
        <w:t>der henviser til, at der i september 2024 var kraftig regn i det sydvestlige Polen, som førte til, at flere floder gik over deres bredder, hvilket resulterede i samlede direkte skader anslået af de polske myndigheder til 3,04 mia. EUR;</w:t>
      </w:r>
    </w:p>
    <w:p w14:paraId="51EBBB58" w14:textId="77777777" w:rsidR="00942340" w:rsidRPr="00D37BD6" w:rsidRDefault="00942340" w:rsidP="00942340">
      <w:pPr>
        <w:pStyle w:val="NormalWeb"/>
        <w:shd w:val="clear" w:color="auto" w:fill="FFFFFF"/>
        <w:ind w:left="567" w:hanging="567"/>
      </w:pPr>
      <w:r w:rsidRPr="00D37BD6">
        <w:t>C.</w:t>
      </w:r>
      <w:r w:rsidRPr="00D37BD6">
        <w:tab/>
        <w:t>der henviser til, at meget kraftige vinde og kraftig regn i september 2024 ramte hele Tjekkiet, hvilket førte til oversvømmelser, der resulterede i samlede direkte skader anslået af de tjekkiske myndigheder til 2,82 mia. EUR;</w:t>
      </w:r>
    </w:p>
    <w:p w14:paraId="5B7EF7E8" w14:textId="77777777" w:rsidR="00942340" w:rsidRPr="00D37BD6" w:rsidRDefault="00942340" w:rsidP="00942340">
      <w:pPr>
        <w:pStyle w:val="NormalWeb"/>
        <w:shd w:val="clear" w:color="auto" w:fill="FFFFFF"/>
        <w:ind w:left="567" w:hanging="567"/>
      </w:pPr>
      <w:r w:rsidRPr="00D37BD6">
        <w:t>D.</w:t>
      </w:r>
      <w:r w:rsidRPr="00D37BD6">
        <w:tab/>
        <w:t>der henviser til, at Slovakiet fra den 15. september 2024 oplevede betydelige oversvømmelser, navnlig i Bratislava og de omkringliggende områder, som førte til en betydelig stigning af vandstanden i floderne Donau og Morava, hvilket resulterede i samlede direkte skader anslået af de slovakiske myndigheder til 84,3 mio. EUR;</w:t>
      </w:r>
    </w:p>
    <w:p w14:paraId="30F9706D" w14:textId="77777777" w:rsidR="00942340" w:rsidRPr="00D37BD6" w:rsidRDefault="00942340" w:rsidP="00942340">
      <w:pPr>
        <w:pStyle w:val="NormalWeb"/>
        <w:shd w:val="clear" w:color="auto" w:fill="FFFFFF"/>
        <w:ind w:left="567" w:hanging="567"/>
      </w:pPr>
      <w:r w:rsidRPr="00D37BD6">
        <w:lastRenderedPageBreak/>
        <w:t>E.</w:t>
      </w:r>
      <w:r w:rsidRPr="00D37BD6">
        <w:tab/>
        <w:t>der henviser til, at flere distrikter i Moldova i september 2024 blev ramt af voldsomme regnskyl og deraf følgende oversvømmelser, hvilket resulterede i samlede direkte skader anslået af de moldoviske myndigheder til 7,8 mio. EUR;</w:t>
      </w:r>
    </w:p>
    <w:p w14:paraId="6C5AC3B6" w14:textId="77777777" w:rsidR="00942340" w:rsidRPr="00D37BD6" w:rsidRDefault="00942340" w:rsidP="00942340">
      <w:pPr>
        <w:pStyle w:val="NormalWeb"/>
        <w:shd w:val="clear" w:color="auto" w:fill="FFFFFF"/>
        <w:ind w:left="567" w:hanging="567"/>
      </w:pPr>
      <w:r w:rsidRPr="00D37BD6">
        <w:t>F.</w:t>
      </w:r>
      <w:r w:rsidRPr="00D37BD6">
        <w:tab/>
        <w:t>der henviser til, at Bosnien-Hercegovina i oktober 2024 blev ramt af kraftige regnmængder, som forårsagede katastrofale pludselige stærke oversvømmelser og jordskred, og førte til, at floder gik over deres bredder i flere dele af landet, hvilket resulterede i samlede direkte skader, anslået af myndighederne til 841,85 mio. EUR;</w:t>
      </w:r>
    </w:p>
    <w:p w14:paraId="71130D35" w14:textId="0DADBB64" w:rsidR="00942340" w:rsidRPr="00D37BD6" w:rsidRDefault="00942340" w:rsidP="00942340">
      <w:pPr>
        <w:pStyle w:val="NormalHanging12a"/>
      </w:pPr>
      <w:r w:rsidRPr="00D37BD6">
        <w:t>G.</w:t>
      </w:r>
      <w:r w:rsidRPr="00D37BD6">
        <w:tab/>
        <w:t>der henviser til, at ovennævnte hændelser, som blev forårsaget af alvorlige naturkatastrofer, er et resultat af globale klimaforandringer; der henviser til, at det bekræftes i rapporten om klimasituationen i Europa 2024</w:t>
      </w:r>
      <w:r w:rsidR="0063115E" w:rsidRPr="00D37BD6">
        <w:t xml:space="preserve"> (European State of the </w:t>
      </w:r>
      <w:proofErr w:type="spellStart"/>
      <w:r w:rsidR="0063115E" w:rsidRPr="00D37BD6">
        <w:t>Climate</w:t>
      </w:r>
      <w:proofErr w:type="spellEnd"/>
      <w:r w:rsidR="0063115E" w:rsidRPr="00D37BD6">
        <w:t xml:space="preserve"> 2024)</w:t>
      </w:r>
      <w:r w:rsidRPr="00D37BD6">
        <w:t xml:space="preserve">, at 2024 var det varmeste år, der nogensinde er registreret i Europa, og at 30 % af kontinentets flodnet overskred </w:t>
      </w:r>
      <w:r w:rsidR="0063115E" w:rsidRPr="00D37BD6">
        <w:t xml:space="preserve">den "høje" </w:t>
      </w:r>
      <w:r w:rsidRPr="00D37BD6">
        <w:t>tærsk</w:t>
      </w:r>
      <w:r w:rsidR="0063115E" w:rsidRPr="00D37BD6">
        <w:t>e</w:t>
      </w:r>
      <w:r w:rsidRPr="00D37BD6">
        <w:t xml:space="preserve">l for oversvømmelse, mens 12 % oversteg </w:t>
      </w:r>
      <w:r w:rsidR="0063115E" w:rsidRPr="00D37BD6">
        <w:t xml:space="preserve">den "alvorlige" </w:t>
      </w:r>
      <w:r w:rsidRPr="00D37BD6">
        <w:t>tærsk</w:t>
      </w:r>
      <w:r w:rsidR="0063115E" w:rsidRPr="00D37BD6">
        <w:t>e</w:t>
      </w:r>
      <w:r w:rsidRPr="00D37BD6">
        <w:t>l for oversvømmelse, hvilket førte til de mest vidtstrakte oversvømmelser siden 2013;</w:t>
      </w:r>
    </w:p>
    <w:p w14:paraId="02EEA045" w14:textId="77777777" w:rsidR="00942340" w:rsidRPr="00D37BD6" w:rsidRDefault="00942340" w:rsidP="00942340">
      <w:pPr>
        <w:spacing w:after="240"/>
        <w:ind w:left="567" w:hanging="567"/>
        <w:rPr>
          <w:szCs w:val="24"/>
          <w:shd w:val="clear" w:color="auto" w:fill="FFFFFF"/>
        </w:rPr>
      </w:pPr>
      <w:r w:rsidRPr="00D37BD6">
        <w:t>1.</w:t>
      </w:r>
      <w:r w:rsidRPr="00D37BD6">
        <w:tab/>
        <w:t>udtrykker sin dybeste solidaritet med alle ofrene, deres familier og alle de personer, der blev berørt af de ødelæggende oversvømmelser i Østrig, Polen, Tjekkiet, Slovakiet, Moldova og Bosnien-Hercegovina, samt med de nationale, regionale og lokale myndigheder, der var involveret i nødhjælpsindsatsen;</w:t>
      </w:r>
    </w:p>
    <w:p w14:paraId="17872DD7" w14:textId="21541022" w:rsidR="00942340" w:rsidRPr="00D37BD6" w:rsidRDefault="00942340" w:rsidP="00942340">
      <w:pPr>
        <w:pStyle w:val="NormalHanging12a"/>
      </w:pPr>
      <w:r w:rsidRPr="00D37BD6">
        <w:t>2.</w:t>
      </w:r>
      <w:r w:rsidRPr="00D37BD6">
        <w:tab/>
        <w:t>hilser afgørelsen velkommen</w:t>
      </w:r>
      <w:r w:rsidR="0063115E" w:rsidRPr="00D37BD6">
        <w:t xml:space="preserve"> som et håndgribeligt og synligt udtryk for </w:t>
      </w:r>
      <w:r w:rsidRPr="00D37BD6">
        <w:t>Unionens solidaritet med sine borgere og med regionerne i de berørte områder, herunder med dem i partnerlande;</w:t>
      </w:r>
    </w:p>
    <w:p w14:paraId="37F6627B" w14:textId="41AC8DA2" w:rsidR="00942340" w:rsidRPr="00D37BD6" w:rsidRDefault="00942340" w:rsidP="00942340">
      <w:pPr>
        <w:pStyle w:val="NormalHanging12a"/>
      </w:pPr>
      <w:r w:rsidRPr="00D37BD6">
        <w:t>3.</w:t>
      </w:r>
      <w:r w:rsidRPr="00D37BD6">
        <w:tab/>
      </w:r>
      <w:r w:rsidR="0063115E" w:rsidRPr="00D37BD6">
        <w:t xml:space="preserve">understreger </w:t>
      </w:r>
      <w:r w:rsidRPr="00D37BD6">
        <w:t>vigtig</w:t>
      </w:r>
      <w:r w:rsidR="0063115E" w:rsidRPr="00D37BD6">
        <w:t>heden af</w:t>
      </w:r>
      <w:r w:rsidRPr="00D37BD6">
        <w:t>, at offentligheden oplyses om de konkrete fordele, som Den Europæiske Unions Solidaritetsfond (EUSF) har bragt med sig, også for yderligere at øge borgernes bevidsthed om Unionens værktøjer og programmer i medlemsstaterne og i de lande, der deltager i tiltrædelsesforhandlinger med Unionen;</w:t>
      </w:r>
    </w:p>
    <w:p w14:paraId="022CDD35" w14:textId="6ECD4D68" w:rsidR="00942340" w:rsidRPr="00D37BD6" w:rsidRDefault="00942340" w:rsidP="00942340">
      <w:pPr>
        <w:spacing w:after="240"/>
        <w:ind w:left="567" w:hanging="567"/>
        <w:rPr>
          <w:szCs w:val="24"/>
        </w:rPr>
      </w:pPr>
      <w:r w:rsidRPr="00D37BD6">
        <w:t>4.</w:t>
      </w:r>
      <w:r w:rsidRPr="00D37BD6">
        <w:tab/>
        <w:t>fremhæver det stigende antal alvorlige, ødelæggende og dødbringende naturkatastrofer i Europa og opfordrer medlemsstaterne og Kommissionen til at investere i foranstaltninger til modvirkning af og tilpasning til klimaforandringer for at undgå menneskelige og økonomiske tab; understreger, at storme og oversvømmelser i 2024 ramte omkring 413 000 mennesker og førte til tabet af mindst 335 menneskeliv, og at skaderne som følge af storme og oversvømmelser i hele Europa i løbet af året anslås at have kostet mindst 18 mia. EUR</w:t>
      </w:r>
      <w:r w:rsidRPr="00D37BD6">
        <w:rPr>
          <w:rStyle w:val="FootnoteReference"/>
          <w:szCs w:val="24"/>
        </w:rPr>
        <w:footnoteReference w:id="10"/>
      </w:r>
      <w:r w:rsidRPr="00D37BD6">
        <w:t xml:space="preserve">; mener, at budgettet for EUSF eller dens ækvivalent bør øges betydeligt i lyset af Kommissionens kommende forslag om den nye flerårige finansielle ramme og de efterfølgende </w:t>
      </w:r>
      <w:proofErr w:type="spellStart"/>
      <w:r w:rsidRPr="00D37BD6">
        <w:t>interinstitutionelle</w:t>
      </w:r>
      <w:proofErr w:type="spellEnd"/>
      <w:r w:rsidRPr="00D37BD6">
        <w:t xml:space="preserve"> forhandlinger, og at EUSF eller dens ækvivalent</w:t>
      </w:r>
      <w:r w:rsidR="00D45CD7" w:rsidRPr="00D37BD6">
        <w:t xml:space="preserve"> </w:t>
      </w:r>
      <w:r w:rsidRPr="00D37BD6">
        <w:t xml:space="preserve">skal yde en bistand til borgerne, som står i et rimeligt forhold til omfanget af sådanne katastrofer; bemærker, at en betydelig forøgelse af EUSF ville gøre det muligt for medlemsstaterne at reagere mere effektivt og hurtigt på katastrofer, mens andre instrumenter, navnlig samhørighedsfondene, hvis primære formål ikke er katastrofeberedskab, ville kunne beskyttes; opfordrer også indtrængende Kommissionen til at undersøge alle muligheder for at fremskynde anvendelsen af EUSF, navnlig ved at ændre de nuværende regler og </w:t>
      </w:r>
      <w:r w:rsidR="0063115E" w:rsidRPr="00D37BD6">
        <w:t xml:space="preserve">givet </w:t>
      </w:r>
      <w:r w:rsidRPr="00D37BD6">
        <w:t>højere forskudsbetalinger til ansøgerlande;</w:t>
      </w:r>
    </w:p>
    <w:p w14:paraId="0E2EE989" w14:textId="35391CAE" w:rsidR="00942340" w:rsidRPr="00D37BD6" w:rsidRDefault="00942340" w:rsidP="00942340">
      <w:pPr>
        <w:spacing w:after="240"/>
        <w:ind w:left="567" w:hanging="567"/>
        <w:rPr>
          <w:szCs w:val="24"/>
        </w:rPr>
      </w:pPr>
      <w:r w:rsidRPr="00D37BD6">
        <w:lastRenderedPageBreak/>
        <w:t>5.</w:t>
      </w:r>
      <w:r w:rsidRPr="00D37BD6">
        <w:tab/>
        <w:t>opfordrer Kommissionen til at udvikle særlige kriseberedskabsinstrumenter</w:t>
      </w:r>
      <w:r w:rsidR="00D45CD7" w:rsidRPr="00D37BD6">
        <w:t xml:space="preserve"> </w:t>
      </w:r>
      <w:r w:rsidRPr="00D37BD6">
        <w:t>for perioden efter 2027 i erkendelse af, at den stigende hyppighed og alvor af naturkatastrofer, sundhedskriser, geopolitisk ustabilitet og økonomiske chok kræver mere fleksible og skræddersyede finansielle mekanismer på EU-plan; understreger behov</w:t>
      </w:r>
      <w:r w:rsidR="0063115E" w:rsidRPr="00D37BD6">
        <w:t>et</w:t>
      </w:r>
      <w:r w:rsidRPr="00D37BD6">
        <w:t xml:space="preserve"> for øget koordinering med nationale civilbeskyttelsessystemer og mekanismer for tidlig varsling for at opnå et mere integreret og datadrevet katastrofeberedskab på EU-plan; understreger betydningen af målrettet støtte til grænseoverskridende og regionalt samarbejde i forbindelse med beredskabs-, afhjælpnings- og genopretningsindsatsen, navnlig i sårbare områder eller højrisikoområder;</w:t>
      </w:r>
    </w:p>
    <w:p w14:paraId="38C1F7DA" w14:textId="504DDBB1" w:rsidR="00942340" w:rsidRPr="00D37BD6" w:rsidRDefault="00942340" w:rsidP="00942340">
      <w:pPr>
        <w:spacing w:after="240"/>
        <w:ind w:left="567" w:hanging="567"/>
        <w:rPr>
          <w:szCs w:val="24"/>
        </w:rPr>
      </w:pPr>
      <w:r w:rsidRPr="00D37BD6">
        <w:t>6.</w:t>
      </w:r>
      <w:r w:rsidRPr="00D37BD6">
        <w:tab/>
        <w:t xml:space="preserve">understreger, at EUSF kun er et afhjælpende instrument, og at Unionen også fortsat bør bidrage til tilpasning til og modvirkning af klimaforandringer ved at støtte europæiske og nationale politikker til forebyggelse af naturkatastrofer; fremhæver, at Det Europæiske Miljøagenturs rapport nr. 1/2024 </w:t>
      </w:r>
      <w:r w:rsidR="00AA30AC" w:rsidRPr="00D37BD6">
        <w:t>"</w:t>
      </w:r>
      <w:r w:rsidRPr="00D37BD6">
        <w:t>Europæisk klimarisikovurdering</w:t>
      </w:r>
      <w:r w:rsidR="00AA30AC" w:rsidRPr="00D37BD6">
        <w:t>"</w:t>
      </w:r>
      <w:r w:rsidRPr="00D37BD6">
        <w:t xml:space="preserve"> advarede om, at Unionen ikke er rustet til virkningerne af klimaforandringerne, selv hvis det lykkes verden at holde den globale temperaturstigning på 1,5 grader celsius som fastsat i Parisaftalen, og understreger nødvendigheden af tiltag med henblik på at undgå, at de påviste klimarisici når kritiske niveauer; minder om behovet for effektive synergier med andre EU-politikker og -programmer og understreger, at medlemsstaterne bør gøre bedst mulig brug af finansieringsmulighederne, navnlig Den Europæiske Fond for Regionaludvikling, Den Europæiske Socialfond Plus og programmerne for udvikling af landdistrikterne; opfordrer Kommissionen til hurtigst muligt at vurdere eventuelle begrundede anmodninger fra medlemsstaterne om at omfordele midler inden for rammerne af de nationale genopretnings- og resiliensplaner til naturkatastrofebistand i overensstemmelse med de regler, der er fastsat i Europa-Parlamentets og Rådets forordning (EU) 2021/241</w:t>
      </w:r>
      <w:r w:rsidRPr="00D37BD6">
        <w:rPr>
          <w:rStyle w:val="FootnoteReference"/>
          <w:szCs w:val="24"/>
        </w:rPr>
        <w:footnoteReference w:id="11"/>
      </w:r>
      <w:r w:rsidRPr="00D37BD6">
        <w:t xml:space="preserve">; fremhæver også behovet for forebyggende foranstaltninger, ikke blot for at afbøde fremtidige skader, men også for at forhindre en forværring af risikoforholdene som følge af katastrofale hændelser såsom oversvømmelser, naturbrande og jordskred eller udtørring af søer og floder; understreger, at al genopbygning, der finansieres af </w:t>
      </w:r>
      <w:r w:rsidR="004C25BD" w:rsidRPr="00D37BD6">
        <w:t>EUSF</w:t>
      </w:r>
      <w:r w:rsidRPr="00D37BD6">
        <w:t>, skal være klimaresistent; fremhæver vigtigheden af tilstrækkelig fleksibilitet mellem de forskellige programmer; understreger, at den bistand, der ydes under EUSF, ikke bør være på bekostning af den EU-finansiering, som medlemsstaterne modtager under andre EU-politikker eller ‑programmer; minder om, at medlemsstaterne kan yde statsstøtte i overensstemmelse med gældende EU-regler, navnlig til landbrugsvirksomheder, der har lidt skade som følge af naturkatastrofer;</w:t>
      </w:r>
    </w:p>
    <w:p w14:paraId="044E30D4" w14:textId="55F1FBCD" w:rsidR="00942340" w:rsidRPr="00D37BD6" w:rsidRDefault="00942340" w:rsidP="00942340">
      <w:pPr>
        <w:spacing w:after="240"/>
        <w:ind w:left="567" w:hanging="567"/>
        <w:rPr>
          <w:szCs w:val="24"/>
        </w:rPr>
      </w:pPr>
      <w:r w:rsidRPr="00D37BD6">
        <w:t>7.</w:t>
      </w:r>
      <w:r w:rsidRPr="00D37BD6">
        <w:tab/>
        <w:t>minder om, at RESTORE og de specifikke foranstaltninger under Den Europæiske Landbrugsfond for Udvikling af Landdistrikterne (ELFUL</w:t>
      </w:r>
      <w:r w:rsidR="004C25BD" w:rsidRPr="00D37BD6">
        <w:t>, der blev indført ved Europa-Parlamentets og Rådets forordning (EU) 2024/3242</w:t>
      </w:r>
      <w:r w:rsidRPr="00D37BD6">
        <w:t>)</w:t>
      </w:r>
      <w:r w:rsidRPr="00D37BD6">
        <w:rPr>
          <w:rStyle w:val="FootnoteReference"/>
          <w:szCs w:val="24"/>
        </w:rPr>
        <w:footnoteReference w:id="12"/>
      </w:r>
      <w:r w:rsidR="004C25BD" w:rsidRPr="00D37BD6">
        <w:t>,</w:t>
      </w:r>
      <w:r w:rsidRPr="00D37BD6">
        <w:t xml:space="preserve"> yder supplerende bistand til medlemsstater, der er ramt af naturkatastrofer, gennem yderligere fleksibilitet i anvendelsen af midlerne; understreger, at medlemsstaterne bør gøre brug af de nye muligheder; understreger også, at RESTORE gav begrænset fleksibilitet for nogle </w:t>
      </w:r>
      <w:r w:rsidRPr="00D37BD6">
        <w:lastRenderedPageBreak/>
        <w:t>medlemsstater, da gennemførelsen af den nuværende flerårige finansielle ramme er meget fremskreden;</w:t>
      </w:r>
    </w:p>
    <w:p w14:paraId="46B3E532" w14:textId="77777777" w:rsidR="00942340" w:rsidRPr="00D37BD6" w:rsidRDefault="00942340" w:rsidP="00942340">
      <w:pPr>
        <w:spacing w:after="240"/>
        <w:ind w:left="567" w:hanging="567"/>
        <w:rPr>
          <w:szCs w:val="24"/>
        </w:rPr>
      </w:pPr>
      <w:r w:rsidRPr="00D37BD6">
        <w:t>8.</w:t>
      </w:r>
      <w:r w:rsidRPr="00D37BD6">
        <w:tab/>
        <w:t>minder om betydningen af en hurtig og solid skadesvurdering, der tager behørigt hensyn til de økonomiske konsekvenser, og opfordrer til, at der gøres en øget operationel indsats for at nedbringe den gennemsnitlige tid, der går, før forskudsbetalinger frigives, for at yde rettidig bistand til regioner, der rammes af naturkatastrofer og ekstreme vejrhændelser, samtidig med at det sikres, at EU-budgettet beskyttes; understreger, at medlemsstaterne i forbindelse med katastrofeberedskabs- og genopretningsforanstaltninger på behørig vis bør prioritere den berørte befolknings behov med særlig vægt på sårbare grupper;</w:t>
      </w:r>
    </w:p>
    <w:p w14:paraId="7E6C8122" w14:textId="77777777" w:rsidR="00942340" w:rsidRPr="00D37BD6" w:rsidRDefault="00942340" w:rsidP="00942340">
      <w:pPr>
        <w:spacing w:after="240"/>
        <w:ind w:left="567" w:hanging="567"/>
      </w:pPr>
      <w:r w:rsidRPr="00D37BD6">
        <w:t>9.</w:t>
      </w:r>
      <w:r w:rsidRPr="00D37BD6">
        <w:tab/>
        <w:t xml:space="preserve">understreger, at det er påtrængende nødvendigt at frigive omgående finansiel bistand gennem EUSF for at sikre, at støtten kan nå frem til de berørte regioner i tide; </w:t>
      </w:r>
    </w:p>
    <w:p w14:paraId="23A2EA9E" w14:textId="77777777" w:rsidR="00942340" w:rsidRPr="00D37BD6" w:rsidRDefault="00942340" w:rsidP="00942340">
      <w:pPr>
        <w:spacing w:after="240"/>
        <w:ind w:left="567" w:hanging="567"/>
      </w:pPr>
      <w:r w:rsidRPr="00D37BD6">
        <w:t>10.</w:t>
      </w:r>
      <w:r w:rsidRPr="00D37BD6">
        <w:tab/>
        <w:t>godkender den afgørelse, der er vedføjet denne beslutning;</w:t>
      </w:r>
    </w:p>
    <w:p w14:paraId="3C0F6D37" w14:textId="77777777" w:rsidR="00942340" w:rsidRPr="00D37BD6" w:rsidRDefault="00942340" w:rsidP="00942340">
      <w:pPr>
        <w:spacing w:after="240"/>
        <w:ind w:left="567" w:hanging="567"/>
      </w:pPr>
      <w:r w:rsidRPr="00D37BD6">
        <w:t>11.</w:t>
      </w:r>
      <w:r w:rsidRPr="00D37BD6">
        <w:tab/>
        <w:t xml:space="preserve">pålægger sin formand at undertegne denne afgørelse sammen med Rådets formand og drage omsorg for, at den offentliggøres i </w:t>
      </w:r>
      <w:r w:rsidRPr="00D37BD6">
        <w:rPr>
          <w:i/>
        </w:rPr>
        <w:t>Den Europæiske Unions Tidende</w:t>
      </w:r>
      <w:r w:rsidRPr="00D37BD6">
        <w:t>;</w:t>
      </w:r>
    </w:p>
    <w:p w14:paraId="36DDAB33" w14:textId="77777777" w:rsidR="00942340" w:rsidRPr="00D37BD6" w:rsidRDefault="00942340" w:rsidP="00942340">
      <w:pPr>
        <w:spacing w:after="240"/>
        <w:ind w:left="567" w:hanging="567"/>
      </w:pPr>
      <w:r w:rsidRPr="00D37BD6">
        <w:t>12.</w:t>
      </w:r>
      <w:r w:rsidRPr="00D37BD6">
        <w:tab/>
        <w:t>pålægger sin formand at sende denne beslutning sammen med bilaget til Rådet og Kommissionen.</w:t>
      </w:r>
    </w:p>
    <w:p w14:paraId="70FDA3A8" w14:textId="77777777" w:rsidR="00942340" w:rsidRPr="00D37BD6" w:rsidRDefault="00942340" w:rsidP="00942340">
      <w:pPr>
        <w:rPr>
          <w:noProof/>
        </w:rPr>
      </w:pPr>
    </w:p>
    <w:p w14:paraId="4D7C65F5" w14:textId="77777777" w:rsidR="00942340" w:rsidRPr="00D37BD6" w:rsidRDefault="00942340" w:rsidP="00942340">
      <w:pPr>
        <w:rPr>
          <w:noProof/>
        </w:rPr>
      </w:pPr>
    </w:p>
    <w:p w14:paraId="386040A5" w14:textId="77777777" w:rsidR="00942340" w:rsidRPr="00D37BD6" w:rsidRDefault="00942340" w:rsidP="00942340">
      <w:pPr>
        <w:pStyle w:val="PageHeading"/>
        <w:rPr>
          <w:noProof/>
        </w:rPr>
        <w:sectPr w:rsidR="00942340" w:rsidRPr="00D37BD6" w:rsidSect="0003262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750733" w14:textId="77777777" w:rsidR="00FF62A3" w:rsidRDefault="00942340" w:rsidP="00FF62A3">
      <w:pPr>
        <w:pStyle w:val="PageHeading"/>
        <w:rPr>
          <w:rFonts w:ascii="Times New Roman" w:hAnsi="Times New Roman" w:cs="Times New Roman"/>
        </w:rPr>
      </w:pPr>
      <w:bookmarkStart w:id="7" w:name="_Toc202343903"/>
      <w:r w:rsidRPr="00FF62A3">
        <w:rPr>
          <w:rFonts w:ascii="Times New Roman" w:hAnsi="Times New Roman" w:cs="Times New Roman"/>
        </w:rPr>
        <w:lastRenderedPageBreak/>
        <w:t>BILAG</w:t>
      </w:r>
    </w:p>
    <w:p w14:paraId="5F9CCF35" w14:textId="15ABDE1F" w:rsidR="00942340" w:rsidRPr="00FF62A3" w:rsidRDefault="00942340" w:rsidP="00FF62A3">
      <w:pPr>
        <w:pStyle w:val="PageHeading"/>
        <w:rPr>
          <w:rFonts w:ascii="Times New Roman" w:hAnsi="Times New Roman" w:cs="Times New Roman"/>
          <w:noProof/>
        </w:rPr>
      </w:pPr>
      <w:r w:rsidRPr="00FF62A3">
        <w:rPr>
          <w:rFonts w:ascii="Times New Roman" w:hAnsi="Times New Roman" w:cs="Times New Roman"/>
        </w:rPr>
        <w:t>EUROPA-PARLAMENTETS OG RÅDETS AFGØRELSE</w:t>
      </w:r>
      <w:bookmarkEnd w:id="7"/>
    </w:p>
    <w:p w14:paraId="1DC61938" w14:textId="77777777" w:rsidR="00942340" w:rsidRDefault="00942340" w:rsidP="00FF62A3">
      <w:pPr>
        <w:pStyle w:val="NormalBold24a"/>
        <w:jc w:val="center"/>
      </w:pPr>
      <w:r w:rsidRPr="00FF62A3">
        <w:t>om anvendelse af Den Europæiske Unions Solidaritetsfond med henblik på at yde bistand til Østrig, Polen, Tjekkiet, Slovakiet og Moldova i forbindelse med oversvømmelser i september 2024 og Bosnien-Hercegovina i forbindelse med oversvømmelser i oktober 2024</w:t>
      </w:r>
    </w:p>
    <w:p w14:paraId="0C7F85C2" w14:textId="77777777" w:rsidR="00FF62A3" w:rsidRDefault="00FF62A3" w:rsidP="00F95CDF">
      <w:pPr>
        <w:tabs>
          <w:tab w:val="left" w:pos="567"/>
          <w:tab w:val="left" w:pos="851"/>
          <w:tab w:val="left" w:pos="1134"/>
          <w:tab w:val="left" w:pos="1418"/>
          <w:tab w:val="left" w:pos="1701"/>
        </w:tabs>
        <w:ind w:right="-1"/>
      </w:pPr>
    </w:p>
    <w:p w14:paraId="712115DF" w14:textId="2A9026EB" w:rsidR="00FF62A3" w:rsidRPr="00F43BBF" w:rsidRDefault="00FF62A3" w:rsidP="00FF62A3">
      <w:pPr>
        <w:rPr>
          <w:i/>
        </w:rPr>
      </w:pPr>
      <w:r w:rsidRPr="00F43BBF">
        <w:rPr>
          <w:i/>
        </w:rPr>
        <w:t xml:space="preserve">(Teksten i bilaget gengives ikke her, eftersom det svarer til den endelige retsakt, </w:t>
      </w:r>
      <w:r>
        <w:rPr>
          <w:i/>
        </w:rPr>
        <w:t>afgørelse (EU) 2025/1525</w:t>
      </w:r>
      <w:r w:rsidRPr="00F43BBF">
        <w:rPr>
          <w:i/>
        </w:rPr>
        <w:t>).</w:t>
      </w:r>
    </w:p>
    <w:sectPr w:rsidR="00FF62A3" w:rsidRPr="00F43BBF" w:rsidSect="0003262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9302F" w14:textId="77777777" w:rsidR="00BD6814" w:rsidRPr="0003262E" w:rsidRDefault="00BD6814">
      <w:r w:rsidRPr="0003262E">
        <w:separator/>
      </w:r>
    </w:p>
  </w:endnote>
  <w:endnote w:type="continuationSeparator" w:id="0">
    <w:p w14:paraId="00FD5D94" w14:textId="77777777" w:rsidR="00BD6814" w:rsidRPr="0003262E" w:rsidRDefault="00BD6814">
      <w:r w:rsidRPr="000326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E378F" w14:textId="77777777" w:rsidR="00942340" w:rsidRPr="0003262E" w:rsidRDefault="00942340" w:rsidP="00C212DF">
    <w:pPr>
      <w:pStyle w:val="EPFooter"/>
    </w:pPr>
    <w:r w:rsidRPr="0003262E">
      <w:t>PE</w:t>
    </w:r>
    <w:r w:rsidRPr="0003262E">
      <w:rPr>
        <w:rStyle w:val="HideTWBExt"/>
      </w:rPr>
      <w:t>&lt;</w:t>
    </w:r>
    <w:proofErr w:type="spellStart"/>
    <w:r w:rsidRPr="0003262E">
      <w:rPr>
        <w:rStyle w:val="HideTWBExt"/>
      </w:rPr>
      <w:t>NoPE</w:t>
    </w:r>
    <w:proofErr w:type="spellEnd"/>
    <w:r w:rsidRPr="0003262E">
      <w:rPr>
        <w:rStyle w:val="HideTWBExt"/>
      </w:rPr>
      <w:t>&gt;</w:t>
    </w:r>
    <w:r w:rsidRPr="0003262E">
      <w:t>774.284</w:t>
    </w:r>
    <w:r w:rsidRPr="0003262E">
      <w:rPr>
        <w:rStyle w:val="HideTWBExt"/>
      </w:rPr>
      <w:t>&lt;/</w:t>
    </w:r>
    <w:proofErr w:type="spellStart"/>
    <w:r w:rsidRPr="0003262E">
      <w:rPr>
        <w:rStyle w:val="HideTWBExt"/>
      </w:rPr>
      <w:t>NoPE</w:t>
    </w:r>
    <w:proofErr w:type="spellEnd"/>
    <w:r w:rsidRPr="0003262E">
      <w:rPr>
        <w:rStyle w:val="HideTWBExt"/>
      </w:rPr>
      <w:t>&gt;&lt;Version&gt;</w:t>
    </w:r>
    <w:r w:rsidRPr="0003262E">
      <w:t>v02-00</w:t>
    </w:r>
    <w:r w:rsidRPr="0003262E">
      <w:rPr>
        <w:rStyle w:val="HideTWBExt"/>
      </w:rPr>
      <w:t>&lt;/Version&gt;</w:t>
    </w:r>
    <w:r w:rsidRPr="0003262E">
      <w:tab/>
    </w:r>
    <w:r w:rsidRPr="0003262E">
      <w:fldChar w:fldCharType="begin"/>
    </w:r>
    <w:r w:rsidRPr="0003262E">
      <w:instrText xml:space="preserve"> PAGE  \* MERGEFORMAT </w:instrText>
    </w:r>
    <w:r w:rsidRPr="0003262E">
      <w:fldChar w:fldCharType="separate"/>
    </w:r>
    <w:r w:rsidRPr="0003262E">
      <w:rPr>
        <w:noProof/>
      </w:rPr>
      <w:t>4</w:t>
    </w:r>
    <w:r w:rsidRPr="0003262E">
      <w:fldChar w:fldCharType="end"/>
    </w:r>
    <w:r w:rsidRPr="0003262E">
      <w:t>/</w:t>
    </w:r>
    <w:r w:rsidR="00E10B71">
      <w:fldChar w:fldCharType="begin"/>
    </w:r>
    <w:r w:rsidR="00E10B71">
      <w:instrText xml:space="preserve"> NUMPAGES  \* MERGEFORMAT </w:instrText>
    </w:r>
    <w:r w:rsidR="00E10B71">
      <w:fldChar w:fldCharType="separate"/>
    </w:r>
    <w:r w:rsidRPr="0003262E">
      <w:rPr>
        <w:noProof/>
      </w:rPr>
      <w:t>4</w:t>
    </w:r>
    <w:r w:rsidR="00E10B71">
      <w:rPr>
        <w:noProof/>
      </w:rPr>
      <w:fldChar w:fldCharType="end"/>
    </w:r>
    <w:r w:rsidRPr="0003262E">
      <w:tab/>
    </w:r>
    <w:r w:rsidRPr="0003262E">
      <w:rPr>
        <w:rStyle w:val="HideTWBExt"/>
      </w:rPr>
      <w:t>&lt;PathFdR&gt;</w:t>
    </w:r>
    <w:r w:rsidRPr="0003262E">
      <w:t>RR\1323790DA.docx</w:t>
    </w:r>
    <w:r w:rsidRPr="0003262E">
      <w:rPr>
        <w:rStyle w:val="HideTWBExt"/>
      </w:rPr>
      <w:t>&lt;/</w:t>
    </w:r>
    <w:proofErr w:type="spellStart"/>
    <w:r w:rsidRPr="0003262E">
      <w:rPr>
        <w:rStyle w:val="HideTWBExt"/>
      </w:rPr>
      <w:t>PathFdR</w:t>
    </w:r>
    <w:proofErr w:type="spellEnd"/>
    <w:r w:rsidRPr="0003262E">
      <w:rPr>
        <w:rStyle w:val="HideTWBExt"/>
      </w:rPr>
      <w:t>&gt;</w:t>
    </w:r>
  </w:p>
  <w:p w14:paraId="3F3649FB" w14:textId="77777777" w:rsidR="00942340" w:rsidRPr="0003262E" w:rsidRDefault="00942340" w:rsidP="00C212DF">
    <w:pPr>
      <w:pStyle w:val="EPFooter2"/>
    </w:pPr>
    <w:r w:rsidRPr="0003262E">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DBCCD" w14:textId="77777777" w:rsidR="00942340" w:rsidRPr="0003262E" w:rsidRDefault="00942340" w:rsidP="00C212DF">
    <w:pPr>
      <w:pStyle w:val="EPFooter"/>
    </w:pPr>
    <w:r w:rsidRPr="0003262E">
      <w:rPr>
        <w:rStyle w:val="HideTWBExt"/>
      </w:rPr>
      <w:t>&lt;PathFdR&gt;</w:t>
    </w:r>
    <w:r w:rsidRPr="0003262E">
      <w:t>RR\1323790DA.docx</w:t>
    </w:r>
    <w:r w:rsidRPr="0003262E">
      <w:rPr>
        <w:rStyle w:val="HideTWBExt"/>
      </w:rPr>
      <w:t>&lt;/</w:t>
    </w:r>
    <w:proofErr w:type="spellStart"/>
    <w:r w:rsidRPr="0003262E">
      <w:rPr>
        <w:rStyle w:val="HideTWBExt"/>
      </w:rPr>
      <w:t>PathFdR</w:t>
    </w:r>
    <w:proofErr w:type="spellEnd"/>
    <w:r w:rsidRPr="0003262E">
      <w:rPr>
        <w:rStyle w:val="HideTWBExt"/>
      </w:rPr>
      <w:t>&gt;</w:t>
    </w:r>
    <w:r w:rsidRPr="0003262E">
      <w:tab/>
    </w:r>
    <w:r w:rsidRPr="0003262E">
      <w:tab/>
      <w:t>PE</w:t>
    </w:r>
    <w:r w:rsidRPr="0003262E">
      <w:rPr>
        <w:rStyle w:val="HideTWBExt"/>
      </w:rPr>
      <w:t>&lt;</w:t>
    </w:r>
    <w:proofErr w:type="spellStart"/>
    <w:r w:rsidRPr="0003262E">
      <w:rPr>
        <w:rStyle w:val="HideTWBExt"/>
      </w:rPr>
      <w:t>NoPE</w:t>
    </w:r>
    <w:proofErr w:type="spellEnd"/>
    <w:r w:rsidRPr="0003262E">
      <w:rPr>
        <w:rStyle w:val="HideTWBExt"/>
      </w:rPr>
      <w:t>&gt;</w:t>
    </w:r>
    <w:r w:rsidRPr="0003262E">
      <w:t>774.284</w:t>
    </w:r>
    <w:r w:rsidRPr="0003262E">
      <w:rPr>
        <w:rStyle w:val="HideTWBExt"/>
      </w:rPr>
      <w:t>&lt;/</w:t>
    </w:r>
    <w:proofErr w:type="spellStart"/>
    <w:r w:rsidRPr="0003262E">
      <w:rPr>
        <w:rStyle w:val="HideTWBExt"/>
      </w:rPr>
      <w:t>NoPE</w:t>
    </w:r>
    <w:proofErr w:type="spellEnd"/>
    <w:r w:rsidRPr="0003262E">
      <w:rPr>
        <w:rStyle w:val="HideTWBExt"/>
      </w:rPr>
      <w:t>&gt;&lt;Version&gt;</w:t>
    </w:r>
    <w:r w:rsidRPr="0003262E">
      <w:t>v02-00</w:t>
    </w:r>
    <w:r w:rsidRPr="0003262E">
      <w:rPr>
        <w:rStyle w:val="HideTWBExt"/>
      </w:rPr>
      <w:t>&lt;/Version&gt;</w:t>
    </w:r>
  </w:p>
  <w:p w14:paraId="2CE0D698" w14:textId="77777777" w:rsidR="00942340" w:rsidRPr="0003262E" w:rsidRDefault="00942340" w:rsidP="00C212DF">
    <w:pPr>
      <w:pStyle w:val="EPFooter2"/>
    </w:pPr>
    <w:r w:rsidRPr="0003262E">
      <w:t>DA</w:t>
    </w:r>
    <w:r w:rsidRPr="0003262E">
      <w:tab/>
    </w:r>
    <w:r w:rsidRPr="0003262E">
      <w:rPr>
        <w:b w:val="0"/>
        <w:i/>
        <w:color w:val="C0C0C0"/>
        <w:sz w:val="22"/>
      </w:rPr>
      <w:t>Forenet i mangfoldighed</w:t>
    </w:r>
    <w:r w:rsidRPr="0003262E">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6E25" w14:textId="77777777" w:rsidR="00064002" w:rsidRPr="0003262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99FA3" w14:textId="77777777" w:rsidR="00064002" w:rsidRPr="0003262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C4994" w14:textId="77777777" w:rsidR="00064002" w:rsidRPr="000326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0B7B8" w14:textId="77777777" w:rsidR="00BD6814" w:rsidRPr="0003262E" w:rsidRDefault="00BD6814">
      <w:r w:rsidRPr="0003262E">
        <w:separator/>
      </w:r>
    </w:p>
  </w:footnote>
  <w:footnote w:type="continuationSeparator" w:id="0">
    <w:p w14:paraId="3147F143" w14:textId="77777777" w:rsidR="00BD6814" w:rsidRPr="0003262E" w:rsidRDefault="00BD6814">
      <w:r w:rsidRPr="0003262E">
        <w:continuationSeparator/>
      </w:r>
    </w:p>
  </w:footnote>
  <w:footnote w:id="1">
    <w:p w14:paraId="6C0107F6" w14:textId="77777777" w:rsidR="00942340" w:rsidRPr="0003262E" w:rsidRDefault="00942340" w:rsidP="0003262E">
      <w:pPr>
        <w:pStyle w:val="FootnoteText"/>
        <w:ind w:left="567" w:hanging="567"/>
        <w:rPr>
          <w:sz w:val="24"/>
          <w:lang w:val="da-DK"/>
        </w:rPr>
      </w:pPr>
      <w:r w:rsidRPr="0003262E">
        <w:rPr>
          <w:rStyle w:val="FootnoteReference"/>
          <w:sz w:val="24"/>
          <w:lang w:val="da-DK"/>
        </w:rPr>
        <w:footnoteRef/>
      </w:r>
      <w:r w:rsidR="0003262E" w:rsidRPr="0003262E">
        <w:rPr>
          <w:sz w:val="24"/>
          <w:lang w:val="da-DK"/>
        </w:rPr>
        <w:t xml:space="preserve"> </w:t>
      </w:r>
      <w:r w:rsidR="0003262E" w:rsidRPr="0003262E">
        <w:rPr>
          <w:sz w:val="24"/>
          <w:lang w:val="da-DK"/>
        </w:rPr>
        <w:tab/>
      </w:r>
      <w:r w:rsidRPr="0003262E">
        <w:rPr>
          <w:sz w:val="24"/>
          <w:lang w:val="da-DK"/>
        </w:rPr>
        <w:t xml:space="preserve">EFT L 311 af 14.11.2002, s. 3, ELI: </w:t>
      </w:r>
      <w:hyperlink r:id="rId1" w:history="1">
        <w:r w:rsidRPr="0003262E">
          <w:rPr>
            <w:rStyle w:val="Hyperlink"/>
            <w:sz w:val="24"/>
            <w:lang w:val="da-DK"/>
          </w:rPr>
          <w:t>http://data.europa.eu/eli/reg/2002/2012/oj</w:t>
        </w:r>
      </w:hyperlink>
      <w:r w:rsidRPr="0003262E">
        <w:rPr>
          <w:sz w:val="24"/>
          <w:lang w:val="da-DK"/>
        </w:rPr>
        <w:t>.</w:t>
      </w:r>
    </w:p>
  </w:footnote>
  <w:footnote w:id="2">
    <w:p w14:paraId="7E9B6951" w14:textId="77777777" w:rsidR="00942340" w:rsidRPr="0003262E" w:rsidRDefault="00942340" w:rsidP="0003262E">
      <w:pPr>
        <w:pStyle w:val="FootnoteText"/>
        <w:ind w:left="567" w:hanging="567"/>
        <w:rPr>
          <w:sz w:val="24"/>
          <w:lang w:val="da-DK"/>
        </w:rPr>
      </w:pPr>
      <w:r w:rsidRPr="0003262E">
        <w:rPr>
          <w:rStyle w:val="FootnoteReference"/>
          <w:sz w:val="24"/>
          <w:lang w:val="da-DK"/>
        </w:rPr>
        <w:footnoteRef/>
      </w:r>
      <w:r w:rsidR="0003262E" w:rsidRPr="0003262E">
        <w:rPr>
          <w:sz w:val="24"/>
          <w:lang w:val="da-DK"/>
        </w:rPr>
        <w:t xml:space="preserve"> </w:t>
      </w:r>
      <w:r w:rsidR="0003262E" w:rsidRPr="0003262E">
        <w:rPr>
          <w:sz w:val="24"/>
          <w:lang w:val="da-DK"/>
        </w:rPr>
        <w:tab/>
      </w:r>
      <w:r w:rsidRPr="0003262E">
        <w:rPr>
          <w:sz w:val="24"/>
          <w:lang w:val="da-DK"/>
        </w:rPr>
        <w:t xml:space="preserve">EUT L 433 I af 22.12.2020, s. 11, ELI: </w:t>
      </w:r>
      <w:hyperlink r:id="rId2" w:history="1">
        <w:r w:rsidRPr="0003262E">
          <w:rPr>
            <w:rStyle w:val="Hyperlink"/>
            <w:sz w:val="24"/>
            <w:lang w:val="da-DK"/>
          </w:rPr>
          <w:t>http://data.europa.eu/eli/reg/2020/2093/oj</w:t>
        </w:r>
      </w:hyperlink>
      <w:r w:rsidRPr="0003262E">
        <w:rPr>
          <w:sz w:val="24"/>
          <w:lang w:val="da-DK"/>
        </w:rPr>
        <w:t>.</w:t>
      </w:r>
    </w:p>
  </w:footnote>
  <w:footnote w:id="3">
    <w:p w14:paraId="2B24397F" w14:textId="77777777" w:rsidR="00942340" w:rsidRPr="0003262E" w:rsidRDefault="00942340" w:rsidP="0003262E">
      <w:pPr>
        <w:pStyle w:val="FootnoteText"/>
        <w:ind w:left="567" w:hanging="567"/>
        <w:rPr>
          <w:sz w:val="24"/>
          <w:lang w:val="da-DK"/>
        </w:rPr>
      </w:pPr>
      <w:r w:rsidRPr="0003262E">
        <w:rPr>
          <w:rStyle w:val="FootnoteReference"/>
          <w:sz w:val="24"/>
          <w:lang w:val="da-DK"/>
        </w:rPr>
        <w:footnoteRef/>
      </w:r>
      <w:r w:rsidR="0003262E" w:rsidRPr="0003262E">
        <w:rPr>
          <w:sz w:val="24"/>
          <w:lang w:val="da-DK"/>
        </w:rPr>
        <w:t xml:space="preserve"> </w:t>
      </w:r>
      <w:r w:rsidR="0003262E" w:rsidRPr="0003262E">
        <w:rPr>
          <w:sz w:val="24"/>
          <w:lang w:val="da-DK"/>
        </w:rPr>
        <w:tab/>
      </w:r>
      <w:r w:rsidRPr="0003262E">
        <w:rPr>
          <w:sz w:val="24"/>
          <w:lang w:val="da-DK"/>
        </w:rPr>
        <w:t xml:space="preserve">EUT L 433 I af 22.12.2020, s. 28, ELI: </w:t>
      </w:r>
      <w:hyperlink r:id="rId3" w:history="1">
        <w:r w:rsidRPr="0003262E">
          <w:rPr>
            <w:rStyle w:val="Hyperlink"/>
            <w:sz w:val="24"/>
            <w:lang w:val="da-DK"/>
          </w:rPr>
          <w:t>http://data.europa.eu/eli/agree_interinstit/2020/1222/oj</w:t>
        </w:r>
      </w:hyperlink>
      <w:r w:rsidRPr="0003262E">
        <w:rPr>
          <w:sz w:val="24"/>
          <w:lang w:val="da-DK"/>
        </w:rPr>
        <w:t>.</w:t>
      </w:r>
    </w:p>
  </w:footnote>
  <w:footnote w:id="4">
    <w:p w14:paraId="27BE745C" w14:textId="4DFE30F7" w:rsidR="00942340" w:rsidRPr="0003262E" w:rsidRDefault="00942340" w:rsidP="0003262E">
      <w:pPr>
        <w:pStyle w:val="FootnoteText"/>
        <w:ind w:left="567" w:hanging="567"/>
        <w:rPr>
          <w:sz w:val="24"/>
          <w:lang w:val="da-DK"/>
        </w:rPr>
      </w:pPr>
      <w:r w:rsidRPr="0003262E">
        <w:rPr>
          <w:rStyle w:val="FootnoteReference"/>
          <w:sz w:val="24"/>
          <w:lang w:val="da-DK"/>
        </w:rPr>
        <w:footnoteRef/>
      </w:r>
      <w:r w:rsidR="0003262E" w:rsidRPr="0003262E">
        <w:rPr>
          <w:sz w:val="24"/>
          <w:lang w:val="da-DK"/>
        </w:rPr>
        <w:t xml:space="preserve"> </w:t>
      </w:r>
      <w:r w:rsidR="0003262E" w:rsidRPr="0003262E">
        <w:rPr>
          <w:sz w:val="24"/>
          <w:lang w:val="da-DK"/>
        </w:rPr>
        <w:tab/>
      </w:r>
      <w:r w:rsidRPr="0003262E">
        <w:rPr>
          <w:sz w:val="24"/>
          <w:lang w:val="da-DK"/>
        </w:rPr>
        <w:t xml:space="preserve">EUT L 231 af </w:t>
      </w:r>
      <w:r w:rsidR="00DF33CA">
        <w:rPr>
          <w:sz w:val="24"/>
          <w:lang w:val="da-DK"/>
        </w:rPr>
        <w:t>30.6</w:t>
      </w:r>
      <w:r w:rsidRPr="0003262E">
        <w:rPr>
          <w:sz w:val="24"/>
          <w:lang w:val="da-DK"/>
        </w:rPr>
        <w:t xml:space="preserve">.2021, s. 60, ELI: </w:t>
      </w:r>
      <w:hyperlink r:id="rId4" w:history="1">
        <w:r w:rsidRPr="0003262E">
          <w:rPr>
            <w:rStyle w:val="Hyperlink"/>
            <w:sz w:val="24"/>
            <w:lang w:val="da-DK"/>
          </w:rPr>
          <w:t>http://data.europa.eu/eli/reg/2021/1058/oj</w:t>
        </w:r>
      </w:hyperlink>
      <w:r w:rsidRPr="0003262E">
        <w:rPr>
          <w:sz w:val="24"/>
          <w:lang w:val="da-DK"/>
        </w:rPr>
        <w:t>.</w:t>
      </w:r>
    </w:p>
  </w:footnote>
  <w:footnote w:id="5">
    <w:p w14:paraId="5082C23D" w14:textId="2BA946FA" w:rsidR="00942340" w:rsidRPr="0003262E" w:rsidRDefault="00942340" w:rsidP="0003262E">
      <w:pPr>
        <w:pStyle w:val="FootnoteText"/>
        <w:ind w:left="567" w:hanging="567"/>
        <w:rPr>
          <w:sz w:val="24"/>
          <w:lang w:val="da-DK"/>
        </w:rPr>
      </w:pPr>
      <w:r w:rsidRPr="0003262E">
        <w:rPr>
          <w:rStyle w:val="FootnoteReference"/>
          <w:sz w:val="24"/>
          <w:lang w:val="da-DK"/>
        </w:rPr>
        <w:footnoteRef/>
      </w:r>
      <w:r w:rsidR="0003262E" w:rsidRPr="0003262E">
        <w:rPr>
          <w:sz w:val="24"/>
          <w:lang w:val="da-DK"/>
        </w:rPr>
        <w:t xml:space="preserve"> </w:t>
      </w:r>
      <w:r w:rsidR="0003262E" w:rsidRPr="0003262E">
        <w:rPr>
          <w:sz w:val="24"/>
          <w:lang w:val="da-DK"/>
        </w:rPr>
        <w:tab/>
      </w:r>
      <w:r w:rsidRPr="0003262E">
        <w:rPr>
          <w:sz w:val="24"/>
          <w:lang w:val="da-DK"/>
        </w:rPr>
        <w:t xml:space="preserve">EUT L 231 af </w:t>
      </w:r>
      <w:r w:rsidR="00DF33CA">
        <w:rPr>
          <w:sz w:val="24"/>
          <w:lang w:val="da-DK"/>
        </w:rPr>
        <w:t>30.6</w:t>
      </w:r>
      <w:r w:rsidRPr="0003262E">
        <w:rPr>
          <w:sz w:val="24"/>
          <w:lang w:val="da-DK"/>
        </w:rPr>
        <w:t xml:space="preserve">.2021, s. 21, ELI: </w:t>
      </w:r>
      <w:hyperlink r:id="rId5" w:history="1">
        <w:r w:rsidRPr="0003262E">
          <w:rPr>
            <w:rStyle w:val="Hyperlink"/>
            <w:sz w:val="24"/>
            <w:lang w:val="da-DK"/>
          </w:rPr>
          <w:t>http://data.europa.eu/eli/reg/2021/1057/oj</w:t>
        </w:r>
      </w:hyperlink>
      <w:r w:rsidRPr="0003262E">
        <w:rPr>
          <w:sz w:val="24"/>
          <w:lang w:val="da-DK"/>
        </w:rPr>
        <w:t>.</w:t>
      </w:r>
    </w:p>
  </w:footnote>
  <w:footnote w:id="6">
    <w:p w14:paraId="43628FAD" w14:textId="77777777" w:rsidR="00942340" w:rsidRPr="0003262E" w:rsidRDefault="00942340" w:rsidP="0003262E">
      <w:pPr>
        <w:pStyle w:val="FootnoteText"/>
        <w:ind w:left="567" w:hanging="567"/>
        <w:rPr>
          <w:sz w:val="24"/>
          <w:lang w:val="da-DK"/>
        </w:rPr>
      </w:pPr>
      <w:r w:rsidRPr="0003262E">
        <w:rPr>
          <w:rStyle w:val="FootnoteReference"/>
          <w:sz w:val="24"/>
          <w:lang w:val="da-DK"/>
        </w:rPr>
        <w:footnoteRef/>
      </w:r>
      <w:r w:rsidR="0003262E" w:rsidRPr="0003262E">
        <w:rPr>
          <w:sz w:val="24"/>
          <w:lang w:val="da-DK"/>
        </w:rPr>
        <w:t xml:space="preserve"> </w:t>
      </w:r>
      <w:r w:rsidR="0003262E" w:rsidRPr="0003262E">
        <w:rPr>
          <w:sz w:val="24"/>
          <w:lang w:val="da-DK"/>
        </w:rPr>
        <w:tab/>
      </w:r>
      <w:r w:rsidRPr="0003262E">
        <w:rPr>
          <w:sz w:val="24"/>
          <w:lang w:val="da-DK"/>
        </w:rPr>
        <w:t xml:space="preserve">EUT L 435 af 6.12.2021, s. 1, ELI: </w:t>
      </w:r>
      <w:hyperlink r:id="rId6" w:history="1">
        <w:r w:rsidRPr="0003262E">
          <w:rPr>
            <w:rStyle w:val="Hyperlink"/>
            <w:sz w:val="24"/>
            <w:lang w:val="da-DK"/>
          </w:rPr>
          <w:t>http://data.europa.eu/eli/reg/2021/2115/oj</w:t>
        </w:r>
      </w:hyperlink>
      <w:r w:rsidRPr="0003262E">
        <w:rPr>
          <w:rStyle w:val="Hyperlink"/>
          <w:sz w:val="24"/>
          <w:lang w:val="da-DK"/>
        </w:rPr>
        <w:t>.</w:t>
      </w:r>
      <w:r w:rsidRPr="0003262E">
        <w:rPr>
          <w:sz w:val="24"/>
          <w:lang w:val="da-DK"/>
        </w:rPr>
        <w:t xml:space="preserve"> </w:t>
      </w:r>
    </w:p>
  </w:footnote>
  <w:footnote w:id="7">
    <w:p w14:paraId="372EC0CE" w14:textId="77777777" w:rsidR="00942340" w:rsidRPr="0003262E" w:rsidRDefault="00942340" w:rsidP="0003262E">
      <w:pPr>
        <w:pStyle w:val="FootnoteText"/>
        <w:ind w:left="567" w:hanging="567"/>
        <w:rPr>
          <w:sz w:val="24"/>
          <w:lang w:val="da-DK"/>
        </w:rPr>
      </w:pPr>
      <w:r w:rsidRPr="0003262E">
        <w:rPr>
          <w:rStyle w:val="FootnoteReference"/>
          <w:sz w:val="24"/>
          <w:lang w:val="da-DK"/>
        </w:rPr>
        <w:footnoteRef/>
      </w:r>
      <w:r w:rsidR="0003262E" w:rsidRPr="0003262E">
        <w:rPr>
          <w:sz w:val="24"/>
          <w:lang w:val="da-DK"/>
        </w:rPr>
        <w:t xml:space="preserve"> </w:t>
      </w:r>
      <w:r w:rsidR="0003262E" w:rsidRPr="0003262E">
        <w:rPr>
          <w:sz w:val="24"/>
          <w:lang w:val="da-DK"/>
        </w:rPr>
        <w:tab/>
      </w:r>
      <w:r w:rsidRPr="0003262E">
        <w:rPr>
          <w:sz w:val="24"/>
          <w:lang w:val="da-DK"/>
        </w:rPr>
        <w:t>Vedtagne tekster, P9_</w:t>
      </w:r>
      <w:proofErr w:type="gramStart"/>
      <w:r w:rsidRPr="0003262E">
        <w:rPr>
          <w:sz w:val="24"/>
          <w:lang w:val="da-DK"/>
        </w:rPr>
        <w:t>TA(</w:t>
      </w:r>
      <w:proofErr w:type="gramEnd"/>
      <w:r w:rsidRPr="0003262E">
        <w:rPr>
          <w:sz w:val="24"/>
          <w:lang w:val="da-DK"/>
        </w:rPr>
        <w:t>2024)0082.</w:t>
      </w:r>
    </w:p>
  </w:footnote>
  <w:footnote w:id="8">
    <w:p w14:paraId="17A77A53" w14:textId="7EFCE263" w:rsidR="00506426" w:rsidRPr="00D37BD6" w:rsidRDefault="00506426" w:rsidP="00D37BD6">
      <w:pPr>
        <w:pStyle w:val="FootnoteText"/>
        <w:ind w:left="567" w:hanging="567"/>
        <w:rPr>
          <w:sz w:val="24"/>
          <w:lang w:val="da-DK"/>
        </w:rPr>
      </w:pPr>
      <w:r w:rsidRPr="00D37BD6">
        <w:rPr>
          <w:rStyle w:val="FootnoteReference"/>
          <w:sz w:val="24"/>
        </w:rPr>
        <w:footnoteRef/>
      </w:r>
      <w:r w:rsidRPr="00D37BD6">
        <w:rPr>
          <w:sz w:val="24"/>
          <w:lang w:val="da-DK"/>
        </w:rPr>
        <w:t xml:space="preserve"> </w:t>
      </w:r>
      <w:r w:rsidRPr="00D37BD6">
        <w:rPr>
          <w:sz w:val="24"/>
          <w:lang w:val="da-DK"/>
        </w:rPr>
        <w:tab/>
        <w:t xml:space="preserve">EUT L, 2024/3236, 23.12.2024, ELI: </w:t>
      </w:r>
      <w:hyperlink r:id="rId7" w:history="1">
        <w:r w:rsidRPr="00D37BD6">
          <w:rPr>
            <w:rStyle w:val="Hyperlink"/>
            <w:sz w:val="24"/>
            <w:lang w:val="da-DK"/>
          </w:rPr>
          <w:t>http://data.europa.eu/eli/reg/2024/3236/oj</w:t>
        </w:r>
      </w:hyperlink>
      <w:r w:rsidR="005B137B">
        <w:rPr>
          <w:sz w:val="24"/>
          <w:lang w:val="da-DK"/>
        </w:rPr>
        <w:t>.</w:t>
      </w:r>
    </w:p>
  </w:footnote>
  <w:footnote w:id="9">
    <w:p w14:paraId="708A1F4C" w14:textId="77777777" w:rsidR="00942340" w:rsidRPr="0003262E" w:rsidRDefault="00942340" w:rsidP="0003262E">
      <w:pPr>
        <w:pStyle w:val="FootnoteText"/>
        <w:ind w:left="567" w:hanging="567"/>
        <w:rPr>
          <w:sz w:val="24"/>
          <w:lang w:val="da-DK"/>
        </w:rPr>
      </w:pPr>
      <w:r w:rsidRPr="0003262E">
        <w:rPr>
          <w:rStyle w:val="FootnoteReference"/>
          <w:sz w:val="24"/>
          <w:lang w:val="da-DK"/>
        </w:rPr>
        <w:footnoteRef/>
      </w:r>
      <w:r w:rsidR="0003262E" w:rsidRPr="0003262E">
        <w:rPr>
          <w:sz w:val="24"/>
          <w:lang w:val="da-DK"/>
        </w:rPr>
        <w:t xml:space="preserve"> </w:t>
      </w:r>
      <w:r w:rsidR="0003262E" w:rsidRPr="0003262E">
        <w:rPr>
          <w:sz w:val="24"/>
          <w:lang w:val="da-DK"/>
        </w:rPr>
        <w:tab/>
      </w:r>
      <w:hyperlink r:id="rId8" w:history="1">
        <w:r w:rsidRPr="0003262E">
          <w:rPr>
            <w:rStyle w:val="Hyperlink"/>
            <w:sz w:val="24"/>
            <w:lang w:val="da-DK"/>
          </w:rPr>
          <w:t>https://www.eea.europa.eu/publications/european-climate-risk-assessment</w:t>
        </w:r>
      </w:hyperlink>
      <w:r w:rsidRPr="0003262E">
        <w:rPr>
          <w:sz w:val="24"/>
          <w:lang w:val="da-DK"/>
        </w:rPr>
        <w:t xml:space="preserve">. </w:t>
      </w:r>
    </w:p>
  </w:footnote>
  <w:footnote w:id="10">
    <w:p w14:paraId="7DDFA370" w14:textId="77777777" w:rsidR="00942340" w:rsidRPr="00D37BD6" w:rsidRDefault="00942340" w:rsidP="0003262E">
      <w:pPr>
        <w:pStyle w:val="FootnoteText"/>
        <w:ind w:left="567" w:hanging="567"/>
        <w:rPr>
          <w:sz w:val="24"/>
          <w:lang w:val="nl-NL"/>
        </w:rPr>
      </w:pPr>
      <w:r w:rsidRPr="0003262E">
        <w:rPr>
          <w:rStyle w:val="FootnoteReference"/>
          <w:sz w:val="24"/>
          <w:lang w:val="da-DK"/>
        </w:rPr>
        <w:footnoteRef/>
      </w:r>
      <w:r w:rsidR="0003262E" w:rsidRPr="00D37BD6">
        <w:rPr>
          <w:sz w:val="24"/>
          <w:lang w:val="nl-NL"/>
        </w:rPr>
        <w:t xml:space="preserve"> </w:t>
      </w:r>
      <w:r w:rsidR="0003262E" w:rsidRPr="00D37BD6">
        <w:rPr>
          <w:sz w:val="24"/>
          <w:lang w:val="nl-NL"/>
        </w:rPr>
        <w:tab/>
      </w:r>
      <w:r w:rsidRPr="00D37BD6">
        <w:rPr>
          <w:sz w:val="24"/>
          <w:lang w:val="nl-NL"/>
        </w:rPr>
        <w:t>Copernicus-</w:t>
      </w:r>
      <w:proofErr w:type="spellStart"/>
      <w:r w:rsidRPr="00D37BD6">
        <w:rPr>
          <w:sz w:val="24"/>
          <w:lang w:val="nl-NL"/>
        </w:rPr>
        <w:t>Klimaændringstjenesten</w:t>
      </w:r>
      <w:proofErr w:type="spellEnd"/>
      <w:r w:rsidRPr="00D37BD6">
        <w:rPr>
          <w:sz w:val="24"/>
          <w:lang w:val="nl-NL"/>
        </w:rPr>
        <w:t xml:space="preserve"> (C3S) </w:t>
      </w:r>
      <w:proofErr w:type="spellStart"/>
      <w:r w:rsidRPr="00D37BD6">
        <w:rPr>
          <w:sz w:val="24"/>
          <w:lang w:val="nl-NL"/>
        </w:rPr>
        <w:t>og</w:t>
      </w:r>
      <w:proofErr w:type="spellEnd"/>
      <w:r w:rsidRPr="00D37BD6">
        <w:rPr>
          <w:sz w:val="24"/>
          <w:lang w:val="nl-NL"/>
        </w:rPr>
        <w:t xml:space="preserve"> Den </w:t>
      </w:r>
      <w:proofErr w:type="spellStart"/>
      <w:r w:rsidRPr="00D37BD6">
        <w:rPr>
          <w:sz w:val="24"/>
          <w:lang w:val="nl-NL"/>
        </w:rPr>
        <w:t>Meteorologiske</w:t>
      </w:r>
      <w:proofErr w:type="spellEnd"/>
      <w:r w:rsidRPr="00D37BD6">
        <w:rPr>
          <w:sz w:val="24"/>
          <w:lang w:val="nl-NL"/>
        </w:rPr>
        <w:t xml:space="preserve"> </w:t>
      </w:r>
      <w:proofErr w:type="spellStart"/>
      <w:r w:rsidRPr="00D37BD6">
        <w:rPr>
          <w:sz w:val="24"/>
          <w:lang w:val="nl-NL"/>
        </w:rPr>
        <w:t>Verdensorganisation</w:t>
      </w:r>
      <w:proofErr w:type="spellEnd"/>
      <w:r w:rsidRPr="00D37BD6">
        <w:rPr>
          <w:sz w:val="24"/>
          <w:lang w:val="nl-NL"/>
        </w:rPr>
        <w:t xml:space="preserve"> (WMO), 2025: European State of </w:t>
      </w:r>
      <w:proofErr w:type="spellStart"/>
      <w:r w:rsidRPr="00D37BD6">
        <w:rPr>
          <w:sz w:val="24"/>
          <w:lang w:val="nl-NL"/>
        </w:rPr>
        <w:t>the</w:t>
      </w:r>
      <w:proofErr w:type="spellEnd"/>
      <w:r w:rsidRPr="00D37BD6">
        <w:rPr>
          <w:sz w:val="24"/>
          <w:lang w:val="nl-NL"/>
        </w:rPr>
        <w:t xml:space="preserve"> </w:t>
      </w:r>
      <w:proofErr w:type="spellStart"/>
      <w:r w:rsidRPr="00D37BD6">
        <w:rPr>
          <w:sz w:val="24"/>
          <w:lang w:val="nl-NL"/>
        </w:rPr>
        <w:t>Climate</w:t>
      </w:r>
      <w:proofErr w:type="spellEnd"/>
      <w:r w:rsidRPr="00D37BD6">
        <w:rPr>
          <w:sz w:val="24"/>
          <w:lang w:val="nl-NL"/>
        </w:rPr>
        <w:t> 2024, climate.copernicus.eu/ESOTC/2024, doi.org/10.24381/14j9-s541.</w:t>
      </w:r>
    </w:p>
  </w:footnote>
  <w:footnote w:id="11">
    <w:p w14:paraId="078DF135" w14:textId="77777777" w:rsidR="00942340" w:rsidRPr="0003262E" w:rsidRDefault="00942340" w:rsidP="0003262E">
      <w:pPr>
        <w:pStyle w:val="FootnoteText"/>
        <w:ind w:left="567" w:hanging="567"/>
        <w:rPr>
          <w:sz w:val="24"/>
          <w:lang w:val="da-DK"/>
        </w:rPr>
      </w:pPr>
      <w:r w:rsidRPr="0003262E">
        <w:rPr>
          <w:rStyle w:val="FootnoteReference"/>
          <w:sz w:val="24"/>
          <w:lang w:val="da-DK"/>
        </w:rPr>
        <w:footnoteRef/>
      </w:r>
      <w:r w:rsidR="0003262E" w:rsidRPr="0003262E">
        <w:rPr>
          <w:sz w:val="24"/>
          <w:lang w:val="da-DK"/>
        </w:rPr>
        <w:t xml:space="preserve"> </w:t>
      </w:r>
      <w:r w:rsidR="0003262E" w:rsidRPr="0003262E">
        <w:rPr>
          <w:sz w:val="24"/>
          <w:lang w:val="da-DK"/>
        </w:rPr>
        <w:tab/>
      </w:r>
      <w:r w:rsidRPr="0003262E">
        <w:rPr>
          <w:sz w:val="24"/>
          <w:lang w:val="da-DK"/>
        </w:rPr>
        <w:t xml:space="preserve">Europa-Parlamentets og Rådets forordning (EU) 2021/241 af 12. februar 2021 om oprettelse af genopretnings- og resiliensfaciliteten (EUT L 57 af 18.2.2021, s. 17, </w:t>
      </w:r>
      <w:r w:rsidRPr="0003262E">
        <w:rPr>
          <w:color w:val="333333"/>
          <w:sz w:val="24"/>
          <w:shd w:val="clear" w:color="auto" w:fill="FFFFFF"/>
          <w:lang w:val="da-DK"/>
        </w:rPr>
        <w:t>ELI</w:t>
      </w:r>
      <w:r w:rsidRPr="0003262E">
        <w:rPr>
          <w:sz w:val="24"/>
          <w:lang w:val="da-DK"/>
        </w:rPr>
        <w:t>:</w:t>
      </w:r>
      <w:r w:rsidRPr="0003262E">
        <w:rPr>
          <w:color w:val="333333"/>
          <w:sz w:val="24"/>
          <w:shd w:val="clear" w:color="auto" w:fill="FFFFFF"/>
          <w:lang w:val="da-DK"/>
        </w:rPr>
        <w:t> </w:t>
      </w:r>
      <w:hyperlink r:id="rId9" w:tooltip="Giver adgang til dokumentet via dets ELI URI." w:history="1">
        <w:r w:rsidRPr="0003262E">
          <w:rPr>
            <w:color w:val="23527C"/>
            <w:sz w:val="24"/>
            <w:u w:val="single"/>
            <w:shd w:val="clear" w:color="auto" w:fill="FFFFFF"/>
            <w:lang w:val="da-DK"/>
          </w:rPr>
          <w:t>http://data.europa.eu/eli/reg/2021/241/oj</w:t>
        </w:r>
      </w:hyperlink>
      <w:r w:rsidRPr="0003262E">
        <w:rPr>
          <w:sz w:val="24"/>
          <w:lang w:val="da-DK"/>
        </w:rPr>
        <w:t>).</w:t>
      </w:r>
    </w:p>
  </w:footnote>
  <w:footnote w:id="12">
    <w:p w14:paraId="0B739832" w14:textId="1993AA1C" w:rsidR="00942340" w:rsidRPr="0003262E" w:rsidRDefault="00942340" w:rsidP="0003262E">
      <w:pPr>
        <w:pStyle w:val="FootnoteText"/>
        <w:ind w:left="567" w:hanging="567"/>
        <w:rPr>
          <w:sz w:val="24"/>
          <w:lang w:val="da-DK"/>
        </w:rPr>
      </w:pPr>
      <w:r w:rsidRPr="0003262E">
        <w:rPr>
          <w:rStyle w:val="FootnoteReference"/>
          <w:sz w:val="24"/>
          <w:lang w:val="da-DK"/>
        </w:rPr>
        <w:footnoteRef/>
      </w:r>
      <w:r w:rsidR="0003262E" w:rsidRPr="0003262E">
        <w:rPr>
          <w:sz w:val="24"/>
          <w:lang w:val="da-DK"/>
        </w:rPr>
        <w:t xml:space="preserve"> </w:t>
      </w:r>
      <w:r w:rsidR="0003262E" w:rsidRPr="0003262E">
        <w:rPr>
          <w:sz w:val="24"/>
          <w:lang w:val="da-DK"/>
        </w:rPr>
        <w:tab/>
      </w:r>
      <w:r w:rsidR="004C25BD" w:rsidRPr="004C25BD">
        <w:rPr>
          <w:sz w:val="24"/>
          <w:lang w:val="da-DK"/>
        </w:rPr>
        <w:t>Europa-Parlamentets og Rådets forordning (EU) 2024/3242 af 19. december 2024 om ændring af forordning (EU) 2020/2220 for så vidt angår særlige foranstaltninger inden for rammerne af Den Europæiske Landbrugsfond for Udvikling af Landdistrikterne for at yde yderligere bistand til medlemsstater, der er ramt af naturkatastrofer</w:t>
      </w:r>
      <w:r w:rsidR="004C25BD">
        <w:rPr>
          <w:sz w:val="24"/>
          <w:lang w:val="da-DK"/>
        </w:rPr>
        <w:t xml:space="preserve"> (</w:t>
      </w:r>
      <w:r w:rsidRPr="0003262E">
        <w:rPr>
          <w:sz w:val="24"/>
          <w:lang w:val="da-DK"/>
        </w:rPr>
        <w:t>EUT L, 2024/3242</w:t>
      </w:r>
      <w:r w:rsidR="00E10B71">
        <w:rPr>
          <w:sz w:val="24"/>
          <w:lang w:val="da-DK"/>
        </w:rPr>
        <w:t>,</w:t>
      </w:r>
      <w:r w:rsidRPr="0003262E">
        <w:rPr>
          <w:sz w:val="24"/>
          <w:lang w:val="da-DK"/>
        </w:rPr>
        <w:t xml:space="preserve"> 23.12.2024, ELI: </w:t>
      </w:r>
      <w:hyperlink r:id="rId10" w:history="1">
        <w:r w:rsidRPr="004C25BD">
          <w:rPr>
            <w:rStyle w:val="Hyperlink"/>
            <w:sz w:val="24"/>
            <w:lang w:val="da-DK"/>
          </w:rPr>
          <w:t>http://data.europa.eu/eli/reg/2024/3242/oj</w:t>
        </w:r>
      </w:hyperlink>
      <w:r w:rsidR="004C25BD">
        <w:rPr>
          <w:sz w:val="24"/>
          <w:lang w:val="da-DK"/>
        </w:rPr>
        <w:t>)</w:t>
      </w:r>
      <w:r w:rsidRPr="0003262E">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F8EF3" w14:textId="77777777" w:rsidR="00064002" w:rsidRPr="0003262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55702" w14:textId="77777777" w:rsidR="00064002" w:rsidRPr="0003262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203E9" w14:textId="77777777" w:rsidR="00064002" w:rsidRPr="000326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373314779">
    <w:abstractNumId w:val="9"/>
  </w:num>
  <w:num w:numId="2" w16cid:durableId="1916820947">
    <w:abstractNumId w:val="9"/>
  </w:num>
  <w:num w:numId="3" w16cid:durableId="917711905">
    <w:abstractNumId w:val="7"/>
  </w:num>
  <w:num w:numId="4" w16cid:durableId="1944266781">
    <w:abstractNumId w:val="7"/>
  </w:num>
  <w:num w:numId="5" w16cid:durableId="1550609170">
    <w:abstractNumId w:val="6"/>
  </w:num>
  <w:num w:numId="6" w16cid:durableId="415517320">
    <w:abstractNumId w:val="6"/>
  </w:num>
  <w:num w:numId="7" w16cid:durableId="7023705">
    <w:abstractNumId w:val="5"/>
  </w:num>
  <w:num w:numId="8" w16cid:durableId="1931044650">
    <w:abstractNumId w:val="5"/>
  </w:num>
  <w:num w:numId="9" w16cid:durableId="1839147683">
    <w:abstractNumId w:val="4"/>
  </w:num>
  <w:num w:numId="10" w16cid:durableId="1803183396">
    <w:abstractNumId w:val="4"/>
  </w:num>
  <w:num w:numId="11" w16cid:durableId="79103711">
    <w:abstractNumId w:val="8"/>
  </w:num>
  <w:num w:numId="12" w16cid:durableId="116725097">
    <w:abstractNumId w:val="8"/>
  </w:num>
  <w:num w:numId="13" w16cid:durableId="726876347">
    <w:abstractNumId w:val="3"/>
  </w:num>
  <w:num w:numId="14" w16cid:durableId="818572024">
    <w:abstractNumId w:val="3"/>
  </w:num>
  <w:num w:numId="15" w16cid:durableId="1436091660">
    <w:abstractNumId w:val="2"/>
  </w:num>
  <w:num w:numId="16" w16cid:durableId="1363048934">
    <w:abstractNumId w:val="2"/>
  </w:num>
  <w:num w:numId="17" w16cid:durableId="1041901663">
    <w:abstractNumId w:val="1"/>
  </w:num>
  <w:num w:numId="18" w16cid:durableId="549806793">
    <w:abstractNumId w:val="1"/>
  </w:num>
  <w:num w:numId="19" w16cid:durableId="733620504">
    <w:abstractNumId w:val="0"/>
  </w:num>
  <w:num w:numId="20" w16cid:durableId="1083601305">
    <w:abstractNumId w:val="0"/>
  </w:num>
  <w:num w:numId="21" w16cid:durableId="1926186797">
    <w:abstractNumId w:val="9"/>
  </w:num>
  <w:num w:numId="22" w16cid:durableId="1491557023">
    <w:abstractNumId w:val="7"/>
  </w:num>
  <w:num w:numId="23" w16cid:durableId="246692040">
    <w:abstractNumId w:val="6"/>
  </w:num>
  <w:num w:numId="24" w16cid:durableId="1237662675">
    <w:abstractNumId w:val="5"/>
  </w:num>
  <w:num w:numId="25" w16cid:durableId="1222719011">
    <w:abstractNumId w:val="4"/>
  </w:num>
  <w:num w:numId="26" w16cid:durableId="499589005">
    <w:abstractNumId w:val="8"/>
  </w:num>
  <w:num w:numId="27" w16cid:durableId="2110733281">
    <w:abstractNumId w:val="3"/>
  </w:num>
  <w:num w:numId="28" w16cid:durableId="910509001">
    <w:abstractNumId w:val="2"/>
  </w:num>
  <w:num w:numId="29" w16cid:durableId="241257511">
    <w:abstractNumId w:val="1"/>
  </w:num>
  <w:num w:numId="30" w16cid:durableId="1420758717">
    <w:abstractNumId w:val="0"/>
  </w:num>
  <w:num w:numId="31" w16cid:durableId="979113187">
    <w:abstractNumId w:val="9"/>
  </w:num>
  <w:num w:numId="32" w16cid:durableId="1384983302">
    <w:abstractNumId w:val="7"/>
  </w:num>
  <w:num w:numId="33" w16cid:durableId="1531062631">
    <w:abstractNumId w:val="6"/>
  </w:num>
  <w:num w:numId="34" w16cid:durableId="283653690">
    <w:abstractNumId w:val="5"/>
  </w:num>
  <w:num w:numId="35" w16cid:durableId="1635984144">
    <w:abstractNumId w:val="4"/>
  </w:num>
  <w:num w:numId="36" w16cid:durableId="1259676703">
    <w:abstractNumId w:val="8"/>
  </w:num>
  <w:num w:numId="37" w16cid:durableId="833299112">
    <w:abstractNumId w:val="3"/>
  </w:num>
  <w:num w:numId="38" w16cid:durableId="158736744">
    <w:abstractNumId w:val="2"/>
  </w:num>
  <w:num w:numId="39" w16cid:durableId="1068462106">
    <w:abstractNumId w:val="1"/>
  </w:num>
  <w:num w:numId="40" w16cid:durableId="932057705">
    <w:abstractNumId w:val="0"/>
  </w:num>
  <w:num w:numId="41" w16cid:durableId="163709690">
    <w:abstractNumId w:val="10"/>
  </w:num>
  <w:num w:numId="42" w16cid:durableId="1720859304">
    <w:abstractNumId w:val="10"/>
  </w:num>
  <w:num w:numId="43" w16cid:durableId="2009014788">
    <w:abstractNumId w:val="10"/>
  </w:num>
  <w:num w:numId="44" w16cid:durableId="471022712">
    <w:abstractNumId w:val="12"/>
  </w:num>
  <w:num w:numId="45" w16cid:durableId="7221434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99030149">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DA"/>
    <w:docVar w:name="dvnumam" w:val="0"/>
    <w:docVar w:name="dvpe" w:val="774.284"/>
    <w:docVar w:name="dvrapporteur" w:val="Ordfører: "/>
    <w:docVar w:name="dvtitre" w:val="Europa-Parlamentets beslutning af xx. juli 2025 om forslag til Europa-Parlamentets og Rådets afgørelse om anvendelse af Den Europæiske Unions Solidaritetsfond med henblik på at yde bistand til Østrig, Polen, Tjekkiet, Slovakiet og Moldova i forbindelse med oversvømmelser i september 2024 og Bosnien-Hercegovina i forbindelse med oversvømmelser i oktober 2024(COM(2025)0250 – C10-0102/2025 – 2025/0138(BUD))"/>
  </w:docVars>
  <w:rsids>
    <w:rsidRoot w:val="00BD6814"/>
    <w:rsid w:val="00002272"/>
    <w:rsid w:val="00016EDB"/>
    <w:rsid w:val="0003262E"/>
    <w:rsid w:val="00064002"/>
    <w:rsid w:val="000677B9"/>
    <w:rsid w:val="000831BA"/>
    <w:rsid w:val="000A42CC"/>
    <w:rsid w:val="000E7DD9"/>
    <w:rsid w:val="0010095E"/>
    <w:rsid w:val="00125B37"/>
    <w:rsid w:val="00187494"/>
    <w:rsid w:val="001B40B5"/>
    <w:rsid w:val="001F32AE"/>
    <w:rsid w:val="002767FF"/>
    <w:rsid w:val="002B18FE"/>
    <w:rsid w:val="002B5493"/>
    <w:rsid w:val="002B54DA"/>
    <w:rsid w:val="00343214"/>
    <w:rsid w:val="00361C00"/>
    <w:rsid w:val="00395FA1"/>
    <w:rsid w:val="003E15D4"/>
    <w:rsid w:val="00411CCE"/>
    <w:rsid w:val="0041666E"/>
    <w:rsid w:val="00421060"/>
    <w:rsid w:val="00471C19"/>
    <w:rsid w:val="004867E3"/>
    <w:rsid w:val="00494A28"/>
    <w:rsid w:val="004C0004"/>
    <w:rsid w:val="004C25BD"/>
    <w:rsid w:val="004C5D52"/>
    <w:rsid w:val="0050519A"/>
    <w:rsid w:val="00506426"/>
    <w:rsid w:val="005072A1"/>
    <w:rsid w:val="00514517"/>
    <w:rsid w:val="00545827"/>
    <w:rsid w:val="00557FA8"/>
    <w:rsid w:val="00560270"/>
    <w:rsid w:val="005B137B"/>
    <w:rsid w:val="005C2568"/>
    <w:rsid w:val="005F1B17"/>
    <w:rsid w:val="006037C0"/>
    <w:rsid w:val="0063115E"/>
    <w:rsid w:val="006631B6"/>
    <w:rsid w:val="00680577"/>
    <w:rsid w:val="006F74FA"/>
    <w:rsid w:val="0072045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2340"/>
    <w:rsid w:val="00944E96"/>
    <w:rsid w:val="009509D8"/>
    <w:rsid w:val="00950B64"/>
    <w:rsid w:val="00981893"/>
    <w:rsid w:val="00A1687D"/>
    <w:rsid w:val="00A43E52"/>
    <w:rsid w:val="00A4678D"/>
    <w:rsid w:val="00A778C7"/>
    <w:rsid w:val="00A8321B"/>
    <w:rsid w:val="00A93093"/>
    <w:rsid w:val="00AA30AC"/>
    <w:rsid w:val="00AB441E"/>
    <w:rsid w:val="00AB6293"/>
    <w:rsid w:val="00AE030D"/>
    <w:rsid w:val="00AE0928"/>
    <w:rsid w:val="00AF3B82"/>
    <w:rsid w:val="00B12E95"/>
    <w:rsid w:val="00B22876"/>
    <w:rsid w:val="00B558F0"/>
    <w:rsid w:val="00BD48FE"/>
    <w:rsid w:val="00BD6814"/>
    <w:rsid w:val="00BD7BD8"/>
    <w:rsid w:val="00BE6ADC"/>
    <w:rsid w:val="00C05BFE"/>
    <w:rsid w:val="00C12207"/>
    <w:rsid w:val="00C23CD4"/>
    <w:rsid w:val="00C61C0C"/>
    <w:rsid w:val="00C941CB"/>
    <w:rsid w:val="00CC2357"/>
    <w:rsid w:val="00CF071A"/>
    <w:rsid w:val="00D058B8"/>
    <w:rsid w:val="00D37BD6"/>
    <w:rsid w:val="00D45CD7"/>
    <w:rsid w:val="00D56C11"/>
    <w:rsid w:val="00D834A0"/>
    <w:rsid w:val="00D87044"/>
    <w:rsid w:val="00D872DF"/>
    <w:rsid w:val="00D91E21"/>
    <w:rsid w:val="00DA7FCD"/>
    <w:rsid w:val="00DF33CA"/>
    <w:rsid w:val="00E10B71"/>
    <w:rsid w:val="00E14CAB"/>
    <w:rsid w:val="00E365E1"/>
    <w:rsid w:val="00E820A4"/>
    <w:rsid w:val="00EA4532"/>
    <w:rsid w:val="00EB006A"/>
    <w:rsid w:val="00EB4772"/>
    <w:rsid w:val="00ED169E"/>
    <w:rsid w:val="00ED4235"/>
    <w:rsid w:val="00F04346"/>
    <w:rsid w:val="00F075DC"/>
    <w:rsid w:val="00F149E9"/>
    <w:rsid w:val="00F41E13"/>
    <w:rsid w:val="00F5134D"/>
    <w:rsid w:val="00F74202"/>
    <w:rsid w:val="00F87713"/>
    <w:rsid w:val="00FB4360"/>
    <w:rsid w:val="00FD0C70"/>
    <w:rsid w:val="00FF62A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C8BE9"/>
  <w15:chartTrackingRefBased/>
  <w15:docId w15:val="{4724C8A4-9101-4EDE-88A0-D6209C703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4234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42340"/>
    <w:pPr>
      <w:keepNext/>
      <w:spacing w:after="480"/>
      <w:jc w:val="center"/>
    </w:pPr>
    <w:rPr>
      <w:rFonts w:ascii="Arial" w:hAnsi="Arial" w:cs="Arial"/>
      <w:b/>
    </w:rPr>
  </w:style>
  <w:style w:type="paragraph" w:customStyle="1" w:styleId="NormalHanging12a">
    <w:name w:val="NormalHanging12a"/>
    <w:basedOn w:val="Normal"/>
    <w:link w:val="NormalHanging12aChar"/>
    <w:rsid w:val="00942340"/>
    <w:pPr>
      <w:spacing w:after="240"/>
      <w:ind w:left="567" w:hanging="567"/>
    </w:pPr>
  </w:style>
  <w:style w:type="paragraph" w:styleId="Header">
    <w:name w:val="header"/>
    <w:basedOn w:val="Normal"/>
    <w:link w:val="HeaderChar"/>
    <w:rsid w:val="00942340"/>
    <w:pPr>
      <w:tabs>
        <w:tab w:val="center" w:pos="4513"/>
        <w:tab w:val="right" w:pos="9026"/>
      </w:tabs>
    </w:pPr>
  </w:style>
  <w:style w:type="character" w:customStyle="1" w:styleId="HeaderChar">
    <w:name w:val="Header Char"/>
    <w:basedOn w:val="DefaultParagraphFont"/>
    <w:link w:val="Header"/>
    <w:rsid w:val="00942340"/>
    <w:rPr>
      <w:sz w:val="24"/>
      <w:lang w:val="da-DK"/>
    </w:rPr>
  </w:style>
  <w:style w:type="paragraph" w:customStyle="1" w:styleId="NormalBold24a">
    <w:name w:val="NormalBold24a"/>
    <w:basedOn w:val="Normal"/>
    <w:rsid w:val="00942340"/>
    <w:pPr>
      <w:spacing w:after="480"/>
    </w:pPr>
    <w:rPr>
      <w:b/>
      <w:bCs/>
    </w:rPr>
  </w:style>
  <w:style w:type="paragraph" w:customStyle="1" w:styleId="EPFooter">
    <w:name w:val="EPFooter"/>
    <w:basedOn w:val="Normal"/>
    <w:rsid w:val="00942340"/>
    <w:pPr>
      <w:tabs>
        <w:tab w:val="center" w:pos="4535"/>
        <w:tab w:val="right" w:pos="9071"/>
      </w:tabs>
      <w:spacing w:before="240" w:after="240"/>
    </w:pPr>
    <w:rPr>
      <w:color w:val="010000"/>
      <w:sz w:val="22"/>
    </w:rPr>
  </w:style>
  <w:style w:type="paragraph" w:customStyle="1" w:styleId="EPComma">
    <w:name w:val="EPComma"/>
    <w:basedOn w:val="Normal"/>
    <w:rsid w:val="00942340"/>
    <w:pPr>
      <w:spacing w:before="480" w:after="240"/>
    </w:pPr>
  </w:style>
  <w:style w:type="character" w:styleId="Hyperlink">
    <w:name w:val="Hyperlink"/>
    <w:basedOn w:val="DefaultParagraphFont"/>
    <w:uiPriority w:val="99"/>
    <w:rsid w:val="00942340"/>
    <w:rPr>
      <w:color w:val="0563C1" w:themeColor="hyperlink"/>
      <w:u w:val="single"/>
    </w:rPr>
  </w:style>
  <w:style w:type="paragraph" w:styleId="NormalWeb">
    <w:name w:val="Normal (Web)"/>
    <w:basedOn w:val="Normal"/>
    <w:uiPriority w:val="99"/>
    <w:unhideWhenUsed/>
    <w:rsid w:val="00942340"/>
    <w:pPr>
      <w:widowControl/>
      <w:spacing w:before="100" w:beforeAutospacing="1" w:after="100" w:afterAutospacing="1"/>
    </w:pPr>
    <w:rPr>
      <w:szCs w:val="24"/>
    </w:rPr>
  </w:style>
  <w:style w:type="paragraph" w:customStyle="1" w:styleId="Institutionquisigne">
    <w:name w:val="Institution qui signe"/>
    <w:basedOn w:val="Normal"/>
    <w:next w:val="Normal"/>
    <w:rsid w:val="00942340"/>
    <w:pPr>
      <w:keepNext/>
      <w:widowControl/>
      <w:tabs>
        <w:tab w:val="left" w:pos="4252"/>
      </w:tabs>
      <w:spacing w:before="720"/>
      <w:jc w:val="both"/>
    </w:pPr>
    <w:rPr>
      <w:rFonts w:eastAsia="Calibri"/>
      <w:i/>
      <w:szCs w:val="22"/>
      <w:lang w:eastAsia="en-US"/>
    </w:rPr>
  </w:style>
  <w:style w:type="paragraph" w:customStyle="1" w:styleId="Fait">
    <w:name w:val="Fait à"/>
    <w:basedOn w:val="Normal"/>
    <w:next w:val="Institutionquisigne"/>
    <w:rsid w:val="0094234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4234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4234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42340"/>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942340"/>
    <w:pPr>
      <w:widowControl/>
      <w:tabs>
        <w:tab w:val="left" w:pos="4252"/>
      </w:tabs>
    </w:pPr>
    <w:rPr>
      <w:rFonts w:eastAsiaTheme="minorHAnsi"/>
      <w:i/>
      <w:szCs w:val="22"/>
      <w:lang w:eastAsia="en-US"/>
    </w:rPr>
  </w:style>
  <w:style w:type="paragraph" w:customStyle="1" w:styleId="Point0number">
    <w:name w:val="Point 0 (number)"/>
    <w:basedOn w:val="Normal"/>
    <w:rsid w:val="00942340"/>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942340"/>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942340"/>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942340"/>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942340"/>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942340"/>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942340"/>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942340"/>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942340"/>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942340"/>
    <w:pPr>
      <w:widowControl/>
      <w:numPr>
        <w:numId w:val="46"/>
      </w:numPr>
      <w:spacing w:before="12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942340"/>
    <w:rPr>
      <w:sz w:val="24"/>
      <w:lang w:val="da-DK"/>
    </w:rPr>
  </w:style>
  <w:style w:type="paragraph" w:styleId="BalloonText">
    <w:name w:val="Balloon Text"/>
    <w:basedOn w:val="Normal"/>
    <w:link w:val="BalloonTextChar"/>
    <w:rsid w:val="00506426"/>
    <w:rPr>
      <w:rFonts w:ascii="Segoe UI" w:hAnsi="Segoe UI" w:cs="Segoe UI"/>
      <w:sz w:val="18"/>
      <w:szCs w:val="18"/>
    </w:rPr>
  </w:style>
  <w:style w:type="character" w:customStyle="1" w:styleId="BalloonTextChar">
    <w:name w:val="Balloon Text Char"/>
    <w:basedOn w:val="DefaultParagraphFont"/>
    <w:link w:val="BalloonText"/>
    <w:rsid w:val="00506426"/>
    <w:rPr>
      <w:rFonts w:ascii="Segoe UI" w:hAnsi="Segoe UI" w:cs="Segoe UI"/>
      <w:sz w:val="18"/>
      <w:szCs w:val="18"/>
      <w:lang w:val="da-DK"/>
    </w:rPr>
  </w:style>
  <w:style w:type="character" w:styleId="CommentReference">
    <w:name w:val="annotation reference"/>
    <w:basedOn w:val="DefaultParagraphFont"/>
    <w:rsid w:val="00DF33CA"/>
    <w:rPr>
      <w:sz w:val="16"/>
      <w:szCs w:val="16"/>
    </w:rPr>
  </w:style>
  <w:style w:type="paragraph" w:styleId="CommentText">
    <w:name w:val="annotation text"/>
    <w:basedOn w:val="Normal"/>
    <w:link w:val="CommentTextChar"/>
    <w:rsid w:val="00DF33CA"/>
    <w:rPr>
      <w:sz w:val="20"/>
    </w:rPr>
  </w:style>
  <w:style w:type="character" w:customStyle="1" w:styleId="CommentTextChar">
    <w:name w:val="Comment Text Char"/>
    <w:basedOn w:val="DefaultParagraphFont"/>
    <w:link w:val="CommentText"/>
    <w:rsid w:val="00DF33CA"/>
    <w:rPr>
      <w:lang w:val="da-DK"/>
    </w:rPr>
  </w:style>
  <w:style w:type="paragraph" w:styleId="CommentSubject">
    <w:name w:val="annotation subject"/>
    <w:basedOn w:val="CommentText"/>
    <w:next w:val="CommentText"/>
    <w:link w:val="CommentSubjectChar"/>
    <w:rsid w:val="00DF33CA"/>
    <w:rPr>
      <w:b/>
      <w:bCs/>
    </w:rPr>
  </w:style>
  <w:style w:type="character" w:customStyle="1" w:styleId="CommentSubjectChar">
    <w:name w:val="Comment Subject Char"/>
    <w:basedOn w:val="CommentTextChar"/>
    <w:link w:val="CommentSubject"/>
    <w:rsid w:val="00DF33CA"/>
    <w:rPr>
      <w:b/>
      <w:bCs/>
      <w:lang w:val="da-DK"/>
    </w:rPr>
  </w:style>
  <w:style w:type="character" w:styleId="FollowedHyperlink">
    <w:name w:val="FollowedHyperlink"/>
    <w:basedOn w:val="DefaultParagraphFont"/>
    <w:rsid w:val="00DF33CA"/>
    <w:rPr>
      <w:color w:val="954F72" w:themeColor="followedHyperlink"/>
      <w:u w:val="single"/>
    </w:rPr>
  </w:style>
  <w:style w:type="paragraph" w:styleId="Footer">
    <w:name w:val="footer"/>
    <w:basedOn w:val="Normal"/>
    <w:link w:val="FooterChar"/>
    <w:rsid w:val="00D45CD7"/>
    <w:pPr>
      <w:tabs>
        <w:tab w:val="center" w:pos="4513"/>
        <w:tab w:val="right" w:pos="9026"/>
      </w:tabs>
    </w:pPr>
  </w:style>
  <w:style w:type="character" w:customStyle="1" w:styleId="FooterChar">
    <w:name w:val="Footer Char"/>
    <w:basedOn w:val="DefaultParagraphFont"/>
    <w:link w:val="Footer"/>
    <w:rsid w:val="00D45CD7"/>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eea.europa.eu/publications/european-climate-risk-assessment"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reg/2024/3236/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1/2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E6C76-D131-46C7-A3B4-FB08A37F4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1706</Words>
  <Characters>10720</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SEMEDO Teresa</cp:lastModifiedBy>
  <cp:revision>3</cp:revision>
  <cp:lastPrinted>2004-11-19T15:42:00Z</cp:lastPrinted>
  <dcterms:created xsi:type="dcterms:W3CDTF">2025-10-21T14:30:00Z</dcterms:created>
  <dcterms:modified xsi:type="dcterms:W3CDTF">2026-02-16T14:27:00Z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P10_TA(2025)0152_</vt:lpwstr>
  </property>
  <property fmtid="{D5CDD505-2E9C-101B-9397-08002B2CF9AE}" pid="4" name="&lt;Type&gt;">
    <vt:lpwstr>RR</vt:lpwstr>
  </property>
</Properties>
</file>