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12E25" w14:paraId="742897FA" w14:textId="77777777" w:rsidTr="0010095E">
        <w:trPr>
          <w:trHeight w:hRule="exact" w:val="1418"/>
        </w:trPr>
        <w:tc>
          <w:tcPr>
            <w:tcW w:w="6804" w:type="dxa"/>
            <w:shd w:val="clear" w:color="auto" w:fill="auto"/>
            <w:vAlign w:val="center"/>
          </w:tcPr>
          <w:p w14:paraId="7B74E6AE" w14:textId="77777777" w:rsidR="00751A4A" w:rsidRPr="00212E25" w:rsidRDefault="00C9482D" w:rsidP="0010095E">
            <w:pPr>
              <w:pStyle w:val="EPName"/>
            </w:pPr>
            <w:r w:rsidRPr="00212E25">
              <w:t>European Parliament</w:t>
            </w:r>
          </w:p>
          <w:p w14:paraId="4EC28983" w14:textId="77777777" w:rsidR="00751A4A" w:rsidRPr="00212E25" w:rsidRDefault="005F1B17" w:rsidP="005F1B17">
            <w:pPr>
              <w:pStyle w:val="EPTerm"/>
              <w:rPr>
                <w:rStyle w:val="HideTWBExt"/>
                <w:noProof w:val="0"/>
                <w:vanish w:val="0"/>
                <w:color w:val="auto"/>
              </w:rPr>
            </w:pPr>
            <w:r w:rsidRPr="00212E25">
              <w:t>2024</w:t>
            </w:r>
            <w:r w:rsidR="00817416" w:rsidRPr="00212E25">
              <w:t>-202</w:t>
            </w:r>
            <w:r w:rsidRPr="00212E25">
              <w:t>9</w:t>
            </w:r>
          </w:p>
        </w:tc>
        <w:tc>
          <w:tcPr>
            <w:tcW w:w="2268" w:type="dxa"/>
            <w:shd w:val="clear" w:color="auto" w:fill="auto"/>
          </w:tcPr>
          <w:p w14:paraId="18223A70" w14:textId="77777777" w:rsidR="00751A4A" w:rsidRPr="00212E25" w:rsidRDefault="00187494" w:rsidP="0010095E">
            <w:pPr>
              <w:pStyle w:val="EPLogo"/>
            </w:pPr>
            <w:r w:rsidRPr="00212E25">
              <w:rPr>
                <w:noProof/>
              </w:rPr>
              <w:drawing>
                <wp:inline distT="0" distB="0" distL="0" distR="0" wp14:anchorId="0990FE16" wp14:editId="1A7057F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45B41FD" w14:textId="77777777" w:rsidR="00D058B8" w:rsidRPr="00212E25" w:rsidRDefault="00D058B8" w:rsidP="004C5D52">
      <w:pPr>
        <w:pStyle w:val="LineTop"/>
      </w:pPr>
    </w:p>
    <w:p w14:paraId="4BFF5D9A" w14:textId="77777777" w:rsidR="00680577" w:rsidRPr="00212E25" w:rsidRDefault="00C9482D" w:rsidP="00680577">
      <w:pPr>
        <w:pStyle w:val="EPBodyTA1"/>
      </w:pPr>
      <w:r w:rsidRPr="00212E25">
        <w:t>TEXTS ADOPTED</w:t>
      </w:r>
    </w:p>
    <w:p w14:paraId="1EB6BCDB" w14:textId="77777777" w:rsidR="00D058B8" w:rsidRPr="00212E25" w:rsidRDefault="00D058B8" w:rsidP="00D058B8">
      <w:pPr>
        <w:pStyle w:val="LineBottom"/>
      </w:pPr>
    </w:p>
    <w:p w14:paraId="6377E437" w14:textId="703202C4" w:rsidR="00C9482D" w:rsidRPr="00212E25" w:rsidRDefault="00C9482D" w:rsidP="00C9482D">
      <w:pPr>
        <w:pStyle w:val="ATHeading1"/>
      </w:pPr>
      <w:bookmarkStart w:id="0" w:name="TANumber"/>
      <w:r w:rsidRPr="00212E25">
        <w:t>P10_</w:t>
      </w:r>
      <w:proofErr w:type="gramStart"/>
      <w:r w:rsidRPr="00212E25">
        <w:t>TA(</w:t>
      </w:r>
      <w:proofErr w:type="gramEnd"/>
      <w:r w:rsidRPr="00212E25">
        <w:t>2025)0</w:t>
      </w:r>
      <w:bookmarkEnd w:id="0"/>
      <w:r w:rsidR="00A04697" w:rsidRPr="00212E25">
        <w:t>152</w:t>
      </w:r>
    </w:p>
    <w:p w14:paraId="097AF6D6" w14:textId="77777777" w:rsidR="00C9482D" w:rsidRPr="00212E25" w:rsidRDefault="00C9482D" w:rsidP="00C9482D">
      <w:pPr>
        <w:pStyle w:val="ATHeading2"/>
      </w:pPr>
      <w:bookmarkStart w:id="1" w:name="title"/>
      <w:r w:rsidRPr="00212E25">
        <w:t>Mobilisation of the European Union Solidarity Fund: assistance to Austria, Poland, Czechia, Slovakia and Moldova relating to floods that occurred in September 2024 and Bosnia and Herzegovina relating to floods that occurred in October 2024</w:t>
      </w:r>
      <w:bookmarkEnd w:id="1"/>
    </w:p>
    <w:p w14:paraId="4D5C35F3" w14:textId="77777777" w:rsidR="00C9482D" w:rsidRPr="00212E25" w:rsidRDefault="00C9482D" w:rsidP="00C9482D">
      <w:pPr>
        <w:rPr>
          <w:i/>
          <w:vanish/>
        </w:rPr>
      </w:pPr>
      <w:r w:rsidRPr="00212E25">
        <w:rPr>
          <w:i/>
        </w:rPr>
        <w:fldChar w:fldCharType="begin"/>
      </w:r>
      <w:r w:rsidRPr="00212E25">
        <w:rPr>
          <w:i/>
        </w:rPr>
        <w:instrText xml:space="preserve"> TC"(</w:instrText>
      </w:r>
      <w:bookmarkStart w:id="2" w:name="DocNumber"/>
      <w:r w:rsidRPr="00212E25">
        <w:rPr>
          <w:i/>
        </w:rPr>
        <w:instrText>A10-0114/2025</w:instrText>
      </w:r>
      <w:bookmarkEnd w:id="2"/>
      <w:r w:rsidRPr="00212E25">
        <w:rPr>
          <w:i/>
        </w:rPr>
        <w:instrText xml:space="preserve"> - Rapporteur: Andrzej </w:instrText>
      </w:r>
      <w:proofErr w:type="spellStart"/>
      <w:r w:rsidRPr="00212E25">
        <w:rPr>
          <w:i/>
        </w:rPr>
        <w:instrText>Halicki</w:instrText>
      </w:r>
      <w:proofErr w:type="spellEnd"/>
      <w:r w:rsidRPr="00212E25">
        <w:rPr>
          <w:i/>
        </w:rPr>
        <w:instrText xml:space="preserve">)"\l3 \n&gt; \* MERGEFORMAT </w:instrText>
      </w:r>
      <w:r w:rsidRPr="00212E25">
        <w:rPr>
          <w:i/>
        </w:rPr>
        <w:fldChar w:fldCharType="end"/>
      </w:r>
    </w:p>
    <w:p w14:paraId="658E8CAF" w14:textId="77777777" w:rsidR="00C9482D" w:rsidRPr="00212E25" w:rsidRDefault="00C9482D" w:rsidP="00C9482D">
      <w:pPr>
        <w:rPr>
          <w:vanish/>
        </w:rPr>
      </w:pPr>
      <w:bookmarkStart w:id="3" w:name="Commission"/>
      <w:r w:rsidRPr="00212E25">
        <w:rPr>
          <w:vanish/>
        </w:rPr>
        <w:t>Committee on Budgets</w:t>
      </w:r>
      <w:bookmarkEnd w:id="3"/>
    </w:p>
    <w:p w14:paraId="28B7F483" w14:textId="77777777" w:rsidR="00C9482D" w:rsidRPr="00212E25" w:rsidRDefault="00C9482D" w:rsidP="00C9482D">
      <w:pPr>
        <w:rPr>
          <w:vanish/>
        </w:rPr>
      </w:pPr>
      <w:bookmarkStart w:id="4" w:name="PE"/>
      <w:r w:rsidRPr="00212E25">
        <w:rPr>
          <w:vanish/>
        </w:rPr>
        <w:t>PE774.284</w:t>
      </w:r>
      <w:bookmarkEnd w:id="4"/>
    </w:p>
    <w:p w14:paraId="342BFE63" w14:textId="77777777" w:rsidR="00C9482D" w:rsidRPr="00212E25" w:rsidRDefault="00BB0FC5" w:rsidP="00C9482D">
      <w:pPr>
        <w:pStyle w:val="ATHeading3"/>
      </w:pPr>
      <w:bookmarkStart w:id="5" w:name="Sujet"/>
      <w:r w:rsidRPr="00212E25">
        <w:t>European Parliament resolution</w:t>
      </w:r>
      <w:r w:rsidR="00C9482D" w:rsidRPr="00212E25">
        <w:t xml:space="preserve"> of 9 July 2025 on the proposal for a decision of the European Parliament and of the Council on the mobilisation of the European Union Solidarity Fund to provide assistance to Austria, Poland, Czechia, Slovakia and Moldova relating to floods occurred in September 2024 and Bosnia and Herzegovina relating to floods occurred in October 2024</w:t>
      </w:r>
      <w:bookmarkEnd w:id="5"/>
      <w:r w:rsidR="00C9482D" w:rsidRPr="00212E25">
        <w:t xml:space="preserve"> </w:t>
      </w:r>
      <w:bookmarkStart w:id="6" w:name="References"/>
      <w:r w:rsidR="00C9482D" w:rsidRPr="00212E25">
        <w:t>(</w:t>
      </w:r>
      <w:proofErr w:type="gramStart"/>
      <w:r w:rsidR="00C9482D" w:rsidRPr="00212E25">
        <w:t>COM(</w:t>
      </w:r>
      <w:proofErr w:type="gramEnd"/>
      <w:r w:rsidR="00C9482D" w:rsidRPr="00212E25">
        <w:t>2025)0250 – C10-0102/2025 – 2025/0138(BUD))</w:t>
      </w:r>
      <w:bookmarkEnd w:id="6"/>
    </w:p>
    <w:p w14:paraId="16CAE9AB" w14:textId="77777777" w:rsidR="004D3887" w:rsidRPr="00212E25" w:rsidRDefault="004D3887" w:rsidP="004D3887">
      <w:pPr>
        <w:pStyle w:val="EPComma"/>
        <w:rPr>
          <w:noProof/>
        </w:rPr>
      </w:pPr>
      <w:r w:rsidRPr="00212E25">
        <w:rPr>
          <w:i/>
          <w:noProof/>
        </w:rPr>
        <w:t>The European Parliament</w:t>
      </w:r>
      <w:r w:rsidRPr="00212E25">
        <w:rPr>
          <w:noProof/>
        </w:rPr>
        <w:t>,</w:t>
      </w:r>
    </w:p>
    <w:p w14:paraId="01730676" w14:textId="77777777" w:rsidR="004D3887" w:rsidRPr="00212E25" w:rsidRDefault="004D3887" w:rsidP="00045B22">
      <w:pPr>
        <w:pStyle w:val="NormalHanging12a"/>
        <w:widowControl/>
        <w:rPr>
          <w:noProof/>
        </w:rPr>
      </w:pPr>
      <w:r w:rsidRPr="00212E25">
        <w:rPr>
          <w:noProof/>
        </w:rPr>
        <w:t>–</w:t>
      </w:r>
      <w:r w:rsidRPr="00212E25">
        <w:rPr>
          <w:noProof/>
        </w:rPr>
        <w:tab/>
        <w:t>having regard to the Commission proposal to the European Parliament and the Council (</w:t>
      </w:r>
      <w:proofErr w:type="gramStart"/>
      <w:r w:rsidRPr="00212E25">
        <w:rPr>
          <w:noProof/>
        </w:rPr>
        <w:t>COM</w:t>
      </w:r>
      <w:r w:rsidRPr="00212E25">
        <w:t>(</w:t>
      </w:r>
      <w:proofErr w:type="gramEnd"/>
      <w:r w:rsidRPr="00212E25">
        <w:t>2025)0250</w:t>
      </w:r>
      <w:r w:rsidRPr="00212E25">
        <w:rPr>
          <w:noProof/>
        </w:rPr>
        <w:t xml:space="preserve"> </w:t>
      </w:r>
      <w:r w:rsidRPr="00212E25">
        <w:t>–</w:t>
      </w:r>
      <w:r w:rsidRPr="00212E25">
        <w:rPr>
          <w:noProof/>
        </w:rPr>
        <w:t xml:space="preserve"> </w:t>
      </w:r>
      <w:r w:rsidRPr="00212E25">
        <w:t>C10</w:t>
      </w:r>
      <w:r w:rsidRPr="00212E25">
        <w:noBreakHyphen/>
        <w:t>0102/2025</w:t>
      </w:r>
      <w:r w:rsidRPr="00212E25">
        <w:rPr>
          <w:noProof/>
        </w:rPr>
        <w:t>),</w:t>
      </w:r>
    </w:p>
    <w:p w14:paraId="34CB9F54" w14:textId="77777777" w:rsidR="004D3887" w:rsidRPr="00212E25" w:rsidRDefault="004D3887" w:rsidP="00045B22">
      <w:pPr>
        <w:pStyle w:val="NormalHanging12a"/>
        <w:widowControl/>
        <w:rPr>
          <w:noProof/>
        </w:rPr>
      </w:pPr>
      <w:r w:rsidRPr="00212E25">
        <w:rPr>
          <w:noProof/>
        </w:rPr>
        <w:t>–</w:t>
      </w:r>
      <w:r w:rsidRPr="00212E25">
        <w:rPr>
          <w:noProof/>
        </w:rPr>
        <w:tab/>
      </w:r>
      <w:r w:rsidRPr="00212E25">
        <w:t>having regard to Council Regulation (EC) No 2012/2002 of 11 November 2002 establishing the European Union Solidarity Fund</w:t>
      </w:r>
      <w:r w:rsidRPr="00212E25">
        <w:rPr>
          <w:rStyle w:val="FootnoteReference"/>
        </w:rPr>
        <w:footnoteReference w:id="1"/>
      </w:r>
      <w:r w:rsidRPr="00212E25">
        <w:t>,</w:t>
      </w:r>
    </w:p>
    <w:p w14:paraId="02AC37C8" w14:textId="77777777" w:rsidR="004D3887" w:rsidRPr="00212E25" w:rsidRDefault="004D3887" w:rsidP="00045B22">
      <w:pPr>
        <w:pStyle w:val="NormalHanging12a"/>
        <w:widowControl/>
        <w:rPr>
          <w:noProof/>
        </w:rPr>
      </w:pPr>
      <w:r w:rsidRPr="00212E25">
        <w:rPr>
          <w:noProof/>
        </w:rPr>
        <w:t>–</w:t>
      </w:r>
      <w:r w:rsidRPr="00212E25">
        <w:rPr>
          <w:noProof/>
        </w:rPr>
        <w:tab/>
        <w:t>having regard to Council Regulation (EU, Euratom) 2020/2093 of 17 December 2020 laying down the multiannual financial framework for the years 2021 to 2027</w:t>
      </w:r>
      <w:r w:rsidRPr="00212E25">
        <w:rPr>
          <w:rStyle w:val="FootnoteReference"/>
          <w:noProof/>
        </w:rPr>
        <w:footnoteReference w:id="2"/>
      </w:r>
      <w:r w:rsidRPr="00212E25">
        <w:rPr>
          <w:noProof/>
        </w:rPr>
        <w:t xml:space="preserve">, and in particular Article </w:t>
      </w:r>
      <w:r w:rsidRPr="00212E25">
        <w:t>9</w:t>
      </w:r>
      <w:r w:rsidRPr="00212E25">
        <w:rPr>
          <w:noProof/>
        </w:rPr>
        <w:t xml:space="preserve"> thereof,</w:t>
      </w:r>
    </w:p>
    <w:p w14:paraId="23E49F9B" w14:textId="77777777" w:rsidR="004D3887" w:rsidRPr="00212E25" w:rsidRDefault="004D3887" w:rsidP="00045B22">
      <w:pPr>
        <w:pStyle w:val="NormalHanging12a"/>
        <w:widowControl/>
        <w:rPr>
          <w:noProof/>
        </w:rPr>
      </w:pPr>
      <w:r w:rsidRPr="00212E25">
        <w:rPr>
          <w:noProof/>
        </w:rPr>
        <w:t>–</w:t>
      </w:r>
      <w:r w:rsidRPr="00212E25">
        <w:rPr>
          <w:noProof/>
        </w:rPr>
        <w:tab/>
        <w:t>having regard to the Interinstitutional Agreement of 16 December 2020 between the European Parliament, the Council and the Commission on budgetary discipline, on cooperation in budgetary matters and on sound financial management, as well as on new own resources, including a roadmap towards the introduction of new own resources</w:t>
      </w:r>
      <w:r w:rsidRPr="00212E25">
        <w:rPr>
          <w:rStyle w:val="FootnoteReference"/>
          <w:noProof/>
        </w:rPr>
        <w:footnoteReference w:id="3"/>
      </w:r>
      <w:r w:rsidRPr="00212E25">
        <w:rPr>
          <w:noProof/>
        </w:rPr>
        <w:t xml:space="preserve">, and in particular point </w:t>
      </w:r>
      <w:r w:rsidRPr="00212E25">
        <w:t>10</w:t>
      </w:r>
      <w:r w:rsidRPr="00212E25">
        <w:rPr>
          <w:noProof/>
        </w:rPr>
        <w:t xml:space="preserve"> thereof,</w:t>
      </w:r>
    </w:p>
    <w:p w14:paraId="14CBB207" w14:textId="77777777" w:rsidR="004D3887" w:rsidRPr="00212E25" w:rsidRDefault="004D3887" w:rsidP="00045B22">
      <w:pPr>
        <w:pStyle w:val="NormalHanging12a"/>
        <w:widowControl/>
      </w:pPr>
      <w:r w:rsidRPr="00212E25">
        <w:rPr>
          <w:noProof/>
        </w:rPr>
        <w:lastRenderedPageBreak/>
        <w:t>–</w:t>
      </w:r>
      <w:r w:rsidRPr="00212E25">
        <w:rPr>
          <w:noProof/>
        </w:rPr>
        <w:tab/>
      </w:r>
      <w:r w:rsidRPr="00212E25">
        <w:t>having regard to Regulation (EU) 2021/1058 of the European Parliament and of the Council of 24 June 2021 on the European Regional Development Fund and on the Cohesion Fund</w:t>
      </w:r>
      <w:r w:rsidRPr="00212E25">
        <w:rPr>
          <w:rStyle w:val="FootnoteReference"/>
        </w:rPr>
        <w:footnoteReference w:id="4"/>
      </w:r>
      <w:r w:rsidRPr="00212E25">
        <w:t xml:space="preserve">, </w:t>
      </w:r>
    </w:p>
    <w:p w14:paraId="6579658F" w14:textId="77777777" w:rsidR="004D3887" w:rsidRPr="00212E25" w:rsidRDefault="004D3887" w:rsidP="00045B22">
      <w:pPr>
        <w:pStyle w:val="NormalHanging12a"/>
        <w:widowControl/>
      </w:pPr>
      <w:r w:rsidRPr="00212E25">
        <w:rPr>
          <w:noProof/>
        </w:rPr>
        <w:t>–</w:t>
      </w:r>
      <w:r w:rsidRPr="00212E25">
        <w:rPr>
          <w:noProof/>
        </w:rPr>
        <w:tab/>
      </w:r>
      <w:r w:rsidRPr="00212E25">
        <w:t>having regard to Regulation (EU) 2021/1057 of the European Parliament and of the Council of 24 June 2021 establishing the European Social Fund Plus (ESF+)</w:t>
      </w:r>
      <w:r w:rsidRPr="00212E25">
        <w:rPr>
          <w:rStyle w:val="FootnoteReference"/>
        </w:rPr>
        <w:footnoteReference w:id="5"/>
      </w:r>
      <w:r w:rsidRPr="00212E25">
        <w:t xml:space="preserve">, </w:t>
      </w:r>
    </w:p>
    <w:p w14:paraId="7D3A0B2E" w14:textId="77777777" w:rsidR="004D3887" w:rsidRPr="00212E25" w:rsidRDefault="004D3887" w:rsidP="00045B22">
      <w:pPr>
        <w:pStyle w:val="NormalHanging12a"/>
        <w:widowControl/>
        <w:rPr>
          <w:noProof/>
        </w:rPr>
      </w:pPr>
      <w:r w:rsidRPr="00212E25">
        <w:rPr>
          <w:noProof/>
        </w:rPr>
        <w:t>–</w:t>
      </w:r>
      <w:r w:rsidRPr="00212E25">
        <w:rPr>
          <w:noProof/>
        </w:rPr>
        <w:tab/>
        <w:t>having regard to 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r w:rsidRPr="00212E25">
        <w:rPr>
          <w:rStyle w:val="FootnoteReference"/>
          <w:noProof/>
        </w:rPr>
        <w:footnoteReference w:id="6"/>
      </w:r>
      <w:r w:rsidRPr="00212E25">
        <w:rPr>
          <w:noProof/>
        </w:rPr>
        <w:t xml:space="preserve">, </w:t>
      </w:r>
    </w:p>
    <w:p w14:paraId="36CBDF58" w14:textId="77777777" w:rsidR="004D3887" w:rsidRPr="00212E25" w:rsidRDefault="004D3887" w:rsidP="00045B22">
      <w:pPr>
        <w:pStyle w:val="NormalWeb"/>
        <w:shd w:val="clear" w:color="auto" w:fill="FFFFFF"/>
        <w:spacing w:before="0" w:beforeAutospacing="0" w:after="240" w:afterAutospacing="0"/>
        <w:ind w:left="567" w:hanging="567"/>
      </w:pPr>
      <w:r w:rsidRPr="00212E25">
        <w:rPr>
          <w:noProof/>
        </w:rPr>
        <w:t>–</w:t>
      </w:r>
      <w:r w:rsidRPr="00212E25">
        <w:rPr>
          <w:noProof/>
        </w:rPr>
        <w:tab/>
      </w:r>
      <w:r w:rsidRPr="00212E25">
        <w:t>having regard to its resolution of 27 February 2024 on the draft Council regulation amending Regulation (EU, Euratom) 2020/2093 laying down the multiannual financial framework for the years 2021 to 2027</w:t>
      </w:r>
      <w:r w:rsidRPr="00212E25">
        <w:rPr>
          <w:rStyle w:val="FootnoteReference"/>
        </w:rPr>
        <w:footnoteReference w:id="7"/>
      </w:r>
      <w:r w:rsidRPr="00212E25">
        <w:t>,</w:t>
      </w:r>
    </w:p>
    <w:p w14:paraId="464401B8" w14:textId="2573DEE9" w:rsidR="004D3887" w:rsidRPr="00212E25" w:rsidRDefault="004D3887" w:rsidP="00045B22">
      <w:pPr>
        <w:pStyle w:val="NormalWeb"/>
        <w:shd w:val="clear" w:color="auto" w:fill="FFFFFF"/>
        <w:spacing w:before="0" w:beforeAutospacing="0" w:after="240" w:afterAutospacing="0"/>
        <w:ind w:left="567" w:hanging="567"/>
      </w:pPr>
      <w:r w:rsidRPr="00212E25">
        <w:t>–</w:t>
      </w:r>
      <w:r w:rsidRPr="00212E25">
        <w:rPr>
          <w:b/>
          <w:i/>
        </w:rPr>
        <w:tab/>
      </w:r>
      <w:r w:rsidR="00F9473B" w:rsidRPr="00212E25">
        <w:t xml:space="preserve">having regard to the report by </w:t>
      </w:r>
      <w:r w:rsidR="00315F40" w:rsidRPr="00212E25">
        <w:t>the</w:t>
      </w:r>
      <w:r w:rsidR="00F9473B" w:rsidRPr="00212E25">
        <w:t xml:space="preserve"> Committee on Employment and Social Affairs and the Committee on Regional Development </w:t>
      </w:r>
      <w:r w:rsidR="00F9473B" w:rsidRPr="00212E25">
        <w:rPr>
          <w:lang w:val="hr-HR"/>
        </w:rPr>
        <w:t>(</w:t>
      </w:r>
      <w:r w:rsidR="00F9473B" w:rsidRPr="00212E25">
        <w:t>A10-0031/2024) in the framework of the legislative procedure to adopt Regulation (EU) 2024/3236 of the European Parliament and of the Council of 19 December 2024 amending Regulations (EU) 2021/1057 and (EU) 2021/1058 as regards Regional Emergency Support to Reconstruction (RESTORE)</w:t>
      </w:r>
      <w:r w:rsidR="00F9473B" w:rsidRPr="00212E25">
        <w:rPr>
          <w:rStyle w:val="FootnoteReference"/>
        </w:rPr>
        <w:footnoteReference w:id="8"/>
      </w:r>
      <w:r w:rsidR="00F9473B" w:rsidRPr="00212E25">
        <w:t xml:space="preserve">, and in particular the budgetary assessment by </w:t>
      </w:r>
      <w:r w:rsidR="00315F40" w:rsidRPr="00212E25">
        <w:t>the</w:t>
      </w:r>
      <w:r w:rsidR="00F9473B" w:rsidRPr="00212E25">
        <w:t xml:space="preserve"> Committee on Budgets attached to that report,</w:t>
      </w:r>
      <w:r w:rsidRPr="00212E25">
        <w:t>,</w:t>
      </w:r>
    </w:p>
    <w:p w14:paraId="3A02C603" w14:textId="220D26CC" w:rsidR="004D3887" w:rsidRPr="00212E25" w:rsidRDefault="004D3887" w:rsidP="00045B22">
      <w:pPr>
        <w:pStyle w:val="NormalWeb"/>
        <w:shd w:val="clear" w:color="auto" w:fill="FFFFFF"/>
        <w:spacing w:before="0" w:beforeAutospacing="0" w:after="240" w:afterAutospacing="0"/>
        <w:ind w:left="567" w:hanging="567"/>
      </w:pPr>
      <w:r w:rsidRPr="00212E25">
        <w:t>–</w:t>
      </w:r>
      <w:r w:rsidRPr="00212E25">
        <w:tab/>
        <w:t xml:space="preserve">having regard to the </w:t>
      </w:r>
      <w:r w:rsidR="009B6DB2" w:rsidRPr="00212E25">
        <w:t xml:space="preserve">European Environment Agency </w:t>
      </w:r>
      <w:r w:rsidRPr="00212E25">
        <w:t>Report No 1/2024 - European Climate Risk Assessment (EUCRA)</w:t>
      </w:r>
      <w:r w:rsidRPr="00212E25">
        <w:rPr>
          <w:rStyle w:val="FootnoteReference"/>
        </w:rPr>
        <w:footnoteReference w:id="9"/>
      </w:r>
      <w:r w:rsidRPr="00212E25">
        <w:t>,</w:t>
      </w:r>
    </w:p>
    <w:p w14:paraId="17733696" w14:textId="77777777" w:rsidR="004D3887" w:rsidRPr="00212E25" w:rsidRDefault="004D3887" w:rsidP="00045B22">
      <w:pPr>
        <w:pStyle w:val="NormalHanging12a"/>
        <w:widowControl/>
      </w:pPr>
      <w:r w:rsidRPr="00212E25">
        <w:t>–</w:t>
      </w:r>
      <w:r w:rsidRPr="00212E25">
        <w:tab/>
        <w:t>having regard to the report of the Committee on Budgets (A10-0114/2025),</w:t>
      </w:r>
    </w:p>
    <w:p w14:paraId="3A01D5A2" w14:textId="77777777" w:rsidR="004D3887" w:rsidRPr="00212E25" w:rsidRDefault="004D3887" w:rsidP="00045B22">
      <w:pPr>
        <w:pStyle w:val="NormalWeb"/>
        <w:shd w:val="clear" w:color="auto" w:fill="FFFFFF"/>
        <w:spacing w:before="0" w:beforeAutospacing="0" w:after="240" w:afterAutospacing="0"/>
        <w:ind w:left="567" w:hanging="567"/>
      </w:pPr>
      <w:r w:rsidRPr="00212E25">
        <w:rPr>
          <w:noProof/>
        </w:rPr>
        <w:t>A.</w:t>
      </w:r>
      <w:r w:rsidRPr="00212E25">
        <w:rPr>
          <w:noProof/>
        </w:rPr>
        <w:tab/>
      </w:r>
      <w:r w:rsidRPr="00212E25">
        <w:t xml:space="preserve">whereas in September 2024, exceptionally high levels of rainfall occurred in Austria causing severe flooding resulting in total direct damages estimated by the Austrian authorities at EUR 1 711,6 million; </w:t>
      </w:r>
    </w:p>
    <w:p w14:paraId="736D8A14" w14:textId="77777777" w:rsidR="004D3887" w:rsidRPr="00212E25" w:rsidRDefault="004D3887" w:rsidP="00045B22">
      <w:pPr>
        <w:pStyle w:val="NormalWeb"/>
        <w:shd w:val="clear" w:color="auto" w:fill="FFFFFF"/>
        <w:spacing w:before="0" w:beforeAutospacing="0" w:after="240" w:afterAutospacing="0"/>
        <w:ind w:left="567" w:hanging="567"/>
      </w:pPr>
      <w:r w:rsidRPr="00212E25">
        <w:t>B.</w:t>
      </w:r>
      <w:r w:rsidRPr="00212E25">
        <w:tab/>
        <w:t>whereas in September 2024, heavy rain occurred in south-western Poland which led to the flooding of several rivers resulting in total direct damages estimated by the Polish authorities at EUR 3,04 billion;</w:t>
      </w:r>
    </w:p>
    <w:p w14:paraId="4C57267D" w14:textId="77777777" w:rsidR="004D3887" w:rsidRPr="00212E25" w:rsidRDefault="004D3887" w:rsidP="00045B22">
      <w:pPr>
        <w:pStyle w:val="NormalWeb"/>
        <w:shd w:val="clear" w:color="auto" w:fill="FFFFFF"/>
        <w:spacing w:before="0" w:beforeAutospacing="0" w:after="240" w:afterAutospacing="0"/>
        <w:ind w:left="567" w:hanging="567"/>
      </w:pPr>
      <w:r w:rsidRPr="00212E25">
        <w:t>C.</w:t>
      </w:r>
      <w:r w:rsidRPr="00212E25">
        <w:tab/>
        <w:t>whereas in September 2024, very strong winds and heavy rain struck entire Czechia which led to flooding resulting in total direct damages estimated by the Czech authorities at EUR 2,82 billion;</w:t>
      </w:r>
    </w:p>
    <w:p w14:paraId="466C61C0" w14:textId="77777777" w:rsidR="004D3887" w:rsidRPr="00212E25" w:rsidRDefault="004D3887" w:rsidP="00045B22">
      <w:pPr>
        <w:pStyle w:val="NormalWeb"/>
        <w:shd w:val="clear" w:color="auto" w:fill="FFFFFF"/>
        <w:spacing w:before="0" w:beforeAutospacing="0" w:after="240" w:afterAutospacing="0"/>
        <w:ind w:left="567" w:hanging="567"/>
      </w:pPr>
      <w:r w:rsidRPr="00212E25">
        <w:t>D.</w:t>
      </w:r>
      <w:r w:rsidRPr="00212E25">
        <w:tab/>
        <w:t xml:space="preserve">whereas as of 15 September 2024, Slovakia experienced substantial flooding, particularly in Bratislava and the surrounding regions which led to the levels of the </w:t>
      </w:r>
      <w:r w:rsidRPr="00212E25">
        <w:lastRenderedPageBreak/>
        <w:t>Danube and Morava rivers significantly rising resulting in total direct damages estimated by the Slovakian authorities at EUR 84,3 million;</w:t>
      </w:r>
    </w:p>
    <w:p w14:paraId="46EEE282" w14:textId="77777777" w:rsidR="004D3887" w:rsidRPr="00212E25" w:rsidRDefault="004D3887" w:rsidP="00045B22">
      <w:pPr>
        <w:pStyle w:val="NormalWeb"/>
        <w:shd w:val="clear" w:color="auto" w:fill="FFFFFF"/>
        <w:spacing w:before="0" w:beforeAutospacing="0" w:after="240" w:afterAutospacing="0"/>
        <w:ind w:left="567" w:hanging="567"/>
      </w:pPr>
      <w:r w:rsidRPr="00212E25">
        <w:t>E.</w:t>
      </w:r>
      <w:r w:rsidRPr="00212E25">
        <w:tab/>
        <w:t>whereas in September 2024, torrential rain and the resulting floods hit several districts of Moldova resulting in total direct damages estimated by the Moldovan authorities at EUR 7,8 million;</w:t>
      </w:r>
    </w:p>
    <w:p w14:paraId="5574744F" w14:textId="77777777" w:rsidR="004D3887" w:rsidRPr="00212E25" w:rsidRDefault="004D3887" w:rsidP="00045B22">
      <w:pPr>
        <w:pStyle w:val="NormalWeb"/>
        <w:shd w:val="clear" w:color="auto" w:fill="FFFFFF"/>
        <w:spacing w:before="0" w:beforeAutospacing="0" w:after="240" w:afterAutospacing="0"/>
        <w:ind w:left="567" w:hanging="567"/>
      </w:pPr>
      <w:r w:rsidRPr="00212E25">
        <w:t>F.</w:t>
      </w:r>
      <w:r w:rsidRPr="00212E25">
        <w:tab/>
        <w:t>whereas in October 2024, Bosnia and Herzegovina was hit by heavy rainfall which caused catastrophic flash floods, landslides and flooding in several parts of the country resulting in total direct damages estimated by the authorities at EUR 841,85 million;</w:t>
      </w:r>
    </w:p>
    <w:p w14:paraId="6F9EE7CB" w14:textId="53B890D1" w:rsidR="004D3887" w:rsidRPr="00212E25" w:rsidRDefault="004D3887" w:rsidP="00045B22">
      <w:pPr>
        <w:pStyle w:val="NormalHanging12a"/>
        <w:widowControl/>
      </w:pPr>
      <w:r w:rsidRPr="00212E25">
        <w:t>G.</w:t>
      </w:r>
      <w:r w:rsidRPr="00212E25">
        <w:tab/>
        <w:t>whereas above mentioned occurrences caused by severe natural disasters are a result of global climate change; whereas the European State of the Climate 2024 confirms that 2024 was the warmest year ever</w:t>
      </w:r>
      <w:r w:rsidR="007A3ADA" w:rsidRPr="00212E25">
        <w:t xml:space="preserve"> recorded in Europe and that 30 </w:t>
      </w:r>
      <w:r w:rsidRPr="00212E25">
        <w:t xml:space="preserve">% of the continent’s river network exceeded the </w:t>
      </w:r>
      <w:r w:rsidR="007A3ADA" w:rsidRPr="00212E25">
        <w:t>“high” flood threshold while 12 </w:t>
      </w:r>
      <w:r w:rsidRPr="00212E25">
        <w:t xml:space="preserve">% exceeded the “severe” </w:t>
      </w:r>
      <w:r w:rsidR="00315F40" w:rsidRPr="00212E25">
        <w:t xml:space="preserve">flood </w:t>
      </w:r>
      <w:r w:rsidRPr="00212E25">
        <w:t xml:space="preserve">threshold, resulting in the most widespread flooding since </w:t>
      </w:r>
      <w:proofErr w:type="gramStart"/>
      <w:r w:rsidRPr="00212E25">
        <w:t>2013;</w:t>
      </w:r>
      <w:proofErr w:type="gramEnd"/>
    </w:p>
    <w:p w14:paraId="3E2F4291" w14:textId="77777777" w:rsidR="004D3887" w:rsidRPr="00212E25" w:rsidRDefault="004D3887" w:rsidP="00045B22">
      <w:pPr>
        <w:widowControl/>
        <w:spacing w:after="240"/>
        <w:ind w:left="567" w:hanging="567"/>
        <w:rPr>
          <w:szCs w:val="24"/>
          <w:shd w:val="clear" w:color="auto" w:fill="FFFFFF"/>
        </w:rPr>
      </w:pPr>
      <w:r w:rsidRPr="00212E25">
        <w:t>1.</w:t>
      </w:r>
      <w:r w:rsidRPr="00212E25">
        <w:tab/>
        <w:t>Expresses its</w:t>
      </w:r>
      <w:r w:rsidRPr="00212E25">
        <w:rPr>
          <w:szCs w:val="24"/>
          <w:shd w:val="clear" w:color="auto" w:fill="FFFFFF"/>
        </w:rPr>
        <w:t xml:space="preserve"> deepest solidarity with all the victims, their families and all the individuals affected by the destructive floods in Austria, Poland, Czechia, Slovakia, Moldova and Bosnia and Herzegovina as well as with the national, regional and local authorities involved in the relief efforts;</w:t>
      </w:r>
    </w:p>
    <w:p w14:paraId="36199D34" w14:textId="77777777" w:rsidR="004D3887" w:rsidRPr="00212E25" w:rsidRDefault="004D3887" w:rsidP="00045B22">
      <w:pPr>
        <w:pStyle w:val="NormalHanging12a"/>
        <w:widowControl/>
      </w:pPr>
      <w:r w:rsidRPr="00212E25">
        <w:t>2.</w:t>
      </w:r>
      <w:r w:rsidRPr="00212E25">
        <w:tab/>
        <w:t xml:space="preserve">Welcomes the decision as a tangible and visible form of the Union’s solidarity with its citizens and the regions in the affected areas, including with those in partner </w:t>
      </w:r>
      <w:proofErr w:type="gramStart"/>
      <w:r w:rsidRPr="00212E25">
        <w:t>countries;</w:t>
      </w:r>
      <w:proofErr w:type="gramEnd"/>
    </w:p>
    <w:p w14:paraId="0FB09648" w14:textId="77777777" w:rsidR="004D3887" w:rsidRPr="00212E25" w:rsidRDefault="004D3887" w:rsidP="00045B22">
      <w:pPr>
        <w:pStyle w:val="NormalHanging12a"/>
        <w:widowControl/>
      </w:pPr>
      <w:r w:rsidRPr="00212E25">
        <w:t>3.</w:t>
      </w:r>
      <w:r w:rsidRPr="00212E25">
        <w:tab/>
        <w:t>Reiterates the importance of communicating to the public the tangible benefits brought about by the European Union Solidarity Fund (EUSF), also to further increase citizens’ awareness of Union tools and programmes in the Member States and countries involved in accession negotiations with the Union;</w:t>
      </w:r>
    </w:p>
    <w:p w14:paraId="0481F917" w14:textId="77777777" w:rsidR="004D3887" w:rsidRPr="00212E25" w:rsidRDefault="004D3887" w:rsidP="00045B22">
      <w:pPr>
        <w:widowControl/>
        <w:spacing w:after="240"/>
        <w:ind w:left="567" w:hanging="567"/>
        <w:rPr>
          <w:szCs w:val="24"/>
        </w:rPr>
      </w:pPr>
      <w:r w:rsidRPr="00212E25">
        <w:t>4.</w:t>
      </w:r>
      <w:r w:rsidRPr="00212E25">
        <w:tab/>
      </w:r>
      <w:r w:rsidRPr="00212E25">
        <w:rPr>
          <w:szCs w:val="24"/>
        </w:rPr>
        <w:t>Highlights the increasing number of severe, destructive and deadly natural disasters in Europe and calls on Member States and the Commission to invest in climate mitigation and adaptation measures to avoid human and economic losses; underlines that in 2024 storms and flooding affected an estimated 413 000 people, resulting in the loss of at least 335 lives and that the damage from storms and flooding across Europe during the year is estimated to have cost at least EUR 18 billion</w:t>
      </w:r>
      <w:r w:rsidRPr="00212E25">
        <w:rPr>
          <w:rStyle w:val="FootnoteReference"/>
          <w:szCs w:val="24"/>
        </w:rPr>
        <w:footnoteReference w:id="10"/>
      </w:r>
      <w:r w:rsidRPr="00212E25">
        <w:rPr>
          <w:szCs w:val="24"/>
        </w:rPr>
        <w:t>; considers that the budget of the EUSF or its equivalent should be substantially expanded in view of the upcoming Commission proposal on the new Multiannual Financial Framework and subsequent inter-institutional negotiations and that the EUSF or its equivalent must provide assistance commensurate to the magnitude of such disasters to citizens; notes that substantially increasing the EUSF would allow Member States to respond more effectively and quickly to disasters while other instruments, particularly cohesion funds whose primary purpose is not disaster response, could be preserved; urges also the Commission to explore all possible avenues for accelerating the mobilisation of the EUSF, in particular by amending current rules and granting higher advance payments to applicant countries;</w:t>
      </w:r>
    </w:p>
    <w:p w14:paraId="093D8BED" w14:textId="77777777" w:rsidR="004D3887" w:rsidRPr="00212E25" w:rsidRDefault="004D3887" w:rsidP="00045B22">
      <w:pPr>
        <w:widowControl/>
        <w:spacing w:after="240"/>
        <w:ind w:left="567" w:hanging="567"/>
        <w:rPr>
          <w:szCs w:val="24"/>
        </w:rPr>
      </w:pPr>
      <w:r w:rsidRPr="00212E25">
        <w:rPr>
          <w:szCs w:val="24"/>
        </w:rPr>
        <w:lastRenderedPageBreak/>
        <w:t>5.</w:t>
      </w:r>
      <w:r w:rsidRPr="00212E25">
        <w:rPr>
          <w:szCs w:val="24"/>
        </w:rPr>
        <w:tab/>
        <w:t>Calls on the Commission to develop dedicated crisis-response instruments for the post-2027 period, recognising that the increasing frequency and severity of natural disasters, health emergencies, geopolitical instability, and economic shocks require more agile and tailored financial mechanisms at the Union level; underlines the need for enhanced coordination with national civil protection systems and early-warning mechanisms, ensuring a more integrated and data-driven Union-wide disaster response; emphasises the importance of dedicated support for cross-border and regional cooperation in preparedness, mitigation, and recovery efforts, particularly in vulnerable or high-risk areas;</w:t>
      </w:r>
    </w:p>
    <w:p w14:paraId="192DA8CA" w14:textId="34A4CEB2" w:rsidR="004D3887" w:rsidRPr="00212E25" w:rsidRDefault="004D3887" w:rsidP="00045B22">
      <w:pPr>
        <w:widowControl/>
        <w:spacing w:after="240"/>
        <w:ind w:left="567" w:hanging="567"/>
        <w:rPr>
          <w:szCs w:val="24"/>
        </w:rPr>
      </w:pPr>
      <w:r w:rsidRPr="00212E25">
        <w:rPr>
          <w:szCs w:val="24"/>
        </w:rPr>
        <w:t>6.</w:t>
      </w:r>
      <w:r w:rsidRPr="00212E25">
        <w:rPr>
          <w:szCs w:val="24"/>
        </w:rPr>
        <w:tab/>
        <w:t xml:space="preserve">Stresses that the EUSF is only a curative instrument and that the Union should also continue to address climate change adaptation and mitigation by supporting European and national policies to prevent natural disasters; underlines that </w:t>
      </w:r>
      <w:r w:rsidR="009B6DB2" w:rsidRPr="00212E25">
        <w:rPr>
          <w:szCs w:val="24"/>
        </w:rPr>
        <w:t xml:space="preserve">European Environment Agency </w:t>
      </w:r>
      <w:r w:rsidRPr="00212E25">
        <w:rPr>
          <w:szCs w:val="24"/>
        </w:rPr>
        <w:t>Report No 1/2024 ‘European Climate Risk Assessment’ warned that the Union is unprepared for the effects of climate change even if the world manages to keep global temperature rise to 1,5 degrees Celsius, as set out in the Paris Agreement,</w:t>
      </w:r>
      <w:r w:rsidRPr="00212E25">
        <w:rPr>
          <w:i/>
          <w:szCs w:val="24"/>
        </w:rPr>
        <w:t xml:space="preserve"> </w:t>
      </w:r>
      <w:r w:rsidRPr="00212E25">
        <w:rPr>
          <w:szCs w:val="24"/>
        </w:rPr>
        <w:t>and stresses the need for action to avoid the climate risks identified reaching critical levels; recalls the need for effective synergies with other Union policies and programmes and underlines that Member States should make best use of funding opportunities in particular, of the European Regional Development Fund, the European Social Fund+ and the rural development programmes; calls on the Commission to assess with due urgency any reasoned requests by Member States to reallocate funds within the National Recovery and Resilience plans to natural disaster assistance, in accordance with the rules laid down in Regulation (EU) 2021/241 of the European Parliament and of the Council</w:t>
      </w:r>
      <w:r w:rsidRPr="00212E25">
        <w:rPr>
          <w:rStyle w:val="FootnoteReference"/>
          <w:szCs w:val="24"/>
        </w:rPr>
        <w:footnoteReference w:id="11"/>
      </w:r>
      <w:r w:rsidRPr="00212E25">
        <w:rPr>
          <w:szCs w:val="24"/>
        </w:rPr>
        <w:t>; stresses also the need for preventive measures, not only to mitigate future damage but also to prevent the exacerbation of risk conditions following catastrophic events, such as floods, wildfires, landslides or the drying up of lakes and rivers; emphasises that all reconstruction financed by the EUSF must be climate-resilient; underlines the importance of adequate flexibility between the different programmes; underscores that assistance provided under the EUSF should not be to the detriment of Union funding received by Member States under other Union policies or programmes; recalls that Member States can grant State aid, in accordance with the applicable Union rules, notably for agricultural businesses that have suffered damages due to natural disasters;</w:t>
      </w:r>
    </w:p>
    <w:p w14:paraId="07B10EE0" w14:textId="081B26B7" w:rsidR="004D3887" w:rsidRPr="00212E25" w:rsidRDefault="004D3887" w:rsidP="00045B22">
      <w:pPr>
        <w:widowControl/>
        <w:spacing w:after="240"/>
        <w:ind w:left="567" w:hanging="567"/>
        <w:rPr>
          <w:szCs w:val="24"/>
        </w:rPr>
      </w:pPr>
      <w:r w:rsidRPr="00212E25">
        <w:rPr>
          <w:szCs w:val="24"/>
        </w:rPr>
        <w:t>7.</w:t>
      </w:r>
      <w:r w:rsidRPr="00212E25">
        <w:rPr>
          <w:szCs w:val="24"/>
        </w:rPr>
        <w:tab/>
        <w:t xml:space="preserve">Recalls that </w:t>
      </w:r>
      <w:proofErr w:type="spellStart"/>
      <w:r w:rsidRPr="00212E25">
        <w:rPr>
          <w:szCs w:val="24"/>
        </w:rPr>
        <w:t>RESTOREand</w:t>
      </w:r>
      <w:proofErr w:type="spellEnd"/>
      <w:r w:rsidRPr="00212E25">
        <w:rPr>
          <w:szCs w:val="24"/>
        </w:rPr>
        <w:t xml:space="preserve"> the specific measures under the European Agricultural Fund for Rural Development (EAFRD)</w:t>
      </w:r>
      <w:r w:rsidR="002F6663" w:rsidRPr="00212E25">
        <w:rPr>
          <w:szCs w:val="24"/>
        </w:rPr>
        <w:t xml:space="preserve"> introduced by Regulation (EU) 2024/3242 of the European Parliament and of the Council</w:t>
      </w:r>
      <w:r w:rsidRPr="00212E25">
        <w:rPr>
          <w:rStyle w:val="FootnoteReference"/>
          <w:szCs w:val="24"/>
        </w:rPr>
        <w:footnoteReference w:id="12"/>
      </w:r>
      <w:r w:rsidRPr="00212E25">
        <w:rPr>
          <w:szCs w:val="24"/>
        </w:rPr>
        <w:t xml:space="preserve"> provide additional assistance to Member States affected by natural disasters through further flexibilities in the use of the funds; stresses that Member States should make use of the new opportunities; underlines also that RESTORE provided limited flexibility for some Member States as the implementation of the current Multiannual Financial Framework is very advanced;</w:t>
      </w:r>
    </w:p>
    <w:p w14:paraId="2E945169" w14:textId="77777777" w:rsidR="004D3887" w:rsidRPr="00212E25" w:rsidRDefault="004D3887" w:rsidP="00045B22">
      <w:pPr>
        <w:widowControl/>
        <w:spacing w:after="240"/>
        <w:ind w:left="567" w:hanging="567"/>
        <w:rPr>
          <w:szCs w:val="24"/>
        </w:rPr>
      </w:pPr>
      <w:r w:rsidRPr="00212E25">
        <w:rPr>
          <w:szCs w:val="24"/>
        </w:rPr>
        <w:lastRenderedPageBreak/>
        <w:t>8.</w:t>
      </w:r>
      <w:r w:rsidRPr="00212E25">
        <w:rPr>
          <w:szCs w:val="24"/>
        </w:rPr>
        <w:tab/>
        <w:t>Recalls the importance of rapid and solid damage assessment that takes due account of the economic repercussions and calls for increased operational efforts to be made in order to reduce the average time for the release of advanced payments</w:t>
      </w:r>
      <w:r w:rsidRPr="00212E25">
        <w:rPr>
          <w:b/>
          <w:i/>
          <w:szCs w:val="24"/>
        </w:rPr>
        <w:t xml:space="preserve"> </w:t>
      </w:r>
      <w:r w:rsidRPr="00212E25">
        <w:rPr>
          <w:szCs w:val="24"/>
        </w:rPr>
        <w:t>to offer timely assistance to regions affected by natural disasters and extreme weather events,</w:t>
      </w:r>
      <w:r w:rsidRPr="00212E25" w:rsidDel="009319A2">
        <w:rPr>
          <w:szCs w:val="24"/>
        </w:rPr>
        <w:t xml:space="preserve"> </w:t>
      </w:r>
      <w:r w:rsidRPr="00212E25">
        <w:rPr>
          <w:szCs w:val="24"/>
        </w:rPr>
        <w:t>while ensuring the Union budget is protected; stresses that Member States should, in the context of disaster response and recovery measures, give due priority to the needs of the affected population, with particular attention to vulnerable groups;</w:t>
      </w:r>
    </w:p>
    <w:p w14:paraId="0B03FF2A" w14:textId="77777777" w:rsidR="004D3887" w:rsidRPr="00212E25" w:rsidRDefault="004D3887" w:rsidP="00045B22">
      <w:pPr>
        <w:widowControl/>
        <w:spacing w:after="240"/>
        <w:ind w:left="567" w:hanging="567"/>
      </w:pPr>
      <w:r w:rsidRPr="00212E25">
        <w:t>9.</w:t>
      </w:r>
      <w:r w:rsidRPr="00212E25">
        <w:tab/>
        <w:t xml:space="preserve">Stresses the urgent need to release immediate financial assistance through the EUSF to ensure that support can reach the affected regions in a timely </w:t>
      </w:r>
      <w:proofErr w:type="gramStart"/>
      <w:r w:rsidRPr="00212E25">
        <w:t>manner;</w:t>
      </w:r>
      <w:proofErr w:type="gramEnd"/>
      <w:r w:rsidRPr="00212E25">
        <w:t xml:space="preserve"> </w:t>
      </w:r>
    </w:p>
    <w:p w14:paraId="3360B5D1" w14:textId="77777777" w:rsidR="004D3887" w:rsidRPr="00212E25" w:rsidRDefault="004D3887" w:rsidP="00045B22">
      <w:pPr>
        <w:widowControl/>
        <w:spacing w:after="240"/>
        <w:ind w:left="567" w:hanging="567"/>
      </w:pPr>
      <w:r w:rsidRPr="00212E25">
        <w:t>10.</w:t>
      </w:r>
      <w:r w:rsidRPr="00212E25">
        <w:tab/>
        <w:t xml:space="preserve">Approves the decision annexed to this </w:t>
      </w:r>
      <w:proofErr w:type="gramStart"/>
      <w:r w:rsidRPr="00212E25">
        <w:t>resolution;</w:t>
      </w:r>
      <w:proofErr w:type="gramEnd"/>
    </w:p>
    <w:p w14:paraId="202BD850" w14:textId="77777777" w:rsidR="004D3887" w:rsidRPr="00212E25" w:rsidRDefault="004D3887" w:rsidP="00045B22">
      <w:pPr>
        <w:widowControl/>
        <w:spacing w:after="240"/>
        <w:ind w:left="567" w:hanging="567"/>
      </w:pPr>
      <w:r w:rsidRPr="00212E25">
        <w:t>11.</w:t>
      </w:r>
      <w:r w:rsidRPr="00212E25">
        <w:tab/>
        <w:t xml:space="preserve">Instructs its President to sign the decision with the President of the Council and arrange for its publication in the </w:t>
      </w:r>
      <w:r w:rsidRPr="00212E25">
        <w:rPr>
          <w:i/>
        </w:rPr>
        <w:t xml:space="preserve">Official Journal of the European </w:t>
      </w:r>
      <w:proofErr w:type="gramStart"/>
      <w:r w:rsidRPr="00212E25">
        <w:rPr>
          <w:i/>
        </w:rPr>
        <w:t>Union</w:t>
      </w:r>
      <w:r w:rsidRPr="00212E25">
        <w:t>;</w:t>
      </w:r>
      <w:proofErr w:type="gramEnd"/>
    </w:p>
    <w:p w14:paraId="4D16302E" w14:textId="77777777" w:rsidR="004D3887" w:rsidRPr="00212E25" w:rsidRDefault="004D3887" w:rsidP="00045B22">
      <w:pPr>
        <w:widowControl/>
        <w:spacing w:after="240"/>
        <w:ind w:left="567" w:hanging="567"/>
      </w:pPr>
      <w:r w:rsidRPr="00212E25">
        <w:t>12.</w:t>
      </w:r>
      <w:r w:rsidRPr="00212E25">
        <w:tab/>
        <w:t>Instructs its President to forward this resolution, including its annex, to the Council and the Commission.</w:t>
      </w:r>
    </w:p>
    <w:p w14:paraId="67433A9D" w14:textId="77777777" w:rsidR="004D3887" w:rsidRPr="00212E25" w:rsidRDefault="004D3887" w:rsidP="004D3887">
      <w:pPr>
        <w:rPr>
          <w:noProof/>
        </w:rPr>
      </w:pPr>
    </w:p>
    <w:p w14:paraId="192C7413" w14:textId="77777777" w:rsidR="004D3887" w:rsidRPr="00212E25" w:rsidRDefault="004D3887" w:rsidP="004D3887">
      <w:pPr>
        <w:pStyle w:val="PageHeading"/>
        <w:rPr>
          <w:noProof/>
        </w:rPr>
        <w:sectPr w:rsidR="004D3887" w:rsidRPr="00212E25" w:rsidSect="00483D1C">
          <w:footerReference w:type="even" r:id="rId12"/>
          <w:footerReference w:type="first" r:id="rId13"/>
          <w:endnotePr>
            <w:numFmt w:val="decimal"/>
          </w:endnotePr>
          <w:pgSz w:w="11906" w:h="16838" w:code="9"/>
          <w:pgMar w:top="1134" w:right="1418" w:bottom="1418" w:left="1418" w:header="1134" w:footer="567" w:gutter="0"/>
          <w:cols w:space="720"/>
          <w:noEndnote/>
          <w:docGrid w:linePitch="326"/>
        </w:sectPr>
      </w:pPr>
    </w:p>
    <w:p w14:paraId="514B09C4" w14:textId="65C2C976" w:rsidR="00AC0F8D" w:rsidRPr="00212E25" w:rsidRDefault="004D3887" w:rsidP="004D3887">
      <w:pPr>
        <w:pStyle w:val="PageHeading"/>
        <w:rPr>
          <w:rFonts w:ascii="Times New Roman" w:hAnsi="Times New Roman" w:cs="Times New Roman"/>
          <w:noProof/>
        </w:rPr>
      </w:pPr>
      <w:bookmarkStart w:id="7" w:name="_Toc201754272"/>
      <w:r w:rsidRPr="00212E25">
        <w:rPr>
          <w:rFonts w:ascii="Times New Roman" w:hAnsi="Times New Roman" w:cs="Times New Roman"/>
          <w:noProof/>
        </w:rPr>
        <w:lastRenderedPageBreak/>
        <w:t xml:space="preserve">ANNEX </w:t>
      </w:r>
    </w:p>
    <w:p w14:paraId="596DCAFA" w14:textId="30FF6824" w:rsidR="004D3887" w:rsidRPr="00212E25" w:rsidRDefault="004D3887" w:rsidP="004D3887">
      <w:pPr>
        <w:pStyle w:val="PageHeading"/>
        <w:rPr>
          <w:rFonts w:ascii="Times New Roman" w:hAnsi="Times New Roman" w:cs="Times New Roman"/>
          <w:noProof/>
        </w:rPr>
      </w:pPr>
      <w:r w:rsidRPr="00212E25">
        <w:rPr>
          <w:rFonts w:ascii="Times New Roman" w:hAnsi="Times New Roman" w:cs="Times New Roman"/>
          <w:noProof/>
        </w:rPr>
        <w:t>DECISION OF THE EUROPEAN PARLIAMENT AND OF THE COUNCIL</w:t>
      </w:r>
      <w:bookmarkEnd w:id="7"/>
    </w:p>
    <w:p w14:paraId="6410BCFF" w14:textId="77777777" w:rsidR="004D3887" w:rsidRPr="00212E25" w:rsidRDefault="004D3887" w:rsidP="00212E25">
      <w:pPr>
        <w:pStyle w:val="NormalBold24a"/>
        <w:jc w:val="center"/>
      </w:pPr>
      <w:r w:rsidRPr="00212E25">
        <w:t>on the mobilisation of the European Union Solidarity Fund to provide assistance to Austria, Poland, Czechia, Slovakia and Moldova relating to floods occurred in September 2024 and Bosnia and Herzegovina relating to floods occurred in October 2024</w:t>
      </w:r>
    </w:p>
    <w:p w14:paraId="7D2AB159" w14:textId="701AAD07" w:rsidR="00032209" w:rsidRPr="00032209" w:rsidRDefault="00032209" w:rsidP="00032209">
      <w:pPr>
        <w:widowControl/>
        <w:spacing w:before="240"/>
        <w:ind w:right="1088"/>
        <w:jc w:val="both"/>
        <w:rPr>
          <w:rFonts w:eastAsia="Calibri"/>
          <w:szCs w:val="24"/>
          <w:lang w:eastAsia="en-US"/>
        </w:rPr>
      </w:pPr>
      <w:r w:rsidRPr="00212E25">
        <w:rPr>
          <w:rFonts w:eastAsia="Calibri"/>
          <w:i/>
          <w:iCs/>
          <w:szCs w:val="24"/>
          <w:lang w:eastAsia="en-US"/>
        </w:rPr>
        <w:t>(The text of this annex is not reproduced here since it corresponds to the final act, Decision (EU) 2025/1525.)</w:t>
      </w:r>
    </w:p>
    <w:p w14:paraId="1A7CF0C4" w14:textId="77777777" w:rsidR="00032209" w:rsidRPr="0040688C" w:rsidRDefault="00032209" w:rsidP="004D3887">
      <w:pPr>
        <w:pStyle w:val="NormalBold24a"/>
      </w:pPr>
    </w:p>
    <w:sectPr w:rsidR="00032209" w:rsidRPr="0040688C" w:rsidSect="00483D1C">
      <w:headerReference w:type="even" r:id="rId14"/>
      <w:headerReference w:type="default" r:id="rId15"/>
      <w:footerReference w:type="even" r:id="rId16"/>
      <w:footerReference w:type="default" r:id="rId17"/>
      <w:headerReference w:type="first" r:id="rId18"/>
      <w:footerReference w:type="first" r:id="rId19"/>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3CF53" w14:textId="77777777" w:rsidR="00C9482D" w:rsidRPr="00483D1C" w:rsidRDefault="00C9482D">
      <w:r w:rsidRPr="00483D1C">
        <w:separator/>
      </w:r>
    </w:p>
  </w:endnote>
  <w:endnote w:type="continuationSeparator" w:id="0">
    <w:p w14:paraId="3922B627" w14:textId="77777777" w:rsidR="00C9482D" w:rsidRPr="00483D1C" w:rsidRDefault="00C9482D">
      <w:r w:rsidRPr="00483D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DE0B" w14:textId="77777777" w:rsidR="004D3887" w:rsidRPr="00483D1C" w:rsidRDefault="004D3887" w:rsidP="00172BA4">
    <w:pPr>
      <w:pStyle w:val="EPFooter"/>
    </w:pPr>
    <w:r w:rsidRPr="00483D1C">
      <w:t>PE</w:t>
    </w:r>
    <w:r w:rsidRPr="00483D1C">
      <w:rPr>
        <w:rStyle w:val="HideTWBExt"/>
      </w:rPr>
      <w:t>&lt;</w:t>
    </w:r>
    <w:proofErr w:type="spellStart"/>
    <w:r w:rsidRPr="00483D1C">
      <w:rPr>
        <w:rStyle w:val="HideTWBExt"/>
      </w:rPr>
      <w:t>NoPE</w:t>
    </w:r>
    <w:proofErr w:type="spellEnd"/>
    <w:r w:rsidRPr="00483D1C">
      <w:rPr>
        <w:rStyle w:val="HideTWBExt"/>
      </w:rPr>
      <w:t>&gt;</w:t>
    </w:r>
    <w:r w:rsidRPr="00483D1C">
      <w:t>774.284</w:t>
    </w:r>
    <w:r w:rsidRPr="00483D1C">
      <w:rPr>
        <w:rStyle w:val="HideTWBExt"/>
      </w:rPr>
      <w:t>&lt;/</w:t>
    </w:r>
    <w:proofErr w:type="spellStart"/>
    <w:r w:rsidRPr="00483D1C">
      <w:rPr>
        <w:rStyle w:val="HideTWBExt"/>
      </w:rPr>
      <w:t>NoPE</w:t>
    </w:r>
    <w:proofErr w:type="spellEnd"/>
    <w:r w:rsidRPr="00483D1C">
      <w:rPr>
        <w:rStyle w:val="HideTWBExt"/>
      </w:rPr>
      <w:t>&gt;&lt;Version&gt;</w:t>
    </w:r>
    <w:r w:rsidRPr="00483D1C">
      <w:t>v02-00</w:t>
    </w:r>
    <w:r w:rsidRPr="00483D1C">
      <w:rPr>
        <w:rStyle w:val="HideTWBExt"/>
      </w:rPr>
      <w:t>&lt;/Version&gt;</w:t>
    </w:r>
    <w:r w:rsidRPr="00483D1C">
      <w:tab/>
    </w:r>
    <w:r w:rsidRPr="00483D1C">
      <w:fldChar w:fldCharType="begin"/>
    </w:r>
    <w:r w:rsidRPr="00483D1C">
      <w:instrText xml:space="preserve"> PAGE  \* MERGEFORMAT </w:instrText>
    </w:r>
    <w:r w:rsidRPr="00483D1C">
      <w:fldChar w:fldCharType="separate"/>
    </w:r>
    <w:r w:rsidRPr="00483D1C">
      <w:rPr>
        <w:noProof/>
      </w:rPr>
      <w:t>4</w:t>
    </w:r>
    <w:r w:rsidRPr="00483D1C">
      <w:fldChar w:fldCharType="end"/>
    </w:r>
    <w:r w:rsidRPr="00483D1C">
      <w:t>/</w:t>
    </w:r>
    <w:fldSimple w:instr=" NUMPAGES  \* MERGEFORMAT ">
      <w:r w:rsidR="009B6DB2">
        <w:rPr>
          <w:noProof/>
        </w:rPr>
        <w:t>8</w:t>
      </w:r>
    </w:fldSimple>
    <w:r w:rsidRPr="00483D1C">
      <w:tab/>
    </w:r>
    <w:r w:rsidRPr="00483D1C">
      <w:rPr>
        <w:rStyle w:val="HideTWBExt"/>
      </w:rPr>
      <w:t>&lt;PathFdR&gt;</w:t>
    </w:r>
    <w:r w:rsidRPr="00483D1C">
      <w:t>RR\1323790EN.docx</w:t>
    </w:r>
    <w:r w:rsidRPr="00483D1C">
      <w:rPr>
        <w:rStyle w:val="HideTWBExt"/>
      </w:rPr>
      <w:t>&lt;/</w:t>
    </w:r>
    <w:proofErr w:type="spellStart"/>
    <w:r w:rsidRPr="00483D1C">
      <w:rPr>
        <w:rStyle w:val="HideTWBExt"/>
      </w:rPr>
      <w:t>PathFdR</w:t>
    </w:r>
    <w:proofErr w:type="spellEnd"/>
    <w:r w:rsidRPr="00483D1C">
      <w:rPr>
        <w:rStyle w:val="HideTWBExt"/>
      </w:rPr>
      <w:t>&gt;</w:t>
    </w:r>
  </w:p>
  <w:p w14:paraId="5D014BAC" w14:textId="77777777" w:rsidR="004D3887" w:rsidRPr="00483D1C" w:rsidRDefault="004D3887" w:rsidP="00172BA4">
    <w:pPr>
      <w:pStyle w:val="EPFooter2"/>
    </w:pPr>
    <w:r w:rsidRPr="00483D1C">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22AF" w14:textId="77777777" w:rsidR="004D3887" w:rsidRPr="00483D1C" w:rsidRDefault="004D3887" w:rsidP="00172BA4">
    <w:pPr>
      <w:pStyle w:val="EPFooter"/>
    </w:pPr>
    <w:r w:rsidRPr="00483D1C">
      <w:rPr>
        <w:rStyle w:val="HideTWBExt"/>
      </w:rPr>
      <w:t>&lt;PathFdR&gt;</w:t>
    </w:r>
    <w:r w:rsidRPr="00483D1C">
      <w:t>RR\1323790EN.docx</w:t>
    </w:r>
    <w:r w:rsidRPr="00483D1C">
      <w:rPr>
        <w:rStyle w:val="HideTWBExt"/>
      </w:rPr>
      <w:t>&lt;/</w:t>
    </w:r>
    <w:proofErr w:type="spellStart"/>
    <w:r w:rsidRPr="00483D1C">
      <w:rPr>
        <w:rStyle w:val="HideTWBExt"/>
      </w:rPr>
      <w:t>PathFdR</w:t>
    </w:r>
    <w:proofErr w:type="spellEnd"/>
    <w:r w:rsidRPr="00483D1C">
      <w:rPr>
        <w:rStyle w:val="HideTWBExt"/>
      </w:rPr>
      <w:t>&gt;</w:t>
    </w:r>
    <w:r w:rsidRPr="00483D1C">
      <w:tab/>
    </w:r>
    <w:r w:rsidRPr="00483D1C">
      <w:tab/>
      <w:t>PE</w:t>
    </w:r>
    <w:r w:rsidRPr="00483D1C">
      <w:rPr>
        <w:rStyle w:val="HideTWBExt"/>
      </w:rPr>
      <w:t>&lt;</w:t>
    </w:r>
    <w:proofErr w:type="spellStart"/>
    <w:r w:rsidRPr="00483D1C">
      <w:rPr>
        <w:rStyle w:val="HideTWBExt"/>
      </w:rPr>
      <w:t>NoPE</w:t>
    </w:r>
    <w:proofErr w:type="spellEnd"/>
    <w:r w:rsidRPr="00483D1C">
      <w:rPr>
        <w:rStyle w:val="HideTWBExt"/>
      </w:rPr>
      <w:t>&gt;</w:t>
    </w:r>
    <w:r w:rsidRPr="00483D1C">
      <w:t>774.284</w:t>
    </w:r>
    <w:r w:rsidRPr="00483D1C">
      <w:rPr>
        <w:rStyle w:val="HideTWBExt"/>
      </w:rPr>
      <w:t>&lt;/</w:t>
    </w:r>
    <w:proofErr w:type="spellStart"/>
    <w:r w:rsidRPr="00483D1C">
      <w:rPr>
        <w:rStyle w:val="HideTWBExt"/>
      </w:rPr>
      <w:t>NoPE</w:t>
    </w:r>
    <w:proofErr w:type="spellEnd"/>
    <w:r w:rsidRPr="00483D1C">
      <w:rPr>
        <w:rStyle w:val="HideTWBExt"/>
      </w:rPr>
      <w:t>&gt;&lt;Version&gt;</w:t>
    </w:r>
    <w:r w:rsidRPr="00483D1C">
      <w:t>v02-00</w:t>
    </w:r>
    <w:r w:rsidRPr="00483D1C">
      <w:rPr>
        <w:rStyle w:val="HideTWBExt"/>
      </w:rPr>
      <w:t>&lt;/Version&gt;</w:t>
    </w:r>
  </w:p>
  <w:p w14:paraId="45AE5F2D" w14:textId="77777777" w:rsidR="004D3887" w:rsidRPr="00483D1C" w:rsidRDefault="004D3887" w:rsidP="00172BA4">
    <w:pPr>
      <w:pStyle w:val="EPFooter2"/>
    </w:pPr>
    <w:r w:rsidRPr="00483D1C">
      <w:t>EN</w:t>
    </w:r>
    <w:r w:rsidRPr="00483D1C">
      <w:tab/>
    </w:r>
    <w:r w:rsidRPr="00483D1C">
      <w:rPr>
        <w:b w:val="0"/>
        <w:i/>
        <w:color w:val="C0C0C0"/>
        <w:sz w:val="22"/>
      </w:rPr>
      <w:t>United in diversity</w:t>
    </w:r>
    <w:r w:rsidRPr="00483D1C">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D3A41" w14:textId="77777777" w:rsidR="00064002" w:rsidRPr="00483D1C"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7680" w14:textId="77777777" w:rsidR="00064002" w:rsidRPr="00483D1C"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5B05" w14:textId="77777777" w:rsidR="00064002" w:rsidRPr="00483D1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2BDF8" w14:textId="77777777" w:rsidR="00C9482D" w:rsidRPr="00483D1C" w:rsidRDefault="00C9482D">
      <w:r w:rsidRPr="00483D1C">
        <w:separator/>
      </w:r>
    </w:p>
  </w:footnote>
  <w:footnote w:type="continuationSeparator" w:id="0">
    <w:p w14:paraId="5ACBCA77" w14:textId="77777777" w:rsidR="00C9482D" w:rsidRPr="00483D1C" w:rsidRDefault="00C9482D">
      <w:r w:rsidRPr="00483D1C">
        <w:continuationSeparator/>
      </w:r>
    </w:p>
  </w:footnote>
  <w:footnote w:id="1">
    <w:p w14:paraId="6A32EFFB" w14:textId="77777777" w:rsidR="004D3887" w:rsidRPr="0040688C" w:rsidRDefault="004D3887" w:rsidP="00045B22">
      <w:pPr>
        <w:pStyle w:val="FootnoteText"/>
        <w:keepLines w:val="0"/>
        <w:ind w:left="567" w:hanging="567"/>
        <w:rPr>
          <w:sz w:val="24"/>
          <w:szCs w:val="24"/>
          <w:lang w:val="fi-FI"/>
        </w:rPr>
      </w:pPr>
      <w:r w:rsidRPr="0040688C">
        <w:rPr>
          <w:rStyle w:val="FootnoteReference"/>
          <w:sz w:val="24"/>
          <w:szCs w:val="24"/>
          <w:lang w:val="en-GB"/>
        </w:rPr>
        <w:footnoteRef/>
      </w:r>
      <w:r w:rsidR="00483D1C" w:rsidRPr="0040688C">
        <w:rPr>
          <w:sz w:val="24"/>
          <w:szCs w:val="24"/>
          <w:lang w:val="fi-FI"/>
        </w:rPr>
        <w:t xml:space="preserve"> </w:t>
      </w:r>
      <w:r w:rsidR="00483D1C" w:rsidRPr="0040688C">
        <w:rPr>
          <w:sz w:val="24"/>
          <w:szCs w:val="24"/>
          <w:lang w:val="fi-FI"/>
        </w:rPr>
        <w:tab/>
      </w:r>
      <w:r w:rsidRPr="0040688C">
        <w:rPr>
          <w:sz w:val="24"/>
          <w:szCs w:val="24"/>
          <w:lang w:val="fi-FI"/>
        </w:rPr>
        <w:t xml:space="preserve">OJ L 311, 14.11.2002, p. 3, ELI: </w:t>
      </w:r>
      <w:hyperlink r:id="rId1" w:history="1">
        <w:r w:rsidRPr="0040688C">
          <w:rPr>
            <w:rStyle w:val="Hyperlink"/>
            <w:sz w:val="24"/>
            <w:szCs w:val="24"/>
            <w:lang w:val="fi-FI"/>
          </w:rPr>
          <w:t>http://data.europa.eu/eli/reg/2002/2012/oj</w:t>
        </w:r>
      </w:hyperlink>
      <w:r w:rsidRPr="0040688C">
        <w:rPr>
          <w:sz w:val="24"/>
          <w:szCs w:val="24"/>
          <w:lang w:val="fi-FI"/>
        </w:rPr>
        <w:t>.</w:t>
      </w:r>
    </w:p>
  </w:footnote>
  <w:footnote w:id="2">
    <w:p w14:paraId="3F2D5E8E" w14:textId="77777777" w:rsidR="004D3887" w:rsidRPr="0040688C" w:rsidRDefault="004D3887" w:rsidP="00045B22">
      <w:pPr>
        <w:pStyle w:val="FootnoteText"/>
        <w:keepLines w:val="0"/>
        <w:ind w:left="567" w:hanging="567"/>
        <w:rPr>
          <w:sz w:val="24"/>
          <w:szCs w:val="24"/>
          <w:lang w:val="fi-FI"/>
        </w:rPr>
      </w:pPr>
      <w:r w:rsidRPr="0040688C">
        <w:rPr>
          <w:rStyle w:val="FootnoteReference"/>
          <w:sz w:val="24"/>
          <w:szCs w:val="24"/>
          <w:lang w:val="en-GB"/>
        </w:rPr>
        <w:footnoteRef/>
      </w:r>
      <w:r w:rsidR="00483D1C" w:rsidRPr="0040688C">
        <w:rPr>
          <w:sz w:val="24"/>
          <w:szCs w:val="24"/>
          <w:lang w:val="fi-FI"/>
        </w:rPr>
        <w:t xml:space="preserve"> </w:t>
      </w:r>
      <w:r w:rsidR="00483D1C" w:rsidRPr="0040688C">
        <w:rPr>
          <w:sz w:val="24"/>
          <w:szCs w:val="24"/>
          <w:lang w:val="fi-FI"/>
        </w:rPr>
        <w:tab/>
      </w:r>
      <w:r w:rsidRPr="0040688C">
        <w:rPr>
          <w:sz w:val="24"/>
          <w:szCs w:val="24"/>
          <w:lang w:val="fi-FI"/>
        </w:rPr>
        <w:t xml:space="preserve">OJ L 433 I, 22.12.2020, p. 11, ELI: </w:t>
      </w:r>
      <w:hyperlink r:id="rId2" w:history="1">
        <w:r w:rsidRPr="0040688C">
          <w:rPr>
            <w:rStyle w:val="Hyperlink"/>
            <w:sz w:val="24"/>
            <w:szCs w:val="24"/>
            <w:lang w:val="fi-FI"/>
          </w:rPr>
          <w:t>http://data.europa.eu/eli/reg/2020/2093/oj</w:t>
        </w:r>
      </w:hyperlink>
      <w:r w:rsidRPr="0040688C">
        <w:rPr>
          <w:sz w:val="24"/>
          <w:szCs w:val="24"/>
          <w:lang w:val="fi-FI"/>
        </w:rPr>
        <w:t>.</w:t>
      </w:r>
    </w:p>
  </w:footnote>
  <w:footnote w:id="3">
    <w:p w14:paraId="4A91366A" w14:textId="77777777" w:rsidR="004D3887" w:rsidRPr="0040688C" w:rsidRDefault="004D3887" w:rsidP="00045B22">
      <w:pPr>
        <w:pStyle w:val="FootnoteText"/>
        <w:keepLines w:val="0"/>
        <w:ind w:left="567" w:hanging="567"/>
        <w:rPr>
          <w:sz w:val="24"/>
          <w:szCs w:val="24"/>
          <w:lang w:val="fi-FI"/>
        </w:rPr>
      </w:pPr>
      <w:r w:rsidRPr="0040688C">
        <w:rPr>
          <w:rStyle w:val="FootnoteReference"/>
          <w:sz w:val="24"/>
          <w:szCs w:val="24"/>
          <w:lang w:val="en-GB"/>
        </w:rPr>
        <w:footnoteRef/>
      </w:r>
      <w:r w:rsidR="00483D1C" w:rsidRPr="0040688C">
        <w:rPr>
          <w:sz w:val="24"/>
          <w:szCs w:val="24"/>
          <w:lang w:val="fi-FI"/>
        </w:rPr>
        <w:t xml:space="preserve"> </w:t>
      </w:r>
      <w:r w:rsidR="00483D1C" w:rsidRPr="0040688C">
        <w:rPr>
          <w:sz w:val="24"/>
          <w:szCs w:val="24"/>
          <w:lang w:val="fi-FI"/>
        </w:rPr>
        <w:tab/>
      </w:r>
      <w:r w:rsidRPr="0040688C">
        <w:rPr>
          <w:sz w:val="24"/>
          <w:szCs w:val="24"/>
          <w:lang w:val="fi-FI"/>
        </w:rPr>
        <w:t xml:space="preserve">OJ L 433 I, 22.12.2020, p. 28, ELI: </w:t>
      </w:r>
      <w:hyperlink r:id="rId3" w:history="1">
        <w:r w:rsidRPr="0040688C">
          <w:rPr>
            <w:rStyle w:val="Hyperlink"/>
            <w:sz w:val="24"/>
            <w:szCs w:val="24"/>
            <w:lang w:val="fi-FI"/>
          </w:rPr>
          <w:t>http://data.europa.eu/eli/agree_interinstit/2020/1222/oj</w:t>
        </w:r>
      </w:hyperlink>
      <w:r w:rsidRPr="0040688C">
        <w:rPr>
          <w:sz w:val="24"/>
          <w:szCs w:val="24"/>
          <w:lang w:val="fi-FI"/>
        </w:rPr>
        <w:t>.</w:t>
      </w:r>
    </w:p>
  </w:footnote>
  <w:footnote w:id="4">
    <w:p w14:paraId="3FE16FA0" w14:textId="77777777" w:rsidR="004D3887" w:rsidRPr="0040688C" w:rsidRDefault="004D3887" w:rsidP="00045B22">
      <w:pPr>
        <w:pStyle w:val="FootnoteText"/>
        <w:keepLines w:val="0"/>
        <w:ind w:left="567" w:hanging="567"/>
        <w:rPr>
          <w:sz w:val="24"/>
          <w:szCs w:val="24"/>
          <w:lang w:val="fi-FI"/>
        </w:rPr>
      </w:pPr>
      <w:r w:rsidRPr="0040688C">
        <w:rPr>
          <w:rStyle w:val="FootnoteReference"/>
          <w:sz w:val="24"/>
          <w:szCs w:val="24"/>
          <w:lang w:val="en-GB"/>
        </w:rPr>
        <w:footnoteRef/>
      </w:r>
      <w:r w:rsidR="00483D1C" w:rsidRPr="0040688C">
        <w:rPr>
          <w:sz w:val="24"/>
          <w:szCs w:val="24"/>
          <w:lang w:val="fi-FI"/>
        </w:rPr>
        <w:t xml:space="preserve"> </w:t>
      </w:r>
      <w:r w:rsidR="00483D1C" w:rsidRPr="0040688C">
        <w:rPr>
          <w:sz w:val="24"/>
          <w:szCs w:val="24"/>
          <w:lang w:val="fi-FI"/>
        </w:rPr>
        <w:tab/>
      </w:r>
      <w:r w:rsidRPr="0040688C">
        <w:rPr>
          <w:sz w:val="24"/>
          <w:szCs w:val="24"/>
          <w:lang w:val="fi-FI"/>
        </w:rPr>
        <w:t xml:space="preserve">OJ L 231, 30.6.2021, p. 60, ELI: </w:t>
      </w:r>
      <w:hyperlink r:id="rId4" w:history="1">
        <w:r w:rsidRPr="0040688C">
          <w:rPr>
            <w:rStyle w:val="Hyperlink"/>
            <w:sz w:val="24"/>
            <w:szCs w:val="24"/>
            <w:lang w:val="fi-FI"/>
          </w:rPr>
          <w:t>http://data.europa.eu/eli/reg/2021/1058/oj</w:t>
        </w:r>
      </w:hyperlink>
      <w:r w:rsidRPr="0040688C">
        <w:rPr>
          <w:sz w:val="24"/>
          <w:szCs w:val="24"/>
          <w:lang w:val="fi-FI"/>
        </w:rPr>
        <w:t>.</w:t>
      </w:r>
    </w:p>
  </w:footnote>
  <w:footnote w:id="5">
    <w:p w14:paraId="46843546" w14:textId="77777777" w:rsidR="004D3887" w:rsidRPr="0040688C" w:rsidRDefault="004D3887" w:rsidP="00045B22">
      <w:pPr>
        <w:pStyle w:val="FootnoteText"/>
        <w:keepLines w:val="0"/>
        <w:ind w:left="567" w:hanging="567"/>
        <w:rPr>
          <w:sz w:val="24"/>
          <w:szCs w:val="24"/>
          <w:lang w:val="fi-FI"/>
        </w:rPr>
      </w:pPr>
      <w:r w:rsidRPr="0040688C">
        <w:rPr>
          <w:rStyle w:val="FootnoteReference"/>
          <w:sz w:val="24"/>
          <w:szCs w:val="24"/>
          <w:lang w:val="en-GB"/>
        </w:rPr>
        <w:footnoteRef/>
      </w:r>
      <w:r w:rsidR="00483D1C" w:rsidRPr="0040688C">
        <w:rPr>
          <w:sz w:val="24"/>
          <w:szCs w:val="24"/>
          <w:lang w:val="fi-FI"/>
        </w:rPr>
        <w:t xml:space="preserve"> </w:t>
      </w:r>
      <w:r w:rsidR="00483D1C" w:rsidRPr="0040688C">
        <w:rPr>
          <w:sz w:val="24"/>
          <w:szCs w:val="24"/>
          <w:lang w:val="fi-FI"/>
        </w:rPr>
        <w:tab/>
      </w:r>
      <w:r w:rsidRPr="0040688C">
        <w:rPr>
          <w:sz w:val="24"/>
          <w:szCs w:val="24"/>
          <w:lang w:val="fi-FI"/>
        </w:rPr>
        <w:t xml:space="preserve">OJ L 231, 30.6.2021, p. 21, ELI: </w:t>
      </w:r>
      <w:hyperlink r:id="rId5" w:history="1">
        <w:r w:rsidRPr="0040688C">
          <w:rPr>
            <w:rStyle w:val="Hyperlink"/>
            <w:sz w:val="24"/>
            <w:szCs w:val="24"/>
            <w:lang w:val="fi-FI"/>
          </w:rPr>
          <w:t>http://data.europa.eu/eli/reg/2021/1057/oj</w:t>
        </w:r>
      </w:hyperlink>
      <w:r w:rsidRPr="0040688C">
        <w:rPr>
          <w:sz w:val="24"/>
          <w:szCs w:val="24"/>
          <w:lang w:val="fi-FI"/>
        </w:rPr>
        <w:t>.</w:t>
      </w:r>
    </w:p>
  </w:footnote>
  <w:footnote w:id="6">
    <w:p w14:paraId="58FCAAB3" w14:textId="77777777" w:rsidR="004D3887" w:rsidRPr="0040688C" w:rsidRDefault="004D3887" w:rsidP="00045B22">
      <w:pPr>
        <w:pStyle w:val="FootnoteText"/>
        <w:keepLines w:val="0"/>
        <w:ind w:left="567" w:hanging="567"/>
        <w:rPr>
          <w:sz w:val="24"/>
          <w:szCs w:val="24"/>
          <w:lang w:val="fi-FI"/>
        </w:rPr>
      </w:pPr>
      <w:r w:rsidRPr="0040688C">
        <w:rPr>
          <w:rStyle w:val="FootnoteReference"/>
          <w:sz w:val="24"/>
          <w:szCs w:val="24"/>
          <w:lang w:val="en-GB"/>
        </w:rPr>
        <w:footnoteRef/>
      </w:r>
      <w:r w:rsidR="00483D1C" w:rsidRPr="0040688C">
        <w:rPr>
          <w:sz w:val="24"/>
          <w:szCs w:val="24"/>
          <w:lang w:val="fi-FI"/>
        </w:rPr>
        <w:t xml:space="preserve"> </w:t>
      </w:r>
      <w:r w:rsidR="00483D1C" w:rsidRPr="0040688C">
        <w:rPr>
          <w:sz w:val="24"/>
          <w:szCs w:val="24"/>
          <w:lang w:val="fi-FI"/>
        </w:rPr>
        <w:tab/>
      </w:r>
      <w:r w:rsidRPr="0040688C">
        <w:rPr>
          <w:sz w:val="24"/>
          <w:szCs w:val="24"/>
          <w:lang w:val="fi-FI"/>
        </w:rPr>
        <w:t xml:space="preserve">OJ L 435, 6.12.2021, p. 1, ELI: </w:t>
      </w:r>
      <w:hyperlink r:id="rId6" w:history="1">
        <w:r w:rsidRPr="0040688C">
          <w:rPr>
            <w:rStyle w:val="Hyperlink"/>
            <w:sz w:val="24"/>
            <w:szCs w:val="24"/>
            <w:lang w:val="fi-FI"/>
          </w:rPr>
          <w:t>http://data.europa.eu/eli/reg/2021/2115/oj</w:t>
        </w:r>
      </w:hyperlink>
      <w:r w:rsidRPr="0040688C">
        <w:rPr>
          <w:rStyle w:val="Hyperlink"/>
          <w:sz w:val="24"/>
          <w:szCs w:val="24"/>
          <w:lang w:val="fi-FI"/>
        </w:rPr>
        <w:t>.</w:t>
      </w:r>
      <w:r w:rsidRPr="0040688C">
        <w:rPr>
          <w:sz w:val="24"/>
          <w:szCs w:val="24"/>
          <w:lang w:val="fi-FI"/>
        </w:rPr>
        <w:t xml:space="preserve"> </w:t>
      </w:r>
    </w:p>
  </w:footnote>
  <w:footnote w:id="7">
    <w:p w14:paraId="702D80EC" w14:textId="77777777" w:rsidR="004D3887" w:rsidRPr="0040688C" w:rsidRDefault="004D3887" w:rsidP="00045B22">
      <w:pPr>
        <w:pStyle w:val="FootnoteText"/>
        <w:keepLines w:val="0"/>
        <w:ind w:left="567" w:hanging="567"/>
        <w:rPr>
          <w:sz w:val="24"/>
          <w:szCs w:val="24"/>
          <w:lang w:val="en-GB"/>
        </w:rPr>
      </w:pPr>
      <w:r w:rsidRPr="0040688C">
        <w:rPr>
          <w:rStyle w:val="FootnoteReference"/>
          <w:sz w:val="24"/>
          <w:szCs w:val="24"/>
          <w:lang w:val="en-GB"/>
        </w:rPr>
        <w:footnoteRef/>
      </w:r>
      <w:r w:rsidR="00483D1C" w:rsidRPr="0040688C">
        <w:rPr>
          <w:sz w:val="24"/>
          <w:szCs w:val="24"/>
          <w:lang w:val="en-GB"/>
        </w:rPr>
        <w:t xml:space="preserve"> </w:t>
      </w:r>
      <w:r w:rsidR="00483D1C" w:rsidRPr="0040688C">
        <w:rPr>
          <w:sz w:val="24"/>
          <w:szCs w:val="24"/>
          <w:lang w:val="en-GB"/>
        </w:rPr>
        <w:tab/>
      </w:r>
      <w:r w:rsidRPr="0040688C">
        <w:rPr>
          <w:sz w:val="24"/>
          <w:szCs w:val="24"/>
          <w:lang w:val="en-GB"/>
        </w:rPr>
        <w:t>Texts adopted, P9_</w:t>
      </w:r>
      <w:proofErr w:type="gramStart"/>
      <w:r w:rsidRPr="0040688C">
        <w:rPr>
          <w:sz w:val="24"/>
          <w:szCs w:val="24"/>
          <w:lang w:val="en-GB"/>
        </w:rPr>
        <w:t>TA(</w:t>
      </w:r>
      <w:proofErr w:type="gramEnd"/>
      <w:r w:rsidRPr="0040688C">
        <w:rPr>
          <w:sz w:val="24"/>
          <w:szCs w:val="24"/>
          <w:lang w:val="en-GB"/>
        </w:rPr>
        <w:t>2024)0082.</w:t>
      </w:r>
    </w:p>
  </w:footnote>
  <w:footnote w:id="8">
    <w:p w14:paraId="78E2470A" w14:textId="74AEE3F0" w:rsidR="00F9473B" w:rsidRPr="0040688C" w:rsidRDefault="00F9473B" w:rsidP="0040688C">
      <w:pPr>
        <w:pStyle w:val="FootnoteText"/>
        <w:ind w:left="567" w:hanging="567"/>
        <w:rPr>
          <w:sz w:val="24"/>
          <w:szCs w:val="24"/>
          <w:lang w:val="hr-HR"/>
        </w:rPr>
      </w:pPr>
      <w:r w:rsidRPr="0040688C">
        <w:rPr>
          <w:rStyle w:val="FootnoteReference"/>
          <w:sz w:val="24"/>
          <w:szCs w:val="24"/>
        </w:rPr>
        <w:footnoteRef/>
      </w:r>
      <w:r w:rsidRPr="00B14222">
        <w:rPr>
          <w:sz w:val="24"/>
          <w:szCs w:val="24"/>
          <w:lang w:val="en-GB"/>
        </w:rPr>
        <w:t xml:space="preserve"> </w:t>
      </w:r>
      <w:r w:rsidRPr="0040688C">
        <w:rPr>
          <w:sz w:val="24"/>
          <w:szCs w:val="24"/>
          <w:lang w:val="hr-HR"/>
        </w:rPr>
        <w:tab/>
      </w:r>
      <w:r w:rsidRPr="0040688C">
        <w:rPr>
          <w:sz w:val="24"/>
          <w:szCs w:val="24"/>
          <w:lang w:val="hr-HR"/>
        </w:rPr>
        <w:t xml:space="preserve">OJ L, 2024/3236, 23.12.2024, ELI: </w:t>
      </w:r>
      <w:hyperlink r:id="rId7" w:history="1">
        <w:r w:rsidRPr="0040688C">
          <w:rPr>
            <w:rStyle w:val="Hyperlink"/>
            <w:sz w:val="24"/>
            <w:szCs w:val="24"/>
            <w:lang w:val="hr-HR"/>
          </w:rPr>
          <w:t>http://data.europa.eu/eli/reg/2024/3236/oj</w:t>
        </w:r>
      </w:hyperlink>
      <w:r w:rsidRPr="0040688C">
        <w:rPr>
          <w:sz w:val="24"/>
          <w:szCs w:val="24"/>
          <w:lang w:val="hr-HR"/>
        </w:rPr>
        <w:t>.</w:t>
      </w:r>
    </w:p>
  </w:footnote>
  <w:footnote w:id="9">
    <w:p w14:paraId="52462EE7" w14:textId="77777777" w:rsidR="004D3887" w:rsidRPr="0040688C" w:rsidRDefault="004D3887" w:rsidP="00045B22">
      <w:pPr>
        <w:pStyle w:val="FootnoteText"/>
        <w:keepLines w:val="0"/>
        <w:ind w:left="567" w:hanging="567"/>
        <w:rPr>
          <w:sz w:val="24"/>
          <w:szCs w:val="24"/>
          <w:lang w:val="hr-HR"/>
        </w:rPr>
      </w:pPr>
      <w:r w:rsidRPr="0040688C">
        <w:rPr>
          <w:rStyle w:val="FootnoteReference"/>
          <w:sz w:val="24"/>
          <w:szCs w:val="24"/>
          <w:lang w:val="en-GB"/>
        </w:rPr>
        <w:footnoteRef/>
      </w:r>
      <w:r w:rsidR="00483D1C" w:rsidRPr="0040688C">
        <w:rPr>
          <w:sz w:val="24"/>
          <w:szCs w:val="24"/>
          <w:lang w:val="hr-HR"/>
        </w:rPr>
        <w:t xml:space="preserve"> </w:t>
      </w:r>
      <w:r w:rsidR="00483D1C" w:rsidRPr="0040688C">
        <w:rPr>
          <w:sz w:val="24"/>
          <w:szCs w:val="24"/>
          <w:lang w:val="hr-HR"/>
        </w:rPr>
        <w:tab/>
      </w:r>
      <w:hyperlink r:id="rId8" w:history="1">
        <w:r w:rsidRPr="0040688C">
          <w:rPr>
            <w:rStyle w:val="Hyperlink"/>
            <w:sz w:val="24"/>
            <w:szCs w:val="24"/>
            <w:lang w:val="hr-HR"/>
          </w:rPr>
          <w:t>https://www.eea.europa.eu/publications/european-climate-risk-assessment</w:t>
        </w:r>
      </w:hyperlink>
      <w:r w:rsidR="00DF6499" w:rsidRPr="0040688C">
        <w:rPr>
          <w:sz w:val="24"/>
          <w:szCs w:val="24"/>
          <w:lang w:val="hr-HR"/>
        </w:rPr>
        <w:t>.</w:t>
      </w:r>
    </w:p>
  </w:footnote>
  <w:footnote w:id="10">
    <w:p w14:paraId="698236AC" w14:textId="77777777" w:rsidR="004D3887" w:rsidRPr="0040688C" w:rsidRDefault="004D3887" w:rsidP="00045B22">
      <w:pPr>
        <w:pStyle w:val="FootnoteText"/>
        <w:keepLines w:val="0"/>
        <w:ind w:left="567" w:hanging="567"/>
        <w:rPr>
          <w:sz w:val="24"/>
          <w:szCs w:val="24"/>
          <w:lang w:val="en-GB"/>
        </w:rPr>
      </w:pPr>
      <w:r w:rsidRPr="0040688C">
        <w:rPr>
          <w:rStyle w:val="FootnoteReference"/>
          <w:sz w:val="24"/>
          <w:szCs w:val="24"/>
          <w:lang w:val="en-GB"/>
        </w:rPr>
        <w:footnoteRef/>
      </w:r>
      <w:r w:rsidR="00483D1C" w:rsidRPr="0040688C">
        <w:rPr>
          <w:sz w:val="24"/>
          <w:szCs w:val="24"/>
          <w:lang w:val="en-GB"/>
        </w:rPr>
        <w:t xml:space="preserve"> </w:t>
      </w:r>
      <w:r w:rsidR="00483D1C" w:rsidRPr="0040688C">
        <w:rPr>
          <w:sz w:val="24"/>
          <w:szCs w:val="24"/>
          <w:lang w:val="en-GB"/>
        </w:rPr>
        <w:tab/>
      </w:r>
      <w:r w:rsidRPr="0040688C">
        <w:rPr>
          <w:sz w:val="24"/>
          <w:szCs w:val="24"/>
          <w:lang w:val="en-GB"/>
        </w:rPr>
        <w:t>Copernicus Climate Change Service (C3S) and World Meteorological Organization (WMO), 2025: European State of the Climate 2024, climate.copernicus.eu/ESOTC/2024, doi.org/10.24381/14j9-s541.</w:t>
      </w:r>
    </w:p>
  </w:footnote>
  <w:footnote w:id="11">
    <w:p w14:paraId="43784DC2" w14:textId="77777777" w:rsidR="004D3887" w:rsidRPr="0040688C" w:rsidRDefault="004D3887" w:rsidP="00045B22">
      <w:pPr>
        <w:pStyle w:val="FootnoteText"/>
        <w:keepLines w:val="0"/>
        <w:ind w:left="567" w:hanging="567"/>
        <w:rPr>
          <w:sz w:val="24"/>
          <w:szCs w:val="24"/>
          <w:lang w:val="en-GB"/>
        </w:rPr>
      </w:pPr>
      <w:r w:rsidRPr="0040688C">
        <w:rPr>
          <w:rStyle w:val="FootnoteReference"/>
          <w:sz w:val="24"/>
          <w:szCs w:val="24"/>
          <w:lang w:val="en-GB"/>
        </w:rPr>
        <w:footnoteRef/>
      </w:r>
      <w:r w:rsidR="00483D1C" w:rsidRPr="0040688C">
        <w:rPr>
          <w:sz w:val="24"/>
          <w:szCs w:val="24"/>
          <w:lang w:val="en-GB"/>
        </w:rPr>
        <w:t xml:space="preserve"> </w:t>
      </w:r>
      <w:r w:rsidR="00483D1C" w:rsidRPr="0040688C">
        <w:rPr>
          <w:sz w:val="24"/>
          <w:szCs w:val="24"/>
          <w:lang w:val="en-GB"/>
        </w:rPr>
        <w:tab/>
      </w:r>
      <w:r w:rsidRPr="0040688C">
        <w:rPr>
          <w:sz w:val="24"/>
          <w:szCs w:val="24"/>
          <w:lang w:val="en-GB"/>
        </w:rPr>
        <w:t xml:space="preserve">Regulation (EU) 2021/241 of the European Parliament and of the Council of 12 February 2021 establishing the Recovery and Resilience Facility (OJ L 57, 18.2.2021, p. 17, </w:t>
      </w:r>
      <w:r w:rsidRPr="0040688C">
        <w:rPr>
          <w:color w:val="333333"/>
          <w:sz w:val="24"/>
          <w:szCs w:val="24"/>
          <w:shd w:val="clear" w:color="auto" w:fill="FFFFFF"/>
          <w:lang w:val="en-GB"/>
        </w:rPr>
        <w:t>ELI: </w:t>
      </w:r>
      <w:hyperlink r:id="rId9" w:tooltip="Gives access to this document through its ELI URI." w:history="1">
        <w:r w:rsidRPr="0040688C">
          <w:rPr>
            <w:color w:val="23527C"/>
            <w:sz w:val="24"/>
            <w:szCs w:val="24"/>
            <w:u w:val="single"/>
            <w:shd w:val="clear" w:color="auto" w:fill="FFFFFF"/>
            <w:lang w:val="en-GB"/>
          </w:rPr>
          <w:t>http://data.europa.eu/eli/reg/2021/241/oj</w:t>
        </w:r>
      </w:hyperlink>
      <w:r w:rsidRPr="0040688C">
        <w:rPr>
          <w:sz w:val="24"/>
          <w:szCs w:val="24"/>
          <w:lang w:val="en-GB"/>
        </w:rPr>
        <w:t>).</w:t>
      </w:r>
    </w:p>
  </w:footnote>
  <w:footnote w:id="12">
    <w:p w14:paraId="70D6F884" w14:textId="77777777" w:rsidR="004D3887" w:rsidRPr="0040688C" w:rsidRDefault="004D3887" w:rsidP="00045B22">
      <w:pPr>
        <w:pStyle w:val="FootnoteText"/>
        <w:keepLines w:val="0"/>
        <w:ind w:left="567" w:hanging="567"/>
        <w:rPr>
          <w:sz w:val="24"/>
          <w:szCs w:val="24"/>
          <w:lang w:val="en-GB"/>
        </w:rPr>
      </w:pPr>
      <w:r w:rsidRPr="0040688C">
        <w:rPr>
          <w:rStyle w:val="FootnoteReference"/>
          <w:sz w:val="24"/>
          <w:szCs w:val="24"/>
          <w:lang w:val="en-GB"/>
        </w:rPr>
        <w:footnoteRef/>
      </w:r>
      <w:r w:rsidR="00483D1C" w:rsidRPr="0040688C">
        <w:rPr>
          <w:sz w:val="24"/>
          <w:szCs w:val="24"/>
          <w:lang w:val="en-GB"/>
        </w:rPr>
        <w:t xml:space="preserve"> </w:t>
      </w:r>
      <w:r w:rsidR="00483D1C" w:rsidRPr="0040688C">
        <w:rPr>
          <w:sz w:val="24"/>
          <w:szCs w:val="24"/>
          <w:lang w:val="en-GB"/>
        </w:rPr>
        <w:tab/>
      </w:r>
      <w:r w:rsidR="002F6663" w:rsidRPr="0040688C">
        <w:rPr>
          <w:sz w:val="24"/>
          <w:szCs w:val="24"/>
          <w:lang w:val="en-GB"/>
        </w:rPr>
        <w:t>Regulation (EU) 2024/3242 of the European Parliament and of the Council of 19 December 2024 amending Regulation (EU) 2020/2220 as regards specific measures under the European Agricultural Fund for Rural Development to provide additional assistance to Member States affected by natural disasters (</w:t>
      </w:r>
      <w:r w:rsidRPr="0040688C">
        <w:rPr>
          <w:sz w:val="24"/>
          <w:szCs w:val="24"/>
          <w:lang w:val="en-GB"/>
        </w:rPr>
        <w:t xml:space="preserve">OJ L, 2024/3242, 23.12.2024, ELI: </w:t>
      </w:r>
      <w:hyperlink r:id="rId10" w:history="1">
        <w:r w:rsidRPr="0040688C">
          <w:rPr>
            <w:rStyle w:val="Hyperlink"/>
            <w:sz w:val="24"/>
            <w:szCs w:val="24"/>
            <w:lang w:val="en-GB"/>
          </w:rPr>
          <w:t>http://data.europa.eu/eli/reg/2024/3242/oj</w:t>
        </w:r>
      </w:hyperlink>
      <w:r w:rsidR="002F6663" w:rsidRPr="0040688C">
        <w:rPr>
          <w:rStyle w:val="Hyperlink"/>
          <w:sz w:val="24"/>
          <w:szCs w:val="24"/>
          <w:lang w:val="en-GB"/>
        </w:rPr>
        <w:t>)</w:t>
      </w:r>
      <w:r w:rsidRPr="0040688C">
        <w:rPr>
          <w:sz w:val="24"/>
          <w:szCs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1FE0" w14:textId="77777777" w:rsidR="00064002" w:rsidRPr="00483D1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7021" w14:textId="77777777" w:rsidR="00064002" w:rsidRPr="00483D1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BA26" w14:textId="77777777" w:rsidR="00064002" w:rsidRPr="00483D1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16cid:durableId="490027170">
    <w:abstractNumId w:val="9"/>
  </w:num>
  <w:num w:numId="2" w16cid:durableId="1560481743">
    <w:abstractNumId w:val="9"/>
  </w:num>
  <w:num w:numId="3" w16cid:durableId="1993295730">
    <w:abstractNumId w:val="7"/>
  </w:num>
  <w:num w:numId="4" w16cid:durableId="1078672832">
    <w:abstractNumId w:val="7"/>
  </w:num>
  <w:num w:numId="5" w16cid:durableId="1157107693">
    <w:abstractNumId w:val="6"/>
  </w:num>
  <w:num w:numId="6" w16cid:durableId="885869838">
    <w:abstractNumId w:val="6"/>
  </w:num>
  <w:num w:numId="7" w16cid:durableId="627664624">
    <w:abstractNumId w:val="5"/>
  </w:num>
  <w:num w:numId="8" w16cid:durableId="325980904">
    <w:abstractNumId w:val="5"/>
  </w:num>
  <w:num w:numId="9" w16cid:durableId="779761386">
    <w:abstractNumId w:val="4"/>
  </w:num>
  <w:num w:numId="10" w16cid:durableId="705180304">
    <w:abstractNumId w:val="4"/>
  </w:num>
  <w:num w:numId="11" w16cid:durableId="1597179066">
    <w:abstractNumId w:val="8"/>
  </w:num>
  <w:num w:numId="12" w16cid:durableId="576550906">
    <w:abstractNumId w:val="8"/>
  </w:num>
  <w:num w:numId="13" w16cid:durableId="2093043278">
    <w:abstractNumId w:val="3"/>
  </w:num>
  <w:num w:numId="14" w16cid:durableId="1967004379">
    <w:abstractNumId w:val="3"/>
  </w:num>
  <w:num w:numId="15" w16cid:durableId="214779110">
    <w:abstractNumId w:val="2"/>
  </w:num>
  <w:num w:numId="16" w16cid:durableId="1319842304">
    <w:abstractNumId w:val="2"/>
  </w:num>
  <w:num w:numId="17" w16cid:durableId="695230826">
    <w:abstractNumId w:val="1"/>
  </w:num>
  <w:num w:numId="18" w16cid:durableId="1157263801">
    <w:abstractNumId w:val="1"/>
  </w:num>
  <w:num w:numId="19" w16cid:durableId="1401246129">
    <w:abstractNumId w:val="0"/>
  </w:num>
  <w:num w:numId="20" w16cid:durableId="635911419">
    <w:abstractNumId w:val="0"/>
  </w:num>
  <w:num w:numId="21" w16cid:durableId="516238097">
    <w:abstractNumId w:val="9"/>
  </w:num>
  <w:num w:numId="22" w16cid:durableId="303126188">
    <w:abstractNumId w:val="7"/>
  </w:num>
  <w:num w:numId="23" w16cid:durableId="231356299">
    <w:abstractNumId w:val="6"/>
  </w:num>
  <w:num w:numId="24" w16cid:durableId="434713329">
    <w:abstractNumId w:val="5"/>
  </w:num>
  <w:num w:numId="25" w16cid:durableId="756907115">
    <w:abstractNumId w:val="4"/>
  </w:num>
  <w:num w:numId="26" w16cid:durableId="1468204273">
    <w:abstractNumId w:val="8"/>
  </w:num>
  <w:num w:numId="27" w16cid:durableId="1544753448">
    <w:abstractNumId w:val="3"/>
  </w:num>
  <w:num w:numId="28" w16cid:durableId="1026443545">
    <w:abstractNumId w:val="2"/>
  </w:num>
  <w:num w:numId="29" w16cid:durableId="58023914">
    <w:abstractNumId w:val="1"/>
  </w:num>
  <w:num w:numId="30" w16cid:durableId="168327377">
    <w:abstractNumId w:val="0"/>
  </w:num>
  <w:num w:numId="31" w16cid:durableId="424956526">
    <w:abstractNumId w:val="9"/>
  </w:num>
  <w:num w:numId="32" w16cid:durableId="982126457">
    <w:abstractNumId w:val="7"/>
  </w:num>
  <w:num w:numId="33" w16cid:durableId="385034193">
    <w:abstractNumId w:val="6"/>
  </w:num>
  <w:num w:numId="34" w16cid:durableId="1888951110">
    <w:abstractNumId w:val="5"/>
  </w:num>
  <w:num w:numId="35" w16cid:durableId="386536579">
    <w:abstractNumId w:val="4"/>
  </w:num>
  <w:num w:numId="36" w16cid:durableId="226383167">
    <w:abstractNumId w:val="8"/>
  </w:num>
  <w:num w:numId="37" w16cid:durableId="1311792264">
    <w:abstractNumId w:val="3"/>
  </w:num>
  <w:num w:numId="38" w16cid:durableId="867327725">
    <w:abstractNumId w:val="2"/>
  </w:num>
  <w:num w:numId="39" w16cid:durableId="415903640">
    <w:abstractNumId w:val="1"/>
  </w:num>
  <w:num w:numId="40" w16cid:durableId="1420105204">
    <w:abstractNumId w:val="0"/>
  </w:num>
  <w:num w:numId="41" w16cid:durableId="69081910">
    <w:abstractNumId w:val="10"/>
  </w:num>
  <w:num w:numId="42" w16cid:durableId="1061977109">
    <w:abstractNumId w:val="10"/>
  </w:num>
  <w:num w:numId="43" w16cid:durableId="65879218">
    <w:abstractNumId w:val="10"/>
  </w:num>
  <w:num w:numId="44" w16cid:durableId="1143737886">
    <w:abstractNumId w:val="12"/>
  </w:num>
  <w:num w:numId="45" w16cid:durableId="4659725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86883096">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114/2025"/>
    <w:docVar w:name="dvlangue" w:val="EN"/>
    <w:docVar w:name="dvnumam" w:val="0"/>
    <w:docVar w:name="dvpe" w:val="774.284"/>
    <w:docVar w:name="dvrapporteur" w:val="Rapporteur: "/>
    <w:docVar w:name="dvtitre" w:val="European Parliament decision of 9 July 2025 on the proposal for a decision of the European Parliament and of the Council on the mobilisation of the European Union Solidarity Fund to provide assistance to Austria, Poland, Czechia, Slovakia and Moldova relating to floods occurred in September 2024 and Bosnia and Herzegovina relating to floods occurred in October 2024(COM(2025)0250 – C10-0102/2025 – 2025/0138(BUD))"/>
  </w:docVars>
  <w:rsids>
    <w:rsidRoot w:val="00C9482D"/>
    <w:rsid w:val="00002272"/>
    <w:rsid w:val="00020FFA"/>
    <w:rsid w:val="00032209"/>
    <w:rsid w:val="00045B22"/>
    <w:rsid w:val="00064002"/>
    <w:rsid w:val="000677B9"/>
    <w:rsid w:val="000831BA"/>
    <w:rsid w:val="000A3B8F"/>
    <w:rsid w:val="000A42CC"/>
    <w:rsid w:val="000C19C8"/>
    <w:rsid w:val="000E7DD9"/>
    <w:rsid w:val="0010095E"/>
    <w:rsid w:val="00125B37"/>
    <w:rsid w:val="00187494"/>
    <w:rsid w:val="001F32AE"/>
    <w:rsid w:val="00212E25"/>
    <w:rsid w:val="002767FF"/>
    <w:rsid w:val="002B18FE"/>
    <w:rsid w:val="002B5493"/>
    <w:rsid w:val="002E3FEA"/>
    <w:rsid w:val="002E6BF5"/>
    <w:rsid w:val="002F6663"/>
    <w:rsid w:val="00315F40"/>
    <w:rsid w:val="003326B3"/>
    <w:rsid w:val="00343214"/>
    <w:rsid w:val="00361C00"/>
    <w:rsid w:val="00383276"/>
    <w:rsid w:val="00395FA1"/>
    <w:rsid w:val="003E15D4"/>
    <w:rsid w:val="0040688C"/>
    <w:rsid w:val="00411CCE"/>
    <w:rsid w:val="0041666E"/>
    <w:rsid w:val="00421060"/>
    <w:rsid w:val="004706E1"/>
    <w:rsid w:val="00471C19"/>
    <w:rsid w:val="00483D1C"/>
    <w:rsid w:val="004867E3"/>
    <w:rsid w:val="00494A28"/>
    <w:rsid w:val="004C0004"/>
    <w:rsid w:val="004C5D52"/>
    <w:rsid w:val="004D3887"/>
    <w:rsid w:val="004E3EE0"/>
    <w:rsid w:val="004E6C24"/>
    <w:rsid w:val="0050519A"/>
    <w:rsid w:val="005072A1"/>
    <w:rsid w:val="00514517"/>
    <w:rsid w:val="00545827"/>
    <w:rsid w:val="00560270"/>
    <w:rsid w:val="005C2568"/>
    <w:rsid w:val="005E1A40"/>
    <w:rsid w:val="005F1B17"/>
    <w:rsid w:val="006037C0"/>
    <w:rsid w:val="00652349"/>
    <w:rsid w:val="006631B6"/>
    <w:rsid w:val="00680577"/>
    <w:rsid w:val="006F74FA"/>
    <w:rsid w:val="00731ADD"/>
    <w:rsid w:val="00734777"/>
    <w:rsid w:val="00747932"/>
    <w:rsid w:val="00751A4A"/>
    <w:rsid w:val="00756632"/>
    <w:rsid w:val="00762C74"/>
    <w:rsid w:val="00786EC0"/>
    <w:rsid w:val="007A3ADA"/>
    <w:rsid w:val="007D1690"/>
    <w:rsid w:val="007E22AD"/>
    <w:rsid w:val="007F158C"/>
    <w:rsid w:val="00817416"/>
    <w:rsid w:val="00842779"/>
    <w:rsid w:val="00853A89"/>
    <w:rsid w:val="00865F67"/>
    <w:rsid w:val="00881A7B"/>
    <w:rsid w:val="008840E5"/>
    <w:rsid w:val="00887B3E"/>
    <w:rsid w:val="008C2AC6"/>
    <w:rsid w:val="0092692C"/>
    <w:rsid w:val="00930C23"/>
    <w:rsid w:val="0093193B"/>
    <w:rsid w:val="009509D8"/>
    <w:rsid w:val="00950B64"/>
    <w:rsid w:val="00981893"/>
    <w:rsid w:val="009B6DB2"/>
    <w:rsid w:val="00A04697"/>
    <w:rsid w:val="00A1687D"/>
    <w:rsid w:val="00A43E52"/>
    <w:rsid w:val="00A4678D"/>
    <w:rsid w:val="00A778C7"/>
    <w:rsid w:val="00AB441E"/>
    <w:rsid w:val="00AB6293"/>
    <w:rsid w:val="00AC0F8D"/>
    <w:rsid w:val="00AE0928"/>
    <w:rsid w:val="00AF3B82"/>
    <w:rsid w:val="00B12E95"/>
    <w:rsid w:val="00B14222"/>
    <w:rsid w:val="00B22876"/>
    <w:rsid w:val="00B558F0"/>
    <w:rsid w:val="00BB0FC5"/>
    <w:rsid w:val="00BD48FE"/>
    <w:rsid w:val="00BD7BD8"/>
    <w:rsid w:val="00BE6ADC"/>
    <w:rsid w:val="00C05BFE"/>
    <w:rsid w:val="00C23CD4"/>
    <w:rsid w:val="00C61C0C"/>
    <w:rsid w:val="00C941CB"/>
    <w:rsid w:val="00C9482D"/>
    <w:rsid w:val="00CC2357"/>
    <w:rsid w:val="00CF071A"/>
    <w:rsid w:val="00D058B8"/>
    <w:rsid w:val="00D56C11"/>
    <w:rsid w:val="00D834A0"/>
    <w:rsid w:val="00D872DF"/>
    <w:rsid w:val="00D91E21"/>
    <w:rsid w:val="00DA7FCD"/>
    <w:rsid w:val="00DF6499"/>
    <w:rsid w:val="00E365E1"/>
    <w:rsid w:val="00E820A4"/>
    <w:rsid w:val="00EB006A"/>
    <w:rsid w:val="00EB4772"/>
    <w:rsid w:val="00ED169E"/>
    <w:rsid w:val="00ED4235"/>
    <w:rsid w:val="00F04346"/>
    <w:rsid w:val="00F075DC"/>
    <w:rsid w:val="00F149E9"/>
    <w:rsid w:val="00F5134D"/>
    <w:rsid w:val="00F74202"/>
    <w:rsid w:val="00F87713"/>
    <w:rsid w:val="00F9473B"/>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46065"/>
  <w15:chartTrackingRefBased/>
  <w15:docId w15:val="{9AE7B90B-BCEB-49A2-91F9-59B8F97F8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D3887"/>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4D3887"/>
    <w:pPr>
      <w:keepNext/>
      <w:spacing w:after="480"/>
      <w:jc w:val="center"/>
    </w:pPr>
    <w:rPr>
      <w:rFonts w:ascii="Arial" w:hAnsi="Arial" w:cs="Arial"/>
      <w:b/>
    </w:rPr>
  </w:style>
  <w:style w:type="paragraph" w:customStyle="1" w:styleId="NormalHanging12a">
    <w:name w:val="NormalHanging12a"/>
    <w:basedOn w:val="Normal"/>
    <w:link w:val="NormalHanging12aChar"/>
    <w:rsid w:val="004D3887"/>
    <w:pPr>
      <w:spacing w:after="240"/>
      <w:ind w:left="567" w:hanging="567"/>
    </w:pPr>
  </w:style>
  <w:style w:type="paragraph" w:styleId="Header">
    <w:name w:val="header"/>
    <w:basedOn w:val="Normal"/>
    <w:link w:val="HeaderChar"/>
    <w:rsid w:val="004D3887"/>
    <w:pPr>
      <w:tabs>
        <w:tab w:val="center" w:pos="4513"/>
        <w:tab w:val="right" w:pos="9026"/>
      </w:tabs>
    </w:pPr>
  </w:style>
  <w:style w:type="character" w:customStyle="1" w:styleId="HeaderChar">
    <w:name w:val="Header Char"/>
    <w:basedOn w:val="DefaultParagraphFont"/>
    <w:link w:val="Header"/>
    <w:rsid w:val="004D3887"/>
    <w:rPr>
      <w:sz w:val="24"/>
    </w:rPr>
  </w:style>
  <w:style w:type="paragraph" w:customStyle="1" w:styleId="NormalBold24a">
    <w:name w:val="NormalBold24a"/>
    <w:basedOn w:val="Normal"/>
    <w:rsid w:val="004D3887"/>
    <w:pPr>
      <w:spacing w:after="480"/>
    </w:pPr>
    <w:rPr>
      <w:b/>
      <w:bCs/>
    </w:rPr>
  </w:style>
  <w:style w:type="paragraph" w:customStyle="1" w:styleId="EPFooter">
    <w:name w:val="EPFooter"/>
    <w:basedOn w:val="Normal"/>
    <w:rsid w:val="004D3887"/>
    <w:pPr>
      <w:tabs>
        <w:tab w:val="center" w:pos="4535"/>
        <w:tab w:val="right" w:pos="9071"/>
      </w:tabs>
      <w:spacing w:before="240" w:after="240"/>
    </w:pPr>
    <w:rPr>
      <w:color w:val="010000"/>
      <w:sz w:val="22"/>
    </w:rPr>
  </w:style>
  <w:style w:type="paragraph" w:customStyle="1" w:styleId="EPComma">
    <w:name w:val="EPComma"/>
    <w:basedOn w:val="Normal"/>
    <w:rsid w:val="004D3887"/>
    <w:pPr>
      <w:spacing w:before="480" w:after="240"/>
    </w:pPr>
  </w:style>
  <w:style w:type="character" w:styleId="Hyperlink">
    <w:name w:val="Hyperlink"/>
    <w:basedOn w:val="DefaultParagraphFont"/>
    <w:uiPriority w:val="99"/>
    <w:rsid w:val="004D3887"/>
    <w:rPr>
      <w:color w:val="0563C1" w:themeColor="hyperlink"/>
      <w:u w:val="single"/>
    </w:rPr>
  </w:style>
  <w:style w:type="paragraph" w:styleId="NormalWeb">
    <w:name w:val="Normal (Web)"/>
    <w:basedOn w:val="Normal"/>
    <w:uiPriority w:val="99"/>
    <w:unhideWhenUsed/>
    <w:rsid w:val="004D3887"/>
    <w:pPr>
      <w:widowControl/>
      <w:spacing w:before="100" w:beforeAutospacing="1" w:after="100" w:afterAutospacing="1"/>
    </w:pPr>
    <w:rPr>
      <w:szCs w:val="24"/>
    </w:rPr>
  </w:style>
  <w:style w:type="paragraph" w:customStyle="1" w:styleId="Institutionquisigne">
    <w:name w:val="Institution qui signe"/>
    <w:basedOn w:val="Normal"/>
    <w:next w:val="Normal"/>
    <w:rsid w:val="004D3887"/>
    <w:pPr>
      <w:keepNext/>
      <w:widowControl/>
      <w:tabs>
        <w:tab w:val="left" w:pos="4252"/>
      </w:tabs>
      <w:spacing w:before="720"/>
      <w:jc w:val="both"/>
    </w:pPr>
    <w:rPr>
      <w:rFonts w:eastAsia="Calibri"/>
      <w:i/>
      <w:szCs w:val="22"/>
      <w:lang w:val="fr-FR" w:eastAsia="en-US"/>
    </w:rPr>
  </w:style>
  <w:style w:type="paragraph" w:customStyle="1" w:styleId="Fait">
    <w:name w:val="Fait à"/>
    <w:basedOn w:val="Normal"/>
    <w:next w:val="Institutionquisigne"/>
    <w:rsid w:val="004D3887"/>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4D388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4D388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4D3887"/>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4D3887"/>
    <w:pPr>
      <w:widowControl/>
      <w:tabs>
        <w:tab w:val="left" w:pos="4252"/>
      </w:tabs>
    </w:pPr>
    <w:rPr>
      <w:rFonts w:eastAsiaTheme="minorHAnsi"/>
      <w:i/>
      <w:szCs w:val="22"/>
      <w:lang w:eastAsia="en-US"/>
    </w:rPr>
  </w:style>
  <w:style w:type="paragraph" w:customStyle="1" w:styleId="Point0number">
    <w:name w:val="Point 0 (number)"/>
    <w:basedOn w:val="Normal"/>
    <w:rsid w:val="004D3887"/>
    <w:pPr>
      <w:widowControl/>
      <w:numPr>
        <w:numId w:val="45"/>
      </w:numPr>
      <w:spacing w:before="120" w:after="120"/>
      <w:jc w:val="both"/>
    </w:pPr>
    <w:rPr>
      <w:rFonts w:eastAsiaTheme="minorHAnsi"/>
      <w:szCs w:val="22"/>
      <w:lang w:eastAsia="en-US"/>
    </w:rPr>
  </w:style>
  <w:style w:type="paragraph" w:customStyle="1" w:styleId="Point1number">
    <w:name w:val="Point 1 (number)"/>
    <w:basedOn w:val="Normal"/>
    <w:rsid w:val="004D3887"/>
    <w:pPr>
      <w:widowControl/>
      <w:numPr>
        <w:ilvl w:val="2"/>
        <w:numId w:val="45"/>
      </w:numPr>
      <w:spacing w:before="120" w:after="120"/>
      <w:jc w:val="both"/>
    </w:pPr>
    <w:rPr>
      <w:rFonts w:eastAsiaTheme="minorHAnsi"/>
      <w:szCs w:val="22"/>
      <w:lang w:eastAsia="en-US"/>
    </w:rPr>
  </w:style>
  <w:style w:type="paragraph" w:customStyle="1" w:styleId="Point2number">
    <w:name w:val="Point 2 (number)"/>
    <w:basedOn w:val="Normal"/>
    <w:rsid w:val="004D3887"/>
    <w:pPr>
      <w:widowControl/>
      <w:numPr>
        <w:ilvl w:val="4"/>
        <w:numId w:val="45"/>
      </w:numPr>
      <w:spacing w:before="120" w:after="120"/>
      <w:jc w:val="both"/>
    </w:pPr>
    <w:rPr>
      <w:rFonts w:eastAsiaTheme="minorHAnsi"/>
      <w:szCs w:val="22"/>
      <w:lang w:eastAsia="en-US"/>
    </w:rPr>
  </w:style>
  <w:style w:type="paragraph" w:customStyle="1" w:styleId="Point3number">
    <w:name w:val="Point 3 (number)"/>
    <w:basedOn w:val="Normal"/>
    <w:rsid w:val="004D3887"/>
    <w:pPr>
      <w:widowControl/>
      <w:numPr>
        <w:ilvl w:val="6"/>
        <w:numId w:val="45"/>
      </w:numPr>
      <w:spacing w:before="120" w:after="120"/>
      <w:jc w:val="both"/>
    </w:pPr>
    <w:rPr>
      <w:rFonts w:eastAsiaTheme="minorHAnsi"/>
      <w:szCs w:val="22"/>
      <w:lang w:eastAsia="en-US"/>
    </w:rPr>
  </w:style>
  <w:style w:type="paragraph" w:customStyle="1" w:styleId="Point0letter">
    <w:name w:val="Point 0 (letter)"/>
    <w:basedOn w:val="Normal"/>
    <w:rsid w:val="004D3887"/>
    <w:pPr>
      <w:widowControl/>
      <w:numPr>
        <w:ilvl w:val="1"/>
        <w:numId w:val="45"/>
      </w:numPr>
      <w:spacing w:before="120" w:after="120"/>
      <w:jc w:val="both"/>
    </w:pPr>
    <w:rPr>
      <w:rFonts w:eastAsiaTheme="minorHAnsi"/>
      <w:szCs w:val="22"/>
      <w:lang w:eastAsia="en-US"/>
    </w:rPr>
  </w:style>
  <w:style w:type="paragraph" w:customStyle="1" w:styleId="Point1letter">
    <w:name w:val="Point 1 (letter)"/>
    <w:basedOn w:val="Normal"/>
    <w:rsid w:val="004D3887"/>
    <w:pPr>
      <w:widowControl/>
      <w:numPr>
        <w:ilvl w:val="3"/>
        <w:numId w:val="45"/>
      </w:numPr>
      <w:spacing w:before="120" w:after="120"/>
      <w:jc w:val="both"/>
    </w:pPr>
    <w:rPr>
      <w:rFonts w:eastAsiaTheme="minorHAnsi"/>
      <w:szCs w:val="22"/>
      <w:lang w:eastAsia="en-US"/>
    </w:rPr>
  </w:style>
  <w:style w:type="paragraph" w:customStyle="1" w:styleId="Point2letter">
    <w:name w:val="Point 2 (letter)"/>
    <w:basedOn w:val="Normal"/>
    <w:rsid w:val="004D3887"/>
    <w:pPr>
      <w:widowControl/>
      <w:numPr>
        <w:ilvl w:val="5"/>
        <w:numId w:val="45"/>
      </w:numPr>
      <w:spacing w:before="120" w:after="120"/>
      <w:jc w:val="both"/>
    </w:pPr>
    <w:rPr>
      <w:rFonts w:eastAsiaTheme="minorHAnsi"/>
      <w:szCs w:val="22"/>
      <w:lang w:eastAsia="en-US"/>
    </w:rPr>
  </w:style>
  <w:style w:type="paragraph" w:customStyle="1" w:styleId="Point3letter">
    <w:name w:val="Point 3 (letter)"/>
    <w:basedOn w:val="Normal"/>
    <w:rsid w:val="004D3887"/>
    <w:pPr>
      <w:widowControl/>
      <w:numPr>
        <w:ilvl w:val="7"/>
        <w:numId w:val="45"/>
      </w:numPr>
      <w:spacing w:before="120" w:after="120"/>
      <w:jc w:val="both"/>
    </w:pPr>
    <w:rPr>
      <w:rFonts w:eastAsiaTheme="minorHAnsi"/>
      <w:szCs w:val="22"/>
      <w:lang w:eastAsia="en-US"/>
    </w:rPr>
  </w:style>
  <w:style w:type="paragraph" w:customStyle="1" w:styleId="Point4letter">
    <w:name w:val="Point 4 (letter)"/>
    <w:basedOn w:val="Normal"/>
    <w:rsid w:val="004D3887"/>
    <w:pPr>
      <w:widowControl/>
      <w:numPr>
        <w:ilvl w:val="8"/>
        <w:numId w:val="45"/>
      </w:numPr>
      <w:spacing w:before="120" w:after="120"/>
      <w:jc w:val="both"/>
    </w:pPr>
    <w:rPr>
      <w:rFonts w:eastAsiaTheme="minorHAnsi"/>
      <w:szCs w:val="22"/>
      <w:lang w:eastAsia="en-US"/>
    </w:rPr>
  </w:style>
  <w:style w:type="paragraph" w:customStyle="1" w:styleId="Considrant">
    <w:name w:val="Considérant"/>
    <w:basedOn w:val="Normal"/>
    <w:rsid w:val="004D3887"/>
    <w:pPr>
      <w:widowControl/>
      <w:numPr>
        <w:numId w:val="46"/>
      </w:numPr>
      <w:spacing w:before="120" w:after="120"/>
      <w:jc w:val="both"/>
    </w:pPr>
    <w:rPr>
      <w:rFonts w:eastAsiaTheme="minorHAnsi"/>
      <w:szCs w:val="22"/>
      <w:lang w:eastAsia="en-US"/>
    </w:rPr>
  </w:style>
  <w:style w:type="character" w:customStyle="1" w:styleId="NormalHanging12aChar">
    <w:name w:val="NormalHanging12a Char"/>
    <w:basedOn w:val="DefaultParagraphFont"/>
    <w:link w:val="NormalHanging12a"/>
    <w:locked/>
    <w:rsid w:val="004D3887"/>
    <w:rPr>
      <w:sz w:val="24"/>
    </w:rPr>
  </w:style>
  <w:style w:type="paragraph" w:styleId="Footer">
    <w:name w:val="footer"/>
    <w:basedOn w:val="Normal"/>
    <w:link w:val="FooterChar"/>
    <w:rsid w:val="00020FFA"/>
    <w:pPr>
      <w:tabs>
        <w:tab w:val="center" w:pos="4513"/>
        <w:tab w:val="right" w:pos="9026"/>
      </w:tabs>
    </w:pPr>
  </w:style>
  <w:style w:type="character" w:customStyle="1" w:styleId="FooterChar">
    <w:name w:val="Footer Char"/>
    <w:basedOn w:val="DefaultParagraphFont"/>
    <w:link w:val="Footer"/>
    <w:rsid w:val="00020FFA"/>
    <w:rPr>
      <w:sz w:val="24"/>
    </w:rPr>
  </w:style>
  <w:style w:type="character" w:styleId="FollowedHyperlink">
    <w:name w:val="FollowedHyperlink"/>
    <w:basedOn w:val="DefaultParagraphFont"/>
    <w:rsid w:val="00DF6499"/>
    <w:rPr>
      <w:color w:val="954F72" w:themeColor="followedHyperlink"/>
      <w:u w:val="single"/>
    </w:rPr>
  </w:style>
  <w:style w:type="paragraph" w:styleId="BalloonText">
    <w:name w:val="Balloon Text"/>
    <w:basedOn w:val="Normal"/>
    <w:link w:val="BalloonTextChar"/>
    <w:rsid w:val="009B6DB2"/>
    <w:rPr>
      <w:rFonts w:ascii="Segoe UI" w:hAnsi="Segoe UI" w:cs="Segoe UI"/>
      <w:sz w:val="18"/>
      <w:szCs w:val="18"/>
    </w:rPr>
  </w:style>
  <w:style w:type="character" w:customStyle="1" w:styleId="BalloonTextChar">
    <w:name w:val="Balloon Text Char"/>
    <w:basedOn w:val="DefaultParagraphFont"/>
    <w:link w:val="BalloonText"/>
    <w:rsid w:val="009B6DB2"/>
    <w:rPr>
      <w:rFonts w:ascii="Segoe UI" w:hAnsi="Segoe UI" w:cs="Segoe UI"/>
      <w:sz w:val="18"/>
      <w:szCs w:val="18"/>
    </w:rPr>
  </w:style>
  <w:style w:type="character" w:styleId="CommentReference">
    <w:name w:val="annotation reference"/>
    <w:basedOn w:val="DefaultParagraphFont"/>
    <w:rsid w:val="0092692C"/>
    <w:rPr>
      <w:sz w:val="16"/>
      <w:szCs w:val="16"/>
    </w:rPr>
  </w:style>
  <w:style w:type="paragraph" w:styleId="CommentText">
    <w:name w:val="annotation text"/>
    <w:basedOn w:val="Normal"/>
    <w:link w:val="CommentTextChar"/>
    <w:rsid w:val="0092692C"/>
    <w:rPr>
      <w:sz w:val="20"/>
    </w:rPr>
  </w:style>
  <w:style w:type="character" w:customStyle="1" w:styleId="CommentTextChar">
    <w:name w:val="Comment Text Char"/>
    <w:basedOn w:val="DefaultParagraphFont"/>
    <w:link w:val="CommentText"/>
    <w:rsid w:val="0092692C"/>
  </w:style>
  <w:style w:type="paragraph" w:styleId="CommentSubject">
    <w:name w:val="annotation subject"/>
    <w:basedOn w:val="CommentText"/>
    <w:next w:val="CommentText"/>
    <w:link w:val="CommentSubjectChar"/>
    <w:rsid w:val="0092692C"/>
    <w:rPr>
      <w:b/>
      <w:bCs/>
    </w:rPr>
  </w:style>
  <w:style w:type="character" w:customStyle="1" w:styleId="CommentSubjectChar">
    <w:name w:val="Comment Subject Char"/>
    <w:basedOn w:val="CommentTextChar"/>
    <w:link w:val="CommentSubject"/>
    <w:rsid w:val="0092692C"/>
    <w:rPr>
      <w:b/>
      <w:bCs/>
    </w:rPr>
  </w:style>
  <w:style w:type="character" w:styleId="UnresolvedMention">
    <w:name w:val="Unresolved Mention"/>
    <w:basedOn w:val="DefaultParagraphFont"/>
    <w:uiPriority w:val="99"/>
    <w:semiHidden/>
    <w:unhideWhenUsed/>
    <w:rsid w:val="00AC0F8D"/>
    <w:rPr>
      <w:color w:val="605E5C"/>
      <w:shd w:val="clear" w:color="auto" w:fill="E1DFDD"/>
    </w:rPr>
  </w:style>
  <w:style w:type="paragraph" w:styleId="Revision">
    <w:name w:val="Revision"/>
    <w:hidden/>
    <w:uiPriority w:val="99"/>
    <w:semiHidden/>
    <w:rsid w:val="00AC0F8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eea.europa.eu/publications/european-climate-risk-assessment" TargetMode="External"/><Relationship Id="rId3" Type="http://schemas.openxmlformats.org/officeDocument/2006/relationships/hyperlink" Target="http://data.europa.eu/eli/agree_interinstit/2020/1222/oj" TargetMode="External"/><Relationship Id="rId7" Type="http://schemas.openxmlformats.org/officeDocument/2006/relationships/hyperlink" Target="http://data.europa.eu/eli/reg/2024/3236/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02/2012/oj" TargetMode="External"/><Relationship Id="rId6" Type="http://schemas.openxmlformats.org/officeDocument/2006/relationships/hyperlink" Target="http://data.europa.eu/eli/reg/2021/2115/oj" TargetMode="External"/><Relationship Id="rId5" Type="http://schemas.openxmlformats.org/officeDocument/2006/relationships/hyperlink" Target="http://data.europa.eu/eli/reg/2021/1057/oj" TargetMode="External"/><Relationship Id="rId10" Type="http://schemas.openxmlformats.org/officeDocument/2006/relationships/hyperlink" Target="http://data.europa.eu/eli/reg/2024/3242/oj" TargetMode="External"/><Relationship Id="rId4" Type="http://schemas.openxmlformats.org/officeDocument/2006/relationships/hyperlink" Target="http://data.europa.eu/eli/reg/2021/1058/oj" TargetMode="External"/><Relationship Id="rId9" Type="http://schemas.openxmlformats.org/officeDocument/2006/relationships/hyperlink" Target="http://data.europa.eu/eli/reg/2021/2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90CBB8-C57E-4035-809F-2CFF86182BEC}">
  <ds:schemaRefs>
    <ds:schemaRef ds:uri="http://schemas.microsoft.com/sharepoint/v3/contenttype/forms"/>
  </ds:schemaRefs>
</ds:datastoreItem>
</file>

<file path=customXml/itemProps2.xml><?xml version="1.0" encoding="utf-8"?>
<ds:datastoreItem xmlns:ds="http://schemas.openxmlformats.org/officeDocument/2006/customXml" ds:itemID="{9E55ACC2-1AB6-4E28-AEC8-86777CF789A5}">
  <ds:schemaRefs>
    <ds:schemaRef ds:uri="http://schemas.openxmlformats.org/officeDocument/2006/bibliography"/>
  </ds:schemaRefs>
</ds:datastoreItem>
</file>

<file path=customXml/itemProps3.xml><?xml version="1.0" encoding="utf-8"?>
<ds:datastoreItem xmlns:ds="http://schemas.openxmlformats.org/officeDocument/2006/customXml" ds:itemID="{BA17ED6B-3A45-4FE2-9567-F1F72337F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666576D-89AB-4351-A1A5-2F15F7143A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1781</Words>
  <Characters>10157</Characters>
  <Application>Microsoft Office Word</Application>
  <DocSecurity>0</DocSecurity>
  <Lines>156</Lines>
  <Paragraphs>38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2025-07-02T12:18:00Z</cp:lastPrinted>
  <dcterms:created xsi:type="dcterms:W3CDTF">2025-10-21T13:34:00Z</dcterms:created>
  <dcterms:modified xsi:type="dcterms:W3CDTF">2025-10-21T13:34:00Z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A10-0114/2025</vt:lpwstr>
  </property>
  <property fmtid="{D5CDD505-2E9C-101B-9397-08002B2CF9AE}" pid="4" name="&lt;Type&gt;">
    <vt:lpwstr>RR</vt:lpwstr>
  </property>
  <property fmtid="{D5CDD505-2E9C-101B-9397-08002B2CF9AE}" pid="5" name="ContentTypeId">
    <vt:lpwstr>0x010100899E3BDEB9E2C641AB20B9B5ECEF7390</vt:lpwstr>
  </property>
</Properties>
</file>