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2D3D" w14:paraId="700C95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7DA5B2" w14:textId="77777777" w:rsidR="00751A4A" w:rsidRPr="006D2D3D" w:rsidRDefault="003A254E" w:rsidP="0010095E">
            <w:pPr>
              <w:pStyle w:val="EPName"/>
            </w:pPr>
            <w:r w:rsidRPr="006D2D3D">
              <w:t>Europski parlament</w:t>
            </w:r>
          </w:p>
          <w:p w14:paraId="6D4A576E" w14:textId="77777777" w:rsidR="00751A4A" w:rsidRPr="006D2D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2D3D">
              <w:t>2024</w:t>
            </w:r>
            <w:r w:rsidR="00817416" w:rsidRPr="006D2D3D">
              <w:t>-202</w:t>
            </w:r>
            <w:r w:rsidRPr="006D2D3D">
              <w:t>9</w:t>
            </w:r>
          </w:p>
        </w:tc>
        <w:tc>
          <w:tcPr>
            <w:tcW w:w="2268" w:type="dxa"/>
            <w:shd w:val="clear" w:color="auto" w:fill="auto"/>
          </w:tcPr>
          <w:p w14:paraId="580918E3" w14:textId="77777777" w:rsidR="00751A4A" w:rsidRPr="006D2D3D" w:rsidRDefault="00187494" w:rsidP="0010095E">
            <w:pPr>
              <w:pStyle w:val="EPLogo"/>
            </w:pPr>
            <w:r w:rsidRPr="006D2D3D">
              <w:rPr>
                <w:noProof/>
                <w:lang w:val="en-GB"/>
              </w:rPr>
              <w:drawing>
                <wp:inline distT="0" distB="0" distL="0" distR="0" wp14:anchorId="1103C21A" wp14:editId="583A18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10214" w14:textId="77777777" w:rsidR="00D058B8" w:rsidRPr="006D2D3D" w:rsidRDefault="00D058B8" w:rsidP="004C5D52">
      <w:pPr>
        <w:pStyle w:val="LineTop"/>
      </w:pPr>
    </w:p>
    <w:p w14:paraId="60798803" w14:textId="77777777" w:rsidR="00680577" w:rsidRPr="006D2D3D" w:rsidRDefault="003A254E" w:rsidP="00680577">
      <w:pPr>
        <w:pStyle w:val="EPBodyTA1"/>
      </w:pPr>
      <w:r w:rsidRPr="006D2D3D">
        <w:t>USVOJENI TEKSTOVI</w:t>
      </w:r>
    </w:p>
    <w:p w14:paraId="3163D79F" w14:textId="77777777" w:rsidR="00D058B8" w:rsidRPr="006D2D3D" w:rsidRDefault="00D058B8" w:rsidP="00D058B8">
      <w:pPr>
        <w:pStyle w:val="LineBottom"/>
      </w:pPr>
    </w:p>
    <w:p w14:paraId="5E53C441" w14:textId="77777777" w:rsidR="003A254E" w:rsidRPr="006D2D3D" w:rsidRDefault="003A254E" w:rsidP="003A254E">
      <w:pPr>
        <w:pStyle w:val="ATHeading1"/>
      </w:pPr>
      <w:bookmarkStart w:id="0" w:name="TANumber"/>
      <w:r w:rsidRPr="006D2D3D">
        <w:t>P10_TA(2025)0</w:t>
      </w:r>
      <w:r w:rsidR="008749DC">
        <w:t>152</w:t>
      </w:r>
      <w:bookmarkEnd w:id="0"/>
    </w:p>
    <w:p w14:paraId="4E9CD51E" w14:textId="77777777" w:rsidR="003A254E" w:rsidRPr="006D2D3D" w:rsidRDefault="003A254E" w:rsidP="003A254E">
      <w:pPr>
        <w:pStyle w:val="ATHeading2"/>
      </w:pPr>
      <w:bookmarkStart w:id="1" w:name="title"/>
      <w:r w:rsidRPr="006D2D3D">
        <w:t xml:space="preserve">Mobilizacija Fonda solidarnosti Europske unije: pomoć Austriji, Poljskoj, Češkoj, Slovačkoj i </w:t>
      </w:r>
      <w:proofErr w:type="spellStart"/>
      <w:r w:rsidRPr="006D2D3D">
        <w:t>Moldovi</w:t>
      </w:r>
      <w:proofErr w:type="spellEnd"/>
      <w:r w:rsidRPr="006D2D3D">
        <w:t xml:space="preserve"> u vezi s poplavama koje su se dogodile u rujnu 2024. te Bosni i Hercegovini u vezi s poplavama koje su se dogodile u listopadu 2024.</w:t>
      </w:r>
      <w:bookmarkEnd w:id="1"/>
    </w:p>
    <w:p w14:paraId="71A8C220" w14:textId="77777777" w:rsidR="003A254E" w:rsidRPr="006D2D3D" w:rsidRDefault="003A254E" w:rsidP="003A254E">
      <w:pPr>
        <w:rPr>
          <w:i/>
          <w:vanish/>
        </w:rPr>
      </w:pPr>
      <w:r w:rsidRPr="006D2D3D">
        <w:rPr>
          <w:i/>
        </w:rPr>
        <w:fldChar w:fldCharType="begin"/>
      </w:r>
      <w:r w:rsidRPr="006D2D3D">
        <w:rPr>
          <w:i/>
        </w:rPr>
        <w:instrText xml:space="preserve"> TC"(</w:instrText>
      </w:r>
      <w:bookmarkStart w:id="2" w:name="DocNumber"/>
      <w:r w:rsidRPr="006D2D3D">
        <w:rPr>
          <w:i/>
        </w:rPr>
        <w:instrText>A10-0114/2025</w:instrText>
      </w:r>
      <w:bookmarkEnd w:id="2"/>
      <w:r w:rsidRPr="006D2D3D">
        <w:rPr>
          <w:i/>
        </w:rPr>
        <w:instrText xml:space="preserve"> - Izvjestitelj: Andrzej Halicki)"\l3 \n&gt; \* MERGEFORMAT </w:instrText>
      </w:r>
      <w:r w:rsidRPr="006D2D3D">
        <w:rPr>
          <w:i/>
        </w:rPr>
        <w:fldChar w:fldCharType="end"/>
      </w:r>
    </w:p>
    <w:p w14:paraId="722C4AD8" w14:textId="77777777" w:rsidR="003A254E" w:rsidRPr="006D2D3D" w:rsidRDefault="003A254E" w:rsidP="003A254E">
      <w:pPr>
        <w:rPr>
          <w:vanish/>
        </w:rPr>
      </w:pPr>
      <w:bookmarkStart w:id="3" w:name="Commission"/>
      <w:r w:rsidRPr="006D2D3D">
        <w:rPr>
          <w:vanish/>
        </w:rPr>
        <w:t>Odbor za proračune</w:t>
      </w:r>
      <w:bookmarkEnd w:id="3"/>
    </w:p>
    <w:p w14:paraId="28403F2D" w14:textId="77777777" w:rsidR="003A254E" w:rsidRPr="006D2D3D" w:rsidRDefault="003A254E" w:rsidP="003A254E">
      <w:pPr>
        <w:rPr>
          <w:vanish/>
        </w:rPr>
      </w:pPr>
      <w:bookmarkStart w:id="4" w:name="PE"/>
      <w:r w:rsidRPr="006D2D3D">
        <w:rPr>
          <w:vanish/>
        </w:rPr>
        <w:t>PE774.284</w:t>
      </w:r>
      <w:bookmarkEnd w:id="4"/>
    </w:p>
    <w:p w14:paraId="43C45AD1" w14:textId="77777777" w:rsidR="003A254E" w:rsidRPr="006D2D3D" w:rsidRDefault="003A254E" w:rsidP="003A254E">
      <w:pPr>
        <w:pStyle w:val="ATHeading3"/>
      </w:pPr>
      <w:bookmarkStart w:id="5" w:name="Sujet"/>
      <w:r w:rsidRPr="006D2D3D">
        <w:t>Rezolucija Euro</w:t>
      </w:r>
      <w:r w:rsidR="00FC6DD7">
        <w:t xml:space="preserve">pskog parlamenta od 9. </w:t>
      </w:r>
      <w:r w:rsidR="008B0542">
        <w:t>srpnja</w:t>
      </w:r>
      <w:r w:rsidRPr="006D2D3D">
        <w:t xml:space="preserve"> 2025. o Prijedlogu odluke Europskog parlamenta i Vijeća o mobilizaciji Fonda solidarnosti Europske unije radi pružanja pomoći Austriji, Poljskoj, Češkoj, Slovačkoj i </w:t>
      </w:r>
      <w:proofErr w:type="spellStart"/>
      <w:r w:rsidRPr="006D2D3D">
        <w:t>Moldovi</w:t>
      </w:r>
      <w:proofErr w:type="spellEnd"/>
      <w:r w:rsidRPr="006D2D3D">
        <w:t xml:space="preserve"> u vezi s poplavama koje su se dogodile u rujnu 2024. te Bosni i Hercegovini u vezi s poplavama koje su se dogodile u listopadu 2024.</w:t>
      </w:r>
      <w:bookmarkEnd w:id="5"/>
      <w:r w:rsidRPr="006D2D3D">
        <w:t xml:space="preserve"> </w:t>
      </w:r>
      <w:bookmarkStart w:id="6" w:name="References"/>
      <w:r w:rsidRPr="006D2D3D">
        <w:t>(COM(2025)0250 – C10-0102/2025 – 2025/0138(BUD))</w:t>
      </w:r>
      <w:bookmarkEnd w:id="6"/>
    </w:p>
    <w:p w14:paraId="5EDCE9FA" w14:textId="77777777" w:rsidR="006168B7" w:rsidRPr="006D2D3D" w:rsidRDefault="006168B7" w:rsidP="006168B7">
      <w:pPr>
        <w:pStyle w:val="EPComma"/>
        <w:rPr>
          <w:noProof/>
        </w:rPr>
      </w:pPr>
      <w:r w:rsidRPr="006D2D3D">
        <w:rPr>
          <w:i/>
        </w:rPr>
        <w:t>Europski parlament</w:t>
      </w:r>
      <w:r w:rsidRPr="006D2D3D">
        <w:t>,</w:t>
      </w:r>
    </w:p>
    <w:p w14:paraId="5C0904CB" w14:textId="77777777" w:rsidR="006168B7" w:rsidRPr="006D2D3D" w:rsidRDefault="006168B7" w:rsidP="006168B7">
      <w:pPr>
        <w:pStyle w:val="NormalHanging12a"/>
        <w:rPr>
          <w:noProof/>
        </w:rPr>
      </w:pPr>
      <w:r w:rsidRPr="006D2D3D">
        <w:t>–</w:t>
      </w:r>
      <w:r w:rsidRPr="006D2D3D">
        <w:tab/>
        <w:t>uzimajući u obzir prijedlog Komisije upućen Europskom parlamentu i Vijeću (COM(2025)0250 – C10</w:t>
      </w:r>
      <w:r w:rsidRPr="006D2D3D">
        <w:noBreakHyphen/>
        <w:t>0102/2025),</w:t>
      </w:r>
    </w:p>
    <w:p w14:paraId="6109CBF1" w14:textId="77777777" w:rsidR="006168B7" w:rsidRPr="006D2D3D" w:rsidRDefault="006168B7" w:rsidP="006168B7">
      <w:pPr>
        <w:pStyle w:val="NormalHanging12a"/>
        <w:rPr>
          <w:noProof/>
        </w:rPr>
      </w:pPr>
      <w:r w:rsidRPr="006D2D3D">
        <w:t>–</w:t>
      </w:r>
      <w:r w:rsidRPr="006D2D3D">
        <w:tab/>
        <w:t>uzimajući u obzir Uredbu Vijeća (EZ) br. 2012/2002 od 11. studenoga 2002. o osnivanju Fonda solidarnosti Europske unije</w:t>
      </w:r>
      <w:r w:rsidRPr="006D2D3D">
        <w:rPr>
          <w:rStyle w:val="FootnoteReference"/>
        </w:rPr>
        <w:footnoteReference w:id="1"/>
      </w:r>
      <w:r w:rsidRPr="006D2D3D">
        <w:t>,</w:t>
      </w:r>
    </w:p>
    <w:p w14:paraId="4FE1C17B" w14:textId="4B7050B5" w:rsidR="006168B7" w:rsidRPr="006D2D3D" w:rsidRDefault="006168B7" w:rsidP="006168B7">
      <w:pPr>
        <w:pStyle w:val="NormalHanging12a"/>
        <w:rPr>
          <w:noProof/>
        </w:rPr>
      </w:pPr>
      <w:r w:rsidRPr="006D2D3D">
        <w:t>–</w:t>
      </w:r>
      <w:r w:rsidRPr="006D2D3D">
        <w:tab/>
        <w:t>uzimajući u obzir Uredbu Vijeća (EU, Euratom) 2020/2093 od 17. prosinca 2020. kojom se utvrđuje višegodišnji financijski okvir za razdoblje 2021. – 2027.</w:t>
      </w:r>
      <w:r w:rsidRPr="006D2D3D">
        <w:rPr>
          <w:rStyle w:val="FootnoteReference"/>
          <w:noProof/>
        </w:rPr>
        <w:footnoteReference w:id="2"/>
      </w:r>
      <w:r w:rsidRPr="006D2D3D">
        <w:t>, a posebno njezin članak 9.,</w:t>
      </w:r>
    </w:p>
    <w:p w14:paraId="22C858DD" w14:textId="77777777" w:rsidR="006168B7" w:rsidRPr="006D2D3D" w:rsidRDefault="006168B7" w:rsidP="006168B7">
      <w:pPr>
        <w:pStyle w:val="NormalHanging12a"/>
        <w:rPr>
          <w:noProof/>
        </w:rPr>
      </w:pPr>
      <w:r w:rsidRPr="006D2D3D">
        <w:t>–</w:t>
      </w:r>
      <w:r w:rsidRPr="006D2D3D">
        <w:tab/>
        <w:t xml:space="preserve">uzimajući u obzir </w:t>
      </w:r>
      <w:proofErr w:type="spellStart"/>
      <w:r w:rsidRPr="006D2D3D">
        <w:t>Međuinstitucijski</w:t>
      </w:r>
      <w:proofErr w:type="spellEnd"/>
      <w:r w:rsidRPr="006D2D3D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6D2D3D">
        <w:rPr>
          <w:rStyle w:val="FootnoteReference"/>
          <w:noProof/>
        </w:rPr>
        <w:footnoteReference w:id="3"/>
      </w:r>
      <w:r w:rsidRPr="006D2D3D">
        <w:t>, a posebno njegovu točku 10.,</w:t>
      </w:r>
    </w:p>
    <w:p w14:paraId="7B05CD34" w14:textId="77777777" w:rsidR="006168B7" w:rsidRPr="006D2D3D" w:rsidRDefault="006168B7" w:rsidP="006168B7">
      <w:pPr>
        <w:pStyle w:val="NormalHanging12a"/>
      </w:pPr>
      <w:r w:rsidRPr="006D2D3D">
        <w:t>–</w:t>
      </w:r>
      <w:r w:rsidRPr="006D2D3D">
        <w:tab/>
        <w:t xml:space="preserve">uzimajući u obzir Uredbu (EU) 2021/1058 Europskog parlamenta i Vijeća od </w:t>
      </w:r>
      <w:r w:rsidRPr="006D2D3D">
        <w:lastRenderedPageBreak/>
        <w:t>24. lipnja 2021. o Europskom fondu za regionalni razvoj i Kohezijskom fondu</w:t>
      </w:r>
      <w:r w:rsidRPr="006D2D3D">
        <w:rPr>
          <w:rStyle w:val="FootnoteReference"/>
        </w:rPr>
        <w:footnoteReference w:id="4"/>
      </w:r>
      <w:r w:rsidRPr="006D2D3D">
        <w:t xml:space="preserve">, </w:t>
      </w:r>
    </w:p>
    <w:p w14:paraId="289E4990" w14:textId="77777777" w:rsidR="006168B7" w:rsidRPr="006D2D3D" w:rsidRDefault="006168B7" w:rsidP="006168B7">
      <w:pPr>
        <w:pStyle w:val="NormalHanging12a"/>
      </w:pPr>
      <w:r w:rsidRPr="006D2D3D">
        <w:t>–</w:t>
      </w:r>
      <w:r w:rsidRPr="006D2D3D">
        <w:tab/>
        <w:t>uzimajući u obzir Uredbu (EU) 2021/1057 Europskog parlamenta i Vijeća od 24. lipnja 2021. o uspostavi Europskog socijalnog fonda plus (ESF+)</w:t>
      </w:r>
      <w:r w:rsidRPr="006D2D3D">
        <w:rPr>
          <w:rStyle w:val="FootnoteReference"/>
        </w:rPr>
        <w:footnoteReference w:id="5"/>
      </w:r>
      <w:r w:rsidRPr="006D2D3D">
        <w:t xml:space="preserve">, </w:t>
      </w:r>
    </w:p>
    <w:p w14:paraId="5B78F4F3" w14:textId="77777777" w:rsidR="006168B7" w:rsidRPr="006D2D3D" w:rsidRDefault="006168B7" w:rsidP="006168B7">
      <w:pPr>
        <w:pStyle w:val="NormalHanging12a"/>
        <w:rPr>
          <w:noProof/>
        </w:rPr>
      </w:pPr>
      <w:r w:rsidRPr="006D2D3D">
        <w:t>–</w:t>
      </w:r>
      <w:r w:rsidRPr="006D2D3D">
        <w:tab/>
        <w:t>uzimajući u obzir Uredbu (EU) 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</w:t>
      </w:r>
      <w:r w:rsidRPr="006D2D3D">
        <w:rPr>
          <w:rStyle w:val="FootnoteReference"/>
          <w:noProof/>
        </w:rPr>
        <w:footnoteReference w:id="6"/>
      </w:r>
      <w:r w:rsidRPr="006D2D3D">
        <w:t xml:space="preserve">, </w:t>
      </w:r>
    </w:p>
    <w:p w14:paraId="4A59EDBC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–</w:t>
      </w:r>
      <w:r w:rsidRPr="006D2D3D">
        <w:tab/>
        <w:t>uzimajući u obzir svoju Rezoluciju od 27. veljače 2024. o Nacrtu uredbe Vijeća o izmjeni Uredbe (EU, Euratom) 2020/2093 kojom se uspostavlja višegodišnji financijski okvir za razdoblje 2021. – 2027.</w:t>
      </w:r>
      <w:r w:rsidRPr="006D2D3D">
        <w:rPr>
          <w:rStyle w:val="FootnoteReference"/>
        </w:rPr>
        <w:footnoteReference w:id="7"/>
      </w:r>
      <w:r w:rsidRPr="006D2D3D">
        <w:t>,</w:t>
      </w:r>
    </w:p>
    <w:p w14:paraId="3CC42A91" w14:textId="77777777" w:rsidR="00F85E26" w:rsidRDefault="006168B7" w:rsidP="006168B7">
      <w:pPr>
        <w:pStyle w:val="NormalWeb"/>
        <w:shd w:val="clear" w:color="auto" w:fill="FFFFFF"/>
        <w:ind w:left="567" w:hanging="567"/>
      </w:pPr>
      <w:r w:rsidRPr="006D2D3D">
        <w:t>–</w:t>
      </w:r>
      <w:r w:rsidRPr="006D2D3D">
        <w:rPr>
          <w:b/>
          <w:i/>
        </w:rPr>
        <w:tab/>
      </w:r>
      <w:r w:rsidR="00FC6DD7" w:rsidRPr="0085440B">
        <w:t>uzimajući u obzir izvješće</w:t>
      </w:r>
      <w:r w:rsidR="00FC6DD7" w:rsidRPr="00FC6DD7">
        <w:rPr>
          <w:b/>
          <w:i/>
        </w:rPr>
        <w:t xml:space="preserve"> </w:t>
      </w:r>
      <w:r w:rsidR="00FC6DD7" w:rsidRPr="0085440B">
        <w:t>Odbora za zapošljavanje i socijalna pitanja i Odbora za regionalni razvoj</w:t>
      </w:r>
      <w:r w:rsidR="00FC6DD7">
        <w:t xml:space="preserve"> </w:t>
      </w:r>
      <w:r w:rsidR="00FC6DD7" w:rsidRPr="00FC6DD7">
        <w:t>(A10-0031/2024) u okviru</w:t>
      </w:r>
      <w:r w:rsidR="00FC6DD7">
        <w:t xml:space="preserve"> </w:t>
      </w:r>
      <w:r w:rsidR="00FC6DD7" w:rsidRPr="00FC6DD7">
        <w:t>zakonodavnog postupka</w:t>
      </w:r>
      <w:r w:rsidR="00FC6DD7">
        <w:t xml:space="preserve"> </w:t>
      </w:r>
      <w:r w:rsidR="00C348A5">
        <w:t xml:space="preserve">donošenja Uredbe </w:t>
      </w:r>
      <w:r w:rsidR="00C348A5" w:rsidRPr="00F85E26">
        <w:t>(EU) 2024/3236 Europskog parlamenta i Vijeća od 19. prosinca 2024. o izmjeni uredaba (EU) 2021/1057 i (EU) 2021/1058 u pogledu regionalne hitne potpore za obnovu (RESTORE)</w:t>
      </w:r>
      <w:r w:rsidR="00C348A5">
        <w:rPr>
          <w:rStyle w:val="FootnoteReference"/>
          <w:lang w:val="en-GB"/>
        </w:rPr>
        <w:footnoteReference w:id="8"/>
      </w:r>
      <w:r w:rsidR="00C348A5" w:rsidRPr="00F85E26">
        <w:t xml:space="preserve"> </w:t>
      </w:r>
      <w:r w:rsidR="00C348A5">
        <w:t xml:space="preserve">a </w:t>
      </w:r>
      <w:r w:rsidR="00C348A5" w:rsidRPr="00C348A5">
        <w:t>posebno</w:t>
      </w:r>
      <w:r w:rsidR="00C348A5">
        <w:t xml:space="preserve"> proračunsku procjenu </w:t>
      </w:r>
      <w:r w:rsidR="00C348A5" w:rsidRPr="00C348A5">
        <w:t>Odbor</w:t>
      </w:r>
      <w:r w:rsidR="00C348A5">
        <w:t>a</w:t>
      </w:r>
      <w:r w:rsidR="00C348A5" w:rsidRPr="00C348A5">
        <w:t xml:space="preserve"> za proračune </w:t>
      </w:r>
      <w:r w:rsidR="00C348A5">
        <w:t>priloženu</w:t>
      </w:r>
      <w:r w:rsidR="00C348A5" w:rsidRPr="00C348A5">
        <w:t xml:space="preserve"> tom izvješću</w:t>
      </w:r>
      <w:r w:rsidR="00C348A5">
        <w:t>,</w:t>
      </w:r>
    </w:p>
    <w:p w14:paraId="77022EDE" w14:textId="2ED50240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–</w:t>
      </w:r>
      <w:r w:rsidRPr="006D2D3D">
        <w:tab/>
        <w:t>uzimajući u obzir izvješće Europske agencije za okoliš br. 1/2024 – Europska procjena klimatskih rizika (EUCRA)</w:t>
      </w:r>
      <w:r w:rsidRPr="006D2D3D">
        <w:rPr>
          <w:rStyle w:val="FootnoteReference"/>
        </w:rPr>
        <w:footnoteReference w:id="9"/>
      </w:r>
      <w:r w:rsidRPr="006D2D3D">
        <w:t>,</w:t>
      </w:r>
    </w:p>
    <w:p w14:paraId="29CCF83B" w14:textId="77777777" w:rsidR="006168B7" w:rsidRPr="006D2D3D" w:rsidRDefault="006168B7" w:rsidP="006168B7">
      <w:pPr>
        <w:pStyle w:val="NormalHanging12a"/>
      </w:pPr>
      <w:r w:rsidRPr="006D2D3D">
        <w:t>–</w:t>
      </w:r>
      <w:r w:rsidRPr="006D2D3D">
        <w:tab/>
        <w:t>uzimajući u obzir izvješće Odbora za proračune (A10</w:t>
      </w:r>
      <w:r w:rsidRPr="006D2D3D">
        <w:noBreakHyphen/>
        <w:t>0114/2025),</w:t>
      </w:r>
    </w:p>
    <w:p w14:paraId="375BB365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A.</w:t>
      </w:r>
      <w:r w:rsidRPr="006D2D3D">
        <w:tab/>
        <w:t xml:space="preserve">budući da je u rujnu 2024. u Austriji došlo do iznimno obilnih padalina koje su prouzročile velike poplave, što je dovelo do ukupne izravne štete koju su austrijske vlasti procijenile na 1 711,6 milijuna EUR; </w:t>
      </w:r>
    </w:p>
    <w:p w14:paraId="53FDF9DD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B.</w:t>
      </w:r>
      <w:r w:rsidRPr="006D2D3D">
        <w:tab/>
        <w:t>budući da je u rujnu 2024. u jugozapadnoj Poljskoj došlo do obilnih kiša koje su prouzročile poplave nekoliko rijeka, što je dovelo do ukupne izravne štete koju su poljske vlasti procijenile na 3,04 milijarde EUR;</w:t>
      </w:r>
    </w:p>
    <w:p w14:paraId="51677AC3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C.</w:t>
      </w:r>
      <w:r w:rsidRPr="006D2D3D">
        <w:tab/>
        <w:t>budući da su u rujnu 2024. cijelu Češku pogodili vrlo jaki vjetrovi i obilne kiše, što je prouzročilo poplave koje su dovele do ukupne izravne štete koju su češke vlasti procijenile na 2,82 milijarde EUR;</w:t>
      </w:r>
    </w:p>
    <w:p w14:paraId="09DD5EC3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D.</w:t>
      </w:r>
      <w:r w:rsidRPr="006D2D3D">
        <w:tab/>
        <w:t>budući da je od 15. rujna 2024. Slovačka pretrpjela znatne poplave, posebno u Bratislavi i okolnim regijama, koje su rezultirale znatnim porastom razina rijeka Dunava i Morave, što je dovelo do ukupne izravne štete koju su slovačke vlasti procijenile na 84,3 milijuna EUR;</w:t>
      </w:r>
    </w:p>
    <w:p w14:paraId="0C89231A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lastRenderedPageBreak/>
        <w:t>E.</w:t>
      </w:r>
      <w:r w:rsidRPr="006D2D3D">
        <w:tab/>
        <w:t xml:space="preserve">budući da je u rujnu 2024. u više </w:t>
      </w:r>
      <w:proofErr w:type="spellStart"/>
      <w:r w:rsidRPr="006D2D3D">
        <w:t>moldovskih</w:t>
      </w:r>
      <w:proofErr w:type="spellEnd"/>
      <w:r w:rsidRPr="006D2D3D">
        <w:t xml:space="preserve"> okruga došlo do iznimno obilnih padalina i posljedičnih poplava koje su prouzročile ukupnu izravnu štetu koju su </w:t>
      </w:r>
      <w:proofErr w:type="spellStart"/>
      <w:r w:rsidRPr="006D2D3D">
        <w:t>moldovske</w:t>
      </w:r>
      <w:proofErr w:type="spellEnd"/>
      <w:r w:rsidRPr="006D2D3D">
        <w:t xml:space="preserve"> vlasti procijenile na 7,8 milijuna EUR;</w:t>
      </w:r>
    </w:p>
    <w:p w14:paraId="04146222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F.</w:t>
      </w:r>
      <w:r w:rsidRPr="006D2D3D">
        <w:tab/>
        <w:t>budući da je u listopadu 2024. Bosna i Hercegovina pogođena obilnim padalinama koje su prouzročile katastrofalne bujice, odrone tla i poplave u više dijelova zemlje, što je dovelo do ukupne izravne štete koju su vlasti procijenile na 841,85 milijuna EUR;</w:t>
      </w:r>
    </w:p>
    <w:p w14:paraId="1D0562FC" w14:textId="77777777" w:rsidR="006168B7" w:rsidRPr="006D2D3D" w:rsidRDefault="006168B7" w:rsidP="006168B7">
      <w:pPr>
        <w:pStyle w:val="NormalHanging12a"/>
      </w:pPr>
      <w:r w:rsidRPr="006D2D3D">
        <w:t>G.</w:t>
      </w:r>
      <w:r w:rsidRPr="006D2D3D">
        <w:tab/>
        <w:t>budući da su prethodno navedeni događaji prouzročeni ozbiljnim prirodnim katastrofama posljedica globalnih klimatskih promjena; budući da Izvješće o stanju klime u Europi za 2024. potvrđuje da je 2024. bila najtoplija godina zabilježena u Europi i da je 30 % riječne mreže kontinenta premašilo „visok” prag poplava, dok je 12 % premašilo</w:t>
      </w:r>
      <w:r w:rsidR="00207F53">
        <w:t xml:space="preserve"> </w:t>
      </w:r>
      <w:r w:rsidR="00207F53" w:rsidRPr="006D2D3D">
        <w:t>„ozbilj</w:t>
      </w:r>
      <w:r w:rsidR="00207F53">
        <w:t>a</w:t>
      </w:r>
      <w:r w:rsidR="00207F53" w:rsidRPr="006D2D3D">
        <w:t xml:space="preserve">n” </w:t>
      </w:r>
      <w:r w:rsidRPr="006D2D3D">
        <w:t xml:space="preserve"> prag </w:t>
      </w:r>
      <w:r w:rsidR="00207F53">
        <w:t xml:space="preserve"> poplava</w:t>
      </w:r>
      <w:r w:rsidRPr="006D2D3D">
        <w:t>, što je dovelo do najraširenijih poplava od 2013.;</w:t>
      </w:r>
    </w:p>
    <w:p w14:paraId="72B30C99" w14:textId="77777777" w:rsidR="006168B7" w:rsidRPr="006D2D3D" w:rsidRDefault="006168B7" w:rsidP="006168B7">
      <w:pPr>
        <w:spacing w:after="240"/>
        <w:ind w:left="567" w:hanging="567"/>
        <w:rPr>
          <w:szCs w:val="24"/>
          <w:shd w:val="clear" w:color="auto" w:fill="FFFFFF"/>
        </w:rPr>
      </w:pPr>
      <w:r w:rsidRPr="006D2D3D">
        <w:t>1.</w:t>
      </w:r>
      <w:r w:rsidRPr="006D2D3D">
        <w:tab/>
        <w:t>izražava</w:t>
      </w:r>
      <w:r w:rsidRPr="006D2D3D">
        <w:rPr>
          <w:shd w:val="clear" w:color="auto" w:fill="FFFFFF"/>
        </w:rPr>
        <w:t xml:space="preserve"> duboku solidarnost sa svim žrtvama, njihovim obiteljima i svim pojedincima pogođenima razornim poplavama u Austriji, Poljskoj, Češkoj, Slovačkoj, </w:t>
      </w:r>
      <w:proofErr w:type="spellStart"/>
      <w:r w:rsidRPr="006D2D3D">
        <w:rPr>
          <w:shd w:val="clear" w:color="auto" w:fill="FFFFFF"/>
        </w:rPr>
        <w:t>Moldovi</w:t>
      </w:r>
      <w:proofErr w:type="spellEnd"/>
      <w:r w:rsidRPr="006D2D3D">
        <w:rPr>
          <w:shd w:val="clear" w:color="auto" w:fill="FFFFFF"/>
        </w:rPr>
        <w:t xml:space="preserve"> te Bosni i Hercegovini, kao i s nacionalnim, regionalnim i lokalnim vlastima uključenima u napore za pružanje pomoći;</w:t>
      </w:r>
    </w:p>
    <w:p w14:paraId="59F74C7B" w14:textId="77777777" w:rsidR="006168B7" w:rsidRPr="006D2D3D" w:rsidRDefault="006168B7" w:rsidP="006168B7">
      <w:pPr>
        <w:pStyle w:val="NormalHanging12a"/>
      </w:pPr>
      <w:r w:rsidRPr="006D2D3D">
        <w:t>2.</w:t>
      </w:r>
      <w:r w:rsidRPr="006D2D3D">
        <w:tab/>
        <w:t>pozdravlja ovu odluku kao konkretan i vidljiv dokaz solidarnosti Unije s građanima i regijama u pogođenim područjima, među ostalim s onima u partnerskim zemljama;</w:t>
      </w:r>
    </w:p>
    <w:p w14:paraId="7F3DF11B" w14:textId="77777777" w:rsidR="006168B7" w:rsidRPr="006D2D3D" w:rsidRDefault="006168B7" w:rsidP="006168B7">
      <w:pPr>
        <w:pStyle w:val="NormalHanging12a"/>
      </w:pPr>
      <w:r w:rsidRPr="006D2D3D">
        <w:t>3.</w:t>
      </w:r>
      <w:r w:rsidRPr="006D2D3D">
        <w:tab/>
        <w:t>ponavlja da je važno informirati javnost o vidljivim koristima koje proizlaze iz Fonda solidarnosti Europske unije (FSEU) te dodatno povećati svijest građana o instrumentima i programima Unije u državama članicama i zemljama uključenima u pristupne pregovore s Unijom;</w:t>
      </w:r>
    </w:p>
    <w:p w14:paraId="0657A4A1" w14:textId="77777777" w:rsidR="006168B7" w:rsidRPr="006D2D3D" w:rsidRDefault="006168B7" w:rsidP="006168B7">
      <w:pPr>
        <w:spacing w:after="240"/>
        <w:ind w:left="567" w:hanging="567"/>
        <w:rPr>
          <w:szCs w:val="24"/>
        </w:rPr>
      </w:pPr>
      <w:r w:rsidRPr="006D2D3D">
        <w:t>4.</w:t>
      </w:r>
      <w:r w:rsidRPr="006D2D3D">
        <w:tab/>
        <w:t>ističe sve veći broj ozbiljnih, razornih i smrtonosnih prirodnih katastrofa u Europi te poziva države članice i Komisiju da ulažu u mjere ublažavanja klimatskih promjena i prilagodbe njima kako bi se izbjegli ljudski i gospodarski gubici; ističe da su 2024. oluje i poplave pogodile oko 413 000 ljudi, što je dovelo do gubitka najmanje 335 života te se procjenjuje da je šteta prouzročena olujama i poplavama diljem Europe tijekom te godine stajala najmanje 18 milijardi EUR</w:t>
      </w:r>
      <w:r w:rsidRPr="006D2D3D">
        <w:rPr>
          <w:rStyle w:val="FootnoteReference"/>
          <w:szCs w:val="24"/>
        </w:rPr>
        <w:footnoteReference w:id="10"/>
      </w:r>
      <w:r w:rsidRPr="006D2D3D">
        <w:t xml:space="preserve">; smatra da bi proračun FSEU-a ili njegova ekvivalenta trebalo proširiti s obzirom na predstojeći prijedlog Komisije o novom višegodišnjem financijskom okviru i naknadne </w:t>
      </w:r>
      <w:proofErr w:type="spellStart"/>
      <w:r w:rsidRPr="006D2D3D">
        <w:t>međuinstitucijske</w:t>
      </w:r>
      <w:proofErr w:type="spellEnd"/>
      <w:r w:rsidRPr="006D2D3D">
        <w:t xml:space="preserve"> pregovore i da FSEU ili njegov ekvivalent trebaju građanima pružiti pomoć koja je razmjerna opsegu takvih katastrofa; napominje da bi znatno povećanje FSEU-a omogućilo državama članicama da učinkovitije i brže odgovore na katastrofe, dok bi se drugi instrumenti, posebno kohezijski fondovi čija primarna svrha nije da budu odgovor na katastrofe, mogli sačuvati; također potiče Komisiju da istraži sve moguće načine za ubrzavanje mobilizacije FSEU-a, posebno izmjenom postojećih pravila i dodjeljivanjem većih predujmova zemljama podnositeljicama zahtjeva;</w:t>
      </w:r>
    </w:p>
    <w:p w14:paraId="6B5365DD" w14:textId="77777777" w:rsidR="006168B7" w:rsidRPr="006D2D3D" w:rsidRDefault="006168B7" w:rsidP="006168B7">
      <w:pPr>
        <w:spacing w:after="240"/>
        <w:ind w:left="567" w:hanging="567"/>
        <w:rPr>
          <w:szCs w:val="24"/>
        </w:rPr>
      </w:pPr>
      <w:r w:rsidRPr="006D2D3D">
        <w:t>5.</w:t>
      </w:r>
      <w:r w:rsidRPr="006D2D3D">
        <w:tab/>
        <w:t xml:space="preserve">poziva Komisiju da razvije namjenske instrumente za odgovor na krizu za razdoblje nakon 2027., uviđajući da su zbog sve veće učestalosti i ozbiljnosti prirodnih katastrofa, zdravstvenih kriza, geopolitičke nestabilnosti i gospodarskih šokova potrebni brži i prilagođeniji financijski mehanizmi na razini Unije; ističe potrebu za poboljšanom </w:t>
      </w:r>
      <w:r w:rsidRPr="006D2D3D">
        <w:lastRenderedPageBreak/>
        <w:t>koordinacijom s nacionalnim sustavima civilne zaštite i mehanizmima ranog upozoravanja, čime bi se osigurao integriraniji odgovor na katastrofe na razini Unije utemeljen na podacima; ističe važnost namjenske potpore prekograničnoj i regionalnoj suradnji u području pripravnosti, ublažavanja i oporavka, posebno u osjetljivim ili visokorizičnim područjima;</w:t>
      </w:r>
    </w:p>
    <w:p w14:paraId="7977C405" w14:textId="77777777" w:rsidR="006168B7" w:rsidRPr="006D2D3D" w:rsidRDefault="006168B7" w:rsidP="006168B7">
      <w:pPr>
        <w:spacing w:after="240"/>
        <w:ind w:left="567" w:hanging="567"/>
        <w:rPr>
          <w:szCs w:val="24"/>
        </w:rPr>
      </w:pPr>
      <w:r w:rsidRPr="006D2D3D">
        <w:t>6.</w:t>
      </w:r>
      <w:r w:rsidRPr="006D2D3D">
        <w:tab/>
        <w:t>naglašava da je FSEU samo kurativni instrument i da bi Unija također trebala nastaviti rješavati pitanja prilagodbe klimatskim promjenama i njihova ublažavanja podupiranjem europskih i nacionalnih politika za sprečavanje prirodnih katastrofa; ističe da se u izvješću Europske agencije za okoliš br. 1/2024 „Europska procjena klimatskih rizika” upozorava da Unija nije pripremljena za učinke klimatskih promjena, čak i ako se na svjetskoj razini uspije zadržati globalni porast temperature na 1,5 °C, kako je utvrđeno u Pariškom sporazumu, i naglašava potrebu za djelovanjem kako bi se izbjeglo da utvrđeni klimatski rizici dosegnu kritične razine; podsjeća da je potrebno stvoriti učinkovite sinergije s drugim politikama i programima Unije i naglašava da bi države članice trebale na najbolji način iskoristiti mogućnosti financiranja, posebno iz Europskog fonda za regionalni razvoj, Europskog socijalnog fonda + i programâ ruralnog razvoja; poziva Komisiju da hitno razmotri sve obrazložene zahtjeve država članica za preraspodjelu sredstava u okviru nacionalnih planova za oporavak i otpornost na pomoć u slučaju prirodnih katastrofa, u skladu s pravilima utvrđenima u Uredbi (EU) 2021/241 Europskog parlamenta i Vijeća</w:t>
      </w:r>
      <w:r w:rsidRPr="006D2D3D">
        <w:rPr>
          <w:rStyle w:val="FootnoteReference"/>
          <w:szCs w:val="24"/>
        </w:rPr>
        <w:footnoteReference w:id="11"/>
      </w:r>
      <w:r w:rsidRPr="006D2D3D">
        <w:t>; također naglašava potrebu za preventivnim mjerama, ne samo kako bi se ublažila buduća šteta, već i kako bi se spriječilo pogoršanje rizičnih uvjeta nakon katastrofalnih događaja, kao što su poplave, šumski požari, odroni tla ili isušivanje jezera i rijeka; naglašava da sva obnova koja se financira iz FSEU-a mora biti otporna na klimatske promjene; naglašava da je važno osigurati odgovarajuću fleksibilnost među različitim programima; naglašava da pomoć koja se pruža u okviru FSEU-a ne bi smjela biti na štetu sredstava Unije koja države članice primaju u okviru drugih politika ili programa Unije; podsjeća da države članice mogu dodijeliti državne potpore, u skladu s primjenjivim pravilima Unije, prvenstveno poljoprivrednim poduzećima koja su pretrpjela štetu zbog prirodnih katastrofa;</w:t>
      </w:r>
    </w:p>
    <w:p w14:paraId="02A7F406" w14:textId="77777777" w:rsidR="006168B7" w:rsidRPr="006D2D3D" w:rsidRDefault="006168B7" w:rsidP="006168B7">
      <w:pPr>
        <w:spacing w:after="240"/>
        <w:ind w:left="567" w:hanging="567"/>
        <w:rPr>
          <w:szCs w:val="24"/>
        </w:rPr>
      </w:pPr>
      <w:r w:rsidRPr="006D2D3D">
        <w:t>7.</w:t>
      </w:r>
      <w:r w:rsidRPr="006D2D3D">
        <w:tab/>
        <w:t xml:space="preserve">podsjeća da RESTORE i posebne mjere u okviru Europskog poljoprivrednog fonda za ruralni razvoj (EPFRR) </w:t>
      </w:r>
      <w:r w:rsidR="00A51766">
        <w:t>uvedene</w:t>
      </w:r>
      <w:r w:rsidR="00A51766" w:rsidRPr="00A51766">
        <w:t xml:space="preserve"> Uredbom</w:t>
      </w:r>
      <w:r w:rsidR="00A51766">
        <w:t xml:space="preserve"> </w:t>
      </w:r>
      <w:r w:rsidR="00A51766" w:rsidRPr="00F85E26">
        <w:t xml:space="preserve">(EU) 2024/3242 </w:t>
      </w:r>
      <w:r w:rsidR="00A51766" w:rsidRPr="00A51766">
        <w:t>Europskog parlamenta i Vijeća</w:t>
      </w:r>
      <w:r w:rsidR="00A51766">
        <w:rPr>
          <w:rStyle w:val="FootnoteReference"/>
        </w:rPr>
        <w:footnoteReference w:id="12"/>
      </w:r>
      <w:r w:rsidR="00A51766">
        <w:t xml:space="preserve"> </w:t>
      </w:r>
      <w:r w:rsidRPr="006D2D3D">
        <w:t>pružaju dodatnu pomoć državama članicama pogođenima prirodnim katastrofama jer omogućuju dodatnu fleksibilnost u korištenju sredstava; naglašava da bi države članice trebale iskoristiti nove mogućnosti; također ističe da je RESTORE nekim državama članicama pružio ograničenu fleksibilnost jer je provedba aktualnog višegodišnjeg financijskog okvira vrlo uznapredovala;</w:t>
      </w:r>
    </w:p>
    <w:p w14:paraId="00493591" w14:textId="77777777" w:rsidR="006168B7" w:rsidRPr="006D2D3D" w:rsidRDefault="006168B7" w:rsidP="006168B7">
      <w:pPr>
        <w:spacing w:after="240"/>
        <w:ind w:left="567" w:hanging="567"/>
        <w:rPr>
          <w:szCs w:val="24"/>
        </w:rPr>
      </w:pPr>
      <w:r w:rsidRPr="006D2D3D">
        <w:t>8.</w:t>
      </w:r>
      <w:r w:rsidRPr="006D2D3D">
        <w:tab/>
        <w:t xml:space="preserve">podsjeća na važnost brze i pouzdane procjene štete kojom se uzimaju u obzir gospodarske posljedice i poziva na ulaganje većih operativnih napora kako bi se smanjilo prosječno vrijeme za isplatu predujmova radi pružanja pravodobne pomoći regijama pogođenima prirodnim katastrofama i ekstremnim vremenskim uvjetima, uz </w:t>
      </w:r>
      <w:r w:rsidRPr="006D2D3D">
        <w:lastRenderedPageBreak/>
        <w:t>istodobno osiguravanje zaštite proračuna Unije; naglašava da bi države članice u kontekstu mjera odgovora na katastrofe i oporavka trebale dati odgovarajuću prednost potrebama pogođenog stanovništva, s posebnim naglaskom na ranjivim skupinama;</w:t>
      </w:r>
    </w:p>
    <w:p w14:paraId="1398B5AD" w14:textId="77777777" w:rsidR="006168B7" w:rsidRPr="006D2D3D" w:rsidRDefault="006168B7" w:rsidP="006168B7">
      <w:pPr>
        <w:spacing w:after="240"/>
        <w:ind w:left="567" w:hanging="567"/>
      </w:pPr>
      <w:r w:rsidRPr="006D2D3D">
        <w:t>9.</w:t>
      </w:r>
      <w:r w:rsidRPr="006D2D3D">
        <w:tab/>
        <w:t xml:space="preserve">ističe hitnu potrebu za pružanjem neposredne financijske pomoći putem FSEU-a kako bi se osiguralo da potpora može pravodobno doprijeti do pogođenih regija; </w:t>
      </w:r>
    </w:p>
    <w:p w14:paraId="647E6895" w14:textId="77777777" w:rsidR="006168B7" w:rsidRPr="006D2D3D" w:rsidRDefault="006168B7" w:rsidP="006168B7">
      <w:pPr>
        <w:spacing w:after="240"/>
        <w:ind w:left="567" w:hanging="567"/>
      </w:pPr>
      <w:r w:rsidRPr="006D2D3D">
        <w:t>10.</w:t>
      </w:r>
      <w:r w:rsidRPr="006D2D3D">
        <w:tab/>
        <w:t>odobrava Odluku priloženu ovoj Rezoluciji;</w:t>
      </w:r>
    </w:p>
    <w:p w14:paraId="607F1BA8" w14:textId="77777777" w:rsidR="006168B7" w:rsidRPr="006D2D3D" w:rsidRDefault="006168B7" w:rsidP="006168B7">
      <w:pPr>
        <w:spacing w:after="240"/>
        <w:ind w:left="567" w:hanging="567"/>
      </w:pPr>
      <w:r w:rsidRPr="006D2D3D">
        <w:t>11.</w:t>
      </w:r>
      <w:r w:rsidRPr="006D2D3D">
        <w:tab/>
        <w:t xml:space="preserve">nalaže svojoj predsjednici da potpiše ovu Odluku zajedno s predsjednikom Vijeća te da je da na objavu u </w:t>
      </w:r>
      <w:r w:rsidRPr="006D2D3D">
        <w:rPr>
          <w:i/>
        </w:rPr>
        <w:t>Službenom listu Europske unije</w:t>
      </w:r>
      <w:r w:rsidRPr="006D2D3D">
        <w:t>;</w:t>
      </w:r>
    </w:p>
    <w:p w14:paraId="0754DBB8" w14:textId="77777777" w:rsidR="006168B7" w:rsidRPr="006D2D3D" w:rsidRDefault="006168B7" w:rsidP="006168B7">
      <w:pPr>
        <w:pStyle w:val="NormalWeb"/>
        <w:shd w:val="clear" w:color="auto" w:fill="FFFFFF"/>
        <w:ind w:left="567" w:hanging="567"/>
      </w:pPr>
      <w:r w:rsidRPr="006D2D3D">
        <w:t>12.</w:t>
      </w:r>
      <w:r w:rsidRPr="006D2D3D">
        <w:tab/>
        <w:t>nalaže svojoj predsjednici da ovu Rezoluciju, zajedno s njezinim Prilogom, proslijedi Vijeću i Komisiji.</w:t>
      </w:r>
    </w:p>
    <w:p w14:paraId="5D7DD398" w14:textId="77777777" w:rsidR="006168B7" w:rsidRPr="006D2D3D" w:rsidRDefault="006168B7" w:rsidP="006168B7">
      <w:pPr>
        <w:rPr>
          <w:noProof/>
        </w:rPr>
      </w:pPr>
    </w:p>
    <w:p w14:paraId="3F2B5F70" w14:textId="77777777" w:rsidR="006168B7" w:rsidRPr="006D2D3D" w:rsidRDefault="006168B7" w:rsidP="006168B7">
      <w:pPr>
        <w:rPr>
          <w:noProof/>
        </w:rPr>
      </w:pPr>
    </w:p>
    <w:p w14:paraId="7DF910C5" w14:textId="77777777" w:rsidR="006168B7" w:rsidRPr="006D2D3D" w:rsidRDefault="006168B7" w:rsidP="006168B7">
      <w:pPr>
        <w:pStyle w:val="PageHeading"/>
        <w:rPr>
          <w:noProof/>
        </w:rPr>
        <w:sectPr w:rsidR="006168B7" w:rsidRPr="006D2D3D" w:rsidSect="006D2D3D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A58B9D" w14:textId="21F0F50D" w:rsidR="000F1A47" w:rsidRPr="000F1A47" w:rsidRDefault="006168B7" w:rsidP="006168B7">
      <w:pPr>
        <w:pStyle w:val="PageHeading"/>
        <w:rPr>
          <w:rFonts w:ascii="Times New Roman" w:hAnsi="Times New Roman" w:cs="Times New Roman"/>
        </w:rPr>
      </w:pPr>
      <w:bookmarkStart w:id="7" w:name="_Toc202187840"/>
      <w:r w:rsidRPr="000F1A47">
        <w:rPr>
          <w:rFonts w:ascii="Times New Roman" w:hAnsi="Times New Roman" w:cs="Times New Roman"/>
        </w:rPr>
        <w:lastRenderedPageBreak/>
        <w:t>PRILOG</w:t>
      </w:r>
    </w:p>
    <w:p w14:paraId="57054189" w14:textId="6C269817" w:rsidR="006168B7" w:rsidRPr="000F1A47" w:rsidRDefault="006168B7" w:rsidP="006168B7">
      <w:pPr>
        <w:pStyle w:val="PageHeading"/>
        <w:rPr>
          <w:rFonts w:ascii="Times New Roman" w:hAnsi="Times New Roman" w:cs="Times New Roman"/>
          <w:noProof/>
        </w:rPr>
      </w:pPr>
      <w:r w:rsidRPr="000F1A47">
        <w:rPr>
          <w:rFonts w:ascii="Times New Roman" w:hAnsi="Times New Roman" w:cs="Times New Roman"/>
        </w:rPr>
        <w:t>ODLUKA EUROPSKOG PARLAMENTA I VIJEĆA</w:t>
      </w:r>
      <w:bookmarkEnd w:id="7"/>
    </w:p>
    <w:p w14:paraId="7FB01B3A" w14:textId="77777777" w:rsidR="006168B7" w:rsidRDefault="006168B7" w:rsidP="000F1A47">
      <w:pPr>
        <w:pStyle w:val="NormalBold24a"/>
        <w:jc w:val="center"/>
      </w:pPr>
      <w:r w:rsidRPr="006D2D3D">
        <w:t xml:space="preserve">o mobilizaciji Fonda solidarnosti Europske unije radi pružanja pomoći Austriji, Poljskoj, Češkoj, Slovačkoj i </w:t>
      </w:r>
      <w:proofErr w:type="spellStart"/>
      <w:r w:rsidRPr="006D2D3D">
        <w:t>Moldovi</w:t>
      </w:r>
      <w:proofErr w:type="spellEnd"/>
      <w:r w:rsidRPr="006D2D3D">
        <w:t xml:space="preserve"> u vezi s poplavama koje su se dogodile u rujnu 2024. te Bosni i Hercegovini u vezi s poplavama koje su se dogodile u listopadu 2024.</w:t>
      </w:r>
    </w:p>
    <w:p w14:paraId="5F0823FB" w14:textId="3901694F" w:rsidR="000F1A47" w:rsidRPr="000F1A47" w:rsidRDefault="000F1A47" w:rsidP="000F1A47">
      <w:pPr>
        <w:widowControl/>
        <w:rPr>
          <w:rFonts w:eastAsia="Calibri"/>
          <w:i/>
          <w:szCs w:val="24"/>
          <w:lang w:val="fr-BE" w:eastAsia="en-US"/>
        </w:rPr>
      </w:pPr>
      <w:r w:rsidRPr="000F1A47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val="fr-BE" w:eastAsia="en-US"/>
        </w:rPr>
        <w:t>(</w:t>
      </w:r>
      <w:r w:rsidRPr="000F1A47">
        <w:rPr>
          <w:rFonts w:eastAsia="Calibri"/>
          <w:i/>
          <w:szCs w:val="24"/>
          <w:lang w:val="fr-BE" w:eastAsia="en-US"/>
        </w:rPr>
        <w:t>EU</w:t>
      </w:r>
      <w:r>
        <w:rPr>
          <w:rFonts w:eastAsia="Calibri"/>
          <w:i/>
          <w:szCs w:val="24"/>
          <w:lang w:val="fr-BE" w:eastAsia="en-US"/>
        </w:rPr>
        <w:t>) 2025/1525.</w:t>
      </w:r>
      <w:r w:rsidRPr="000F1A47">
        <w:rPr>
          <w:rFonts w:eastAsia="Calibri"/>
          <w:i/>
          <w:szCs w:val="24"/>
          <w:lang w:val="fr-BE" w:eastAsia="en-US"/>
        </w:rPr>
        <w:t>)</w:t>
      </w:r>
    </w:p>
    <w:p w14:paraId="113FF7E3" w14:textId="77777777" w:rsidR="000F1A47" w:rsidRPr="000F1A47" w:rsidRDefault="000F1A47" w:rsidP="000F1A47">
      <w:pPr>
        <w:pStyle w:val="NormalBold24a"/>
        <w:rPr>
          <w:b w:val="0"/>
          <w:bCs w:val="0"/>
        </w:rPr>
      </w:pPr>
    </w:p>
    <w:sectPr w:rsidR="000F1A47" w:rsidRPr="000F1A47" w:rsidSect="006D2D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EECE0" w14:textId="77777777" w:rsidR="003A254E" w:rsidRPr="006D2D3D" w:rsidRDefault="003A254E">
      <w:r w:rsidRPr="006D2D3D">
        <w:separator/>
      </w:r>
    </w:p>
  </w:endnote>
  <w:endnote w:type="continuationSeparator" w:id="0">
    <w:p w14:paraId="35CB1DC2" w14:textId="77777777" w:rsidR="003A254E" w:rsidRPr="006D2D3D" w:rsidRDefault="003A254E">
      <w:r w:rsidRPr="006D2D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8EFD" w14:textId="77777777" w:rsidR="006168B7" w:rsidRPr="006D2D3D" w:rsidRDefault="006168B7" w:rsidP="00234FE8">
    <w:pPr>
      <w:pStyle w:val="EPFooter"/>
    </w:pPr>
    <w:r w:rsidRPr="006D2D3D">
      <w:t>PE</w:t>
    </w:r>
    <w:r w:rsidRPr="006D2D3D">
      <w:rPr>
        <w:rStyle w:val="HideTWBExt"/>
      </w:rPr>
      <w:t>&lt;NoPE&gt;</w:t>
    </w:r>
    <w:r w:rsidRPr="006D2D3D">
      <w:t>774.284</w:t>
    </w:r>
    <w:r w:rsidRPr="006D2D3D">
      <w:rPr>
        <w:rStyle w:val="HideTWBExt"/>
      </w:rPr>
      <w:t>&lt;/NoPE&gt;&lt;Version&gt;</w:t>
    </w:r>
    <w:r w:rsidRPr="006D2D3D">
      <w:t>v02-00</w:t>
    </w:r>
    <w:r w:rsidRPr="006D2D3D">
      <w:rPr>
        <w:rStyle w:val="HideTWBExt"/>
      </w:rPr>
      <w:t>&lt;/Version&gt;</w:t>
    </w:r>
    <w:r w:rsidRPr="006D2D3D">
      <w:tab/>
    </w:r>
    <w:r w:rsidRPr="006D2D3D">
      <w:fldChar w:fldCharType="begin"/>
    </w:r>
    <w:r w:rsidRPr="006D2D3D">
      <w:instrText xml:space="preserve"> PAGE  \* MERGEFORMAT </w:instrText>
    </w:r>
    <w:r w:rsidRPr="006D2D3D">
      <w:fldChar w:fldCharType="separate"/>
    </w:r>
    <w:r w:rsidR="006D2D3D" w:rsidRPr="006D2D3D">
      <w:rPr>
        <w:noProof/>
      </w:rPr>
      <w:t>2</w:t>
    </w:r>
    <w:r w:rsidRPr="006D2D3D">
      <w:fldChar w:fldCharType="end"/>
    </w:r>
    <w:r w:rsidRPr="006D2D3D">
      <w:t>/</w:t>
    </w:r>
    <w:fldSimple w:instr=" NUMPAGES  \* MERGEFORMAT ">
      <w:r w:rsidR="006D2D3D" w:rsidRPr="006D2D3D">
        <w:rPr>
          <w:noProof/>
        </w:rPr>
        <w:t>10</w:t>
      </w:r>
    </w:fldSimple>
    <w:r w:rsidRPr="006D2D3D">
      <w:tab/>
    </w:r>
    <w:r w:rsidRPr="006D2D3D">
      <w:rPr>
        <w:rStyle w:val="HideTWBExt"/>
      </w:rPr>
      <w:t>&lt;PathFdR&gt;</w:t>
    </w:r>
    <w:r w:rsidRPr="006D2D3D">
      <w:t>RR\1323790HR.docx</w:t>
    </w:r>
    <w:r w:rsidRPr="006D2D3D">
      <w:rPr>
        <w:rStyle w:val="HideTWBExt"/>
      </w:rPr>
      <w:t>&lt;/PathFdR&gt;</w:t>
    </w:r>
  </w:p>
  <w:p w14:paraId="56663675" w14:textId="77777777" w:rsidR="006168B7" w:rsidRPr="006D2D3D" w:rsidRDefault="006168B7" w:rsidP="00234FE8">
    <w:pPr>
      <w:pStyle w:val="EPFooter2"/>
    </w:pPr>
    <w:r w:rsidRPr="006D2D3D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6F220" w14:textId="77777777" w:rsidR="006168B7" w:rsidRPr="006D2D3D" w:rsidRDefault="006168B7" w:rsidP="00234FE8">
    <w:pPr>
      <w:pStyle w:val="EPFooter"/>
    </w:pPr>
    <w:r w:rsidRPr="006D2D3D">
      <w:rPr>
        <w:rStyle w:val="HideTWBExt"/>
      </w:rPr>
      <w:t>&lt;PathFdR&gt;</w:t>
    </w:r>
    <w:r w:rsidRPr="006D2D3D">
      <w:t>RR\1323790HR.docx</w:t>
    </w:r>
    <w:r w:rsidRPr="006D2D3D">
      <w:rPr>
        <w:rStyle w:val="HideTWBExt"/>
      </w:rPr>
      <w:t>&lt;/PathFdR&gt;</w:t>
    </w:r>
    <w:r w:rsidRPr="006D2D3D">
      <w:tab/>
    </w:r>
    <w:r w:rsidRPr="006D2D3D">
      <w:tab/>
      <w:t>PE</w:t>
    </w:r>
    <w:r w:rsidRPr="006D2D3D">
      <w:rPr>
        <w:rStyle w:val="HideTWBExt"/>
      </w:rPr>
      <w:t>&lt;NoPE&gt;</w:t>
    </w:r>
    <w:r w:rsidRPr="006D2D3D">
      <w:t>774.284</w:t>
    </w:r>
    <w:r w:rsidRPr="006D2D3D">
      <w:rPr>
        <w:rStyle w:val="HideTWBExt"/>
      </w:rPr>
      <w:t>&lt;/NoPE&gt;&lt;Version&gt;</w:t>
    </w:r>
    <w:r w:rsidRPr="006D2D3D">
      <w:t>v02-00</w:t>
    </w:r>
    <w:r w:rsidRPr="006D2D3D">
      <w:rPr>
        <w:rStyle w:val="HideTWBExt"/>
      </w:rPr>
      <w:t>&lt;/Version&gt;</w:t>
    </w:r>
  </w:p>
  <w:p w14:paraId="64236CD8" w14:textId="77777777" w:rsidR="006168B7" w:rsidRPr="006D2D3D" w:rsidRDefault="006168B7" w:rsidP="00234FE8">
    <w:pPr>
      <w:pStyle w:val="EPFooter2"/>
    </w:pPr>
    <w:r w:rsidRPr="006D2D3D">
      <w:t>HR</w:t>
    </w:r>
    <w:r w:rsidRPr="006D2D3D">
      <w:tab/>
    </w:r>
    <w:r w:rsidRPr="006D2D3D">
      <w:rPr>
        <w:b w:val="0"/>
        <w:i/>
        <w:color w:val="C0C0C0"/>
        <w:sz w:val="22"/>
      </w:rPr>
      <w:t>Ujedinjena u raznolikosti</w:t>
    </w:r>
    <w:r w:rsidRPr="006D2D3D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D362" w14:textId="77777777" w:rsidR="00064002" w:rsidRPr="006D2D3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FFDF" w14:textId="77777777" w:rsidR="00064002" w:rsidRPr="006D2D3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D6F4" w14:textId="77777777" w:rsidR="00064002" w:rsidRPr="006D2D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AA9F9" w14:textId="77777777" w:rsidR="003A254E" w:rsidRPr="006D2D3D" w:rsidRDefault="003A254E">
      <w:r w:rsidRPr="006D2D3D">
        <w:separator/>
      </w:r>
    </w:p>
  </w:footnote>
  <w:footnote w:type="continuationSeparator" w:id="0">
    <w:p w14:paraId="69F9CE0B" w14:textId="77777777" w:rsidR="003A254E" w:rsidRPr="006D2D3D" w:rsidRDefault="003A254E">
      <w:r w:rsidRPr="006D2D3D">
        <w:continuationSeparator/>
      </w:r>
    </w:p>
  </w:footnote>
  <w:footnote w:id="1">
    <w:p w14:paraId="778BF14F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SL L 311, 14.11.2002., str. 3., ELI: </w:t>
      </w:r>
      <w:r w:rsidR="000F1A47">
        <w:fldChar w:fldCharType="begin"/>
      </w:r>
      <w:r w:rsidR="000F1A47" w:rsidRPr="000F1A47">
        <w:rPr>
          <w:lang w:val="fi-FI"/>
        </w:rPr>
        <w:instrText>HYPERLINK "http://data.europa.eu/eli/reg/2002/2012/oj"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http://data.europa.eu/eli/reg/2002/2012/oj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>.</w:t>
      </w:r>
    </w:p>
  </w:footnote>
  <w:footnote w:id="2">
    <w:p w14:paraId="4EB5688C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SL L 433 I, 22.12.2020., str. 11., ELI: </w:t>
      </w:r>
      <w:r w:rsidR="000F1A47">
        <w:fldChar w:fldCharType="begin"/>
      </w:r>
      <w:r w:rsidR="000F1A47" w:rsidRPr="000F1A47">
        <w:rPr>
          <w:lang w:val="hr-HR"/>
        </w:rPr>
        <w:instrText>HYPERLINK "http://data.europa.eu/eli/reg/2020/2093/oj"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http://data.europa.eu/eli/reg/2020/2093/oj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>.</w:t>
      </w:r>
    </w:p>
  </w:footnote>
  <w:footnote w:id="3">
    <w:p w14:paraId="20789EA6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SL L 433 I, 22.12.2020., str. 28., ELI: </w:t>
      </w:r>
      <w:r w:rsidR="000F1A47">
        <w:fldChar w:fldCharType="begin"/>
      </w:r>
      <w:r w:rsidR="000F1A47" w:rsidRPr="000F1A47">
        <w:rPr>
          <w:lang w:val="hr-HR"/>
        </w:rPr>
        <w:instrText>HYPERLINK "http://data.europa.eu/eli/agree_interinstit/2020/1222/oj"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http://data.europa.eu/eli/agree_interinstit/2020/1222/oj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>.</w:t>
      </w:r>
    </w:p>
  </w:footnote>
  <w:footnote w:id="4">
    <w:p w14:paraId="4E6B0D56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SL L 231, 30.6.2021., str. 60., ELI: </w:t>
      </w:r>
      <w:r w:rsidR="000F1A47">
        <w:fldChar w:fldCharType="begin"/>
      </w:r>
      <w:r w:rsidR="000F1A47" w:rsidRPr="000F1A47">
        <w:rPr>
          <w:lang w:val="fi-FI"/>
        </w:rPr>
        <w:instrText>HYPERLINK "http://data.europa.eu/eli/reg/2021/1058/oj"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http://data.europa.eu/eli/reg/2021/1058/oj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>.</w:t>
      </w:r>
    </w:p>
  </w:footnote>
  <w:footnote w:id="5">
    <w:p w14:paraId="7BEB7D92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SL L 231, 30.6.2021., str. 21., ELI: </w:t>
      </w:r>
      <w:r w:rsidR="000F1A47">
        <w:fldChar w:fldCharType="begin"/>
      </w:r>
      <w:r w:rsidR="000F1A47" w:rsidRPr="000F1A47">
        <w:rPr>
          <w:lang w:val="fi-FI"/>
        </w:rPr>
        <w:instrText>HYPERLINK "http://data.europa.eu/eli/reg/2021/1057/oj"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http://data.europa.eu/eli/reg/2021/1057/oj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>.</w:t>
      </w:r>
    </w:p>
  </w:footnote>
  <w:footnote w:id="6">
    <w:p w14:paraId="143D485F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SL L 435, 6.12.2021., str. 1., ELI: </w:t>
      </w:r>
      <w:r w:rsidR="000F1A47">
        <w:fldChar w:fldCharType="begin"/>
      </w:r>
      <w:r w:rsidR="000F1A47" w:rsidRPr="000F1A47">
        <w:rPr>
          <w:lang w:val="fi-FI"/>
        </w:rPr>
        <w:instrText>HYPERLINK "http://data.europa.eu/eli/reg/2021/2115/oj"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http://data.europa.eu/eli/reg/2021/2115/oj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 xml:space="preserve"> </w:t>
      </w:r>
    </w:p>
  </w:footnote>
  <w:footnote w:id="7">
    <w:p w14:paraId="0E0E2195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>Usvojeni tekstovi, P9_TA(2024)0082.</w:t>
      </w:r>
    </w:p>
  </w:footnote>
  <w:footnote w:id="8">
    <w:p w14:paraId="4F2B0607" w14:textId="77777777" w:rsidR="00C348A5" w:rsidRPr="0085440B" w:rsidRDefault="00C348A5" w:rsidP="0085440B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 w:rsidRPr="00F85E26">
        <w:rPr>
          <w:lang w:val="fi-FI"/>
        </w:rPr>
        <w:t xml:space="preserve"> </w:t>
      </w:r>
      <w:r w:rsidRPr="00F85E26">
        <w:rPr>
          <w:lang w:val="fi-FI"/>
        </w:rPr>
        <w:tab/>
      </w:r>
      <w:r w:rsidRPr="0085440B">
        <w:rPr>
          <w:iCs/>
          <w:color w:val="333333"/>
          <w:sz w:val="24"/>
          <w:szCs w:val="24"/>
          <w:shd w:val="clear" w:color="auto" w:fill="FFFFFF"/>
          <w:lang w:val="hr-HR" w:eastAsia="en-GB"/>
        </w:rPr>
        <w:t>SL L, 2024/3236, 23.12.2024, ELI: </w:t>
      </w:r>
      <w:r w:rsidR="000F1A47">
        <w:fldChar w:fldCharType="begin"/>
      </w:r>
      <w:r w:rsidR="000F1A47" w:rsidRPr="000F1A47">
        <w:rPr>
          <w:lang w:val="fi-FI"/>
        </w:rPr>
        <w:instrText>HYPERLINK "http://data.europa.eu/eli/reg/2024/3236/oj" \t "_blank" \o "Daje pristup dokumentu putem njegova ELI URI-ja."</w:instrText>
      </w:r>
      <w:r w:rsidR="000F1A47">
        <w:fldChar w:fldCharType="separate"/>
      </w:r>
      <w:r w:rsidRPr="0085440B">
        <w:rPr>
          <w:iCs/>
          <w:color w:val="337AB7"/>
          <w:sz w:val="24"/>
          <w:szCs w:val="24"/>
          <w:u w:val="single"/>
          <w:lang w:val="hr-HR" w:eastAsia="en-GB"/>
        </w:rPr>
        <w:t>http://data.europa.eu/eli/reg/2024/3236/oj</w:t>
      </w:r>
      <w:r w:rsidR="000F1A47">
        <w:rPr>
          <w:iCs/>
          <w:color w:val="337AB7"/>
          <w:sz w:val="24"/>
          <w:szCs w:val="24"/>
          <w:u w:val="single"/>
          <w:lang w:val="hr-HR" w:eastAsia="en-GB"/>
        </w:rPr>
        <w:fldChar w:fldCharType="end"/>
      </w:r>
    </w:p>
  </w:footnote>
  <w:footnote w:id="9">
    <w:p w14:paraId="40931D86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="000F1A47">
        <w:fldChar w:fldCharType="begin"/>
      </w:r>
      <w:r w:rsidR="000F1A47" w:rsidRPr="000F1A47">
        <w:rPr>
          <w:lang w:val="sl-SI"/>
        </w:rPr>
        <w:instrText>HYPERLINK "https://www.eea.europa.eu/publications/european-climate-risk-assessment"</w:instrText>
      </w:r>
      <w:r w:rsidR="000F1A47">
        <w:fldChar w:fldCharType="separate"/>
      </w:r>
      <w:r w:rsidRPr="006D2D3D">
        <w:rPr>
          <w:rStyle w:val="Hyperlink"/>
          <w:sz w:val="24"/>
          <w:lang w:val="hr-HR"/>
        </w:rPr>
        <w:t>https://www.eea.europa.eu/publications/european-climate-risk-assessment</w:t>
      </w:r>
      <w:r w:rsidR="000F1A47">
        <w:rPr>
          <w:rStyle w:val="Hyperlink"/>
          <w:sz w:val="24"/>
          <w:lang w:val="hr-HR"/>
        </w:rPr>
        <w:fldChar w:fldCharType="end"/>
      </w:r>
      <w:r w:rsidRPr="006D2D3D">
        <w:rPr>
          <w:sz w:val="24"/>
          <w:lang w:val="hr-HR"/>
        </w:rPr>
        <w:t xml:space="preserve"> </w:t>
      </w:r>
    </w:p>
  </w:footnote>
  <w:footnote w:id="10">
    <w:p w14:paraId="66E0757E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Usluge klimatskih promjena programa </w:t>
      </w:r>
      <w:proofErr w:type="spellStart"/>
      <w:r w:rsidRPr="006D2D3D">
        <w:rPr>
          <w:sz w:val="24"/>
          <w:lang w:val="hr-HR"/>
        </w:rPr>
        <w:t>Copernicus</w:t>
      </w:r>
      <w:proofErr w:type="spellEnd"/>
      <w:r w:rsidRPr="006D2D3D">
        <w:rPr>
          <w:sz w:val="24"/>
          <w:lang w:val="hr-HR"/>
        </w:rPr>
        <w:t xml:space="preserve"> (C3S) i Svjetska meteorološka organizacija (WMO), 2025.: Europsko stanje klime 2024., climate.copernicus.eu/ESOTC/2024, doi.org/10.24381/14j9-s541.</w:t>
      </w:r>
    </w:p>
  </w:footnote>
  <w:footnote w:id="11">
    <w:p w14:paraId="4C085E7B" w14:textId="77777777" w:rsidR="006168B7" w:rsidRPr="006D2D3D" w:rsidRDefault="006168B7" w:rsidP="006D2D3D">
      <w:pPr>
        <w:pStyle w:val="FootnoteText"/>
        <w:ind w:left="567" w:hanging="567"/>
        <w:rPr>
          <w:sz w:val="24"/>
          <w:lang w:val="hr-HR"/>
        </w:rPr>
      </w:pPr>
      <w:r w:rsidRPr="006D2D3D">
        <w:rPr>
          <w:rStyle w:val="FootnoteReference"/>
          <w:sz w:val="24"/>
          <w:lang w:val="hr-HR"/>
        </w:rPr>
        <w:footnoteRef/>
      </w:r>
      <w:r w:rsidR="006D2D3D" w:rsidRPr="006D2D3D">
        <w:rPr>
          <w:sz w:val="24"/>
          <w:lang w:val="hr-HR"/>
        </w:rPr>
        <w:t xml:space="preserve"> </w:t>
      </w:r>
      <w:r w:rsidR="006D2D3D" w:rsidRPr="006D2D3D">
        <w:rPr>
          <w:sz w:val="24"/>
          <w:lang w:val="hr-HR"/>
        </w:rPr>
        <w:tab/>
      </w:r>
      <w:r w:rsidRPr="006D2D3D">
        <w:rPr>
          <w:sz w:val="24"/>
          <w:lang w:val="hr-HR"/>
        </w:rPr>
        <w:t xml:space="preserve">Uredba (EU) 2021/241 Europskog parlamenta i Vijeća od 12. veljače 2021. o uspostavi Mehanizma za oporavak i otpornost (SL L 57, 18.2.2021., str. 17., </w:t>
      </w:r>
      <w:r w:rsidRPr="006D2D3D">
        <w:rPr>
          <w:color w:val="333333"/>
          <w:sz w:val="24"/>
          <w:shd w:val="clear" w:color="auto" w:fill="FFFFFF"/>
          <w:lang w:val="hr-HR"/>
        </w:rPr>
        <w:t>ELI: </w:t>
      </w:r>
      <w:r w:rsidR="000F1A47">
        <w:fldChar w:fldCharType="begin"/>
      </w:r>
      <w:r w:rsidR="000F1A47" w:rsidRPr="000F1A47">
        <w:rPr>
          <w:lang w:val="hr-HR"/>
        </w:rPr>
        <w:instrText>HYPERLINK "http://data.europa.eu/eli/reg/2021/241/oj" \o "Omogućuje pristup tom dokumentu putem identifikatora ELI URI."</w:instrText>
      </w:r>
      <w:r w:rsidR="000F1A47">
        <w:fldChar w:fldCharType="separate"/>
      </w:r>
      <w:r w:rsidRPr="006D2D3D">
        <w:rPr>
          <w:color w:val="23527C"/>
          <w:sz w:val="24"/>
          <w:u w:val="single"/>
          <w:shd w:val="clear" w:color="auto" w:fill="FFFFFF"/>
          <w:lang w:val="hr-HR"/>
        </w:rPr>
        <w:t>http://data.europa.eu/eli/reg/2021/241/oj</w:t>
      </w:r>
      <w:r w:rsidR="000F1A47">
        <w:rPr>
          <w:color w:val="23527C"/>
          <w:sz w:val="24"/>
          <w:u w:val="single"/>
          <w:shd w:val="clear" w:color="auto" w:fill="FFFFFF"/>
          <w:lang w:val="hr-HR"/>
        </w:rPr>
        <w:fldChar w:fldCharType="end"/>
      </w:r>
      <w:r w:rsidRPr="006D2D3D">
        <w:rPr>
          <w:sz w:val="24"/>
          <w:lang w:val="hr-HR"/>
        </w:rPr>
        <w:t>).</w:t>
      </w:r>
    </w:p>
  </w:footnote>
  <w:footnote w:id="12">
    <w:p w14:paraId="781D6A40" w14:textId="77777777" w:rsidR="00A51766" w:rsidRPr="0085440B" w:rsidRDefault="00A51766" w:rsidP="0085440B">
      <w:pPr>
        <w:pStyle w:val="FootnoteText"/>
        <w:ind w:left="567" w:hanging="567"/>
        <w:rPr>
          <w:lang w:val="sl-SI"/>
        </w:rPr>
      </w:pPr>
      <w:r>
        <w:rPr>
          <w:rStyle w:val="FootnoteReference"/>
        </w:rPr>
        <w:footnoteRef/>
      </w:r>
      <w:r w:rsidRPr="00F85E26">
        <w:rPr>
          <w:lang w:val="hr-HR"/>
        </w:rPr>
        <w:t xml:space="preserve"> </w:t>
      </w:r>
      <w:r w:rsidRPr="00F85E26">
        <w:rPr>
          <w:lang w:val="hr-HR"/>
        </w:rPr>
        <w:tab/>
      </w:r>
      <w:r w:rsidR="000E6E9D" w:rsidRPr="000E6E9D">
        <w:rPr>
          <w:bCs/>
          <w:sz w:val="24"/>
          <w:szCs w:val="24"/>
          <w:lang w:val="hr-HR"/>
        </w:rPr>
        <w:t>Uredba (EU) 2024/3242 Europskog parlamenta i Vijeća od 19. prosinca 2024. o izmjeni Uredbe (EU) 2020/2220 u pogledu posebnih mjera u okviru Europskog poljoprivrednog fonda za ruralni razvoj radi pružanja dodatne pomoći državama članicama pogođenima elementarnim nepogodama</w:t>
      </w:r>
      <w:r w:rsidR="000E6E9D">
        <w:rPr>
          <w:bCs/>
          <w:sz w:val="24"/>
          <w:szCs w:val="24"/>
          <w:lang w:val="hr-HR"/>
        </w:rPr>
        <w:t xml:space="preserve"> (</w:t>
      </w:r>
      <w:r w:rsidR="000E6E9D" w:rsidRPr="000E6E9D">
        <w:rPr>
          <w:bCs/>
          <w:sz w:val="24"/>
          <w:szCs w:val="24"/>
          <w:lang w:val="hr-HR"/>
        </w:rPr>
        <w:t xml:space="preserve">SL L, 2024/3242, 23.12.2024, ELI: </w:t>
      </w:r>
      <w:r w:rsidR="000F1A47">
        <w:fldChar w:fldCharType="begin"/>
      </w:r>
      <w:r w:rsidR="000F1A47" w:rsidRPr="000F1A47">
        <w:rPr>
          <w:lang w:val="hr-HR"/>
        </w:rPr>
        <w:instrText>HYPERLINK "http://data.europa.eu/eli/reg/2024/3242/oj"</w:instrText>
      </w:r>
      <w:r w:rsidR="000F1A47">
        <w:fldChar w:fldCharType="separate"/>
      </w:r>
      <w:r w:rsidR="000E6E9D" w:rsidRPr="000E6E9D">
        <w:rPr>
          <w:rStyle w:val="Hyperlink"/>
          <w:bCs/>
          <w:sz w:val="24"/>
          <w:szCs w:val="24"/>
          <w:lang w:val="hr-HR"/>
        </w:rPr>
        <w:t>http://data.europa.eu/eli/reg/2024/3242/oj</w:t>
      </w:r>
      <w:r w:rsidR="000F1A47">
        <w:rPr>
          <w:rStyle w:val="Hyperlink"/>
          <w:bCs/>
          <w:sz w:val="24"/>
          <w:szCs w:val="24"/>
          <w:lang w:val="hr-HR"/>
        </w:rPr>
        <w:fldChar w:fldCharType="end"/>
      </w:r>
      <w:r w:rsidR="000E6E9D">
        <w:rPr>
          <w:bCs/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0F2D3" w14:textId="77777777" w:rsidR="00064002" w:rsidRPr="006D2D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A361" w14:textId="77777777" w:rsidR="00064002" w:rsidRPr="006D2D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B9B6" w14:textId="77777777" w:rsidR="00064002" w:rsidRPr="006D2D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346061304">
    <w:abstractNumId w:val="9"/>
  </w:num>
  <w:num w:numId="2" w16cid:durableId="2111923539">
    <w:abstractNumId w:val="9"/>
  </w:num>
  <w:num w:numId="3" w16cid:durableId="1541817732">
    <w:abstractNumId w:val="7"/>
  </w:num>
  <w:num w:numId="4" w16cid:durableId="1557158601">
    <w:abstractNumId w:val="7"/>
  </w:num>
  <w:num w:numId="5" w16cid:durableId="1286541810">
    <w:abstractNumId w:val="6"/>
  </w:num>
  <w:num w:numId="6" w16cid:durableId="852841364">
    <w:abstractNumId w:val="6"/>
  </w:num>
  <w:num w:numId="7" w16cid:durableId="1023894469">
    <w:abstractNumId w:val="5"/>
  </w:num>
  <w:num w:numId="8" w16cid:durableId="950623963">
    <w:abstractNumId w:val="5"/>
  </w:num>
  <w:num w:numId="9" w16cid:durableId="573860282">
    <w:abstractNumId w:val="4"/>
  </w:num>
  <w:num w:numId="10" w16cid:durableId="1260799657">
    <w:abstractNumId w:val="4"/>
  </w:num>
  <w:num w:numId="11" w16cid:durableId="466361453">
    <w:abstractNumId w:val="8"/>
  </w:num>
  <w:num w:numId="12" w16cid:durableId="89816060">
    <w:abstractNumId w:val="8"/>
  </w:num>
  <w:num w:numId="13" w16cid:durableId="1912152063">
    <w:abstractNumId w:val="3"/>
  </w:num>
  <w:num w:numId="14" w16cid:durableId="974409759">
    <w:abstractNumId w:val="3"/>
  </w:num>
  <w:num w:numId="15" w16cid:durableId="2100250058">
    <w:abstractNumId w:val="2"/>
  </w:num>
  <w:num w:numId="16" w16cid:durableId="976757707">
    <w:abstractNumId w:val="2"/>
  </w:num>
  <w:num w:numId="17" w16cid:durableId="771973401">
    <w:abstractNumId w:val="1"/>
  </w:num>
  <w:num w:numId="18" w16cid:durableId="654183103">
    <w:abstractNumId w:val="1"/>
  </w:num>
  <w:num w:numId="19" w16cid:durableId="1111319488">
    <w:abstractNumId w:val="0"/>
  </w:num>
  <w:num w:numId="20" w16cid:durableId="871653222">
    <w:abstractNumId w:val="0"/>
  </w:num>
  <w:num w:numId="21" w16cid:durableId="1706100722">
    <w:abstractNumId w:val="9"/>
  </w:num>
  <w:num w:numId="22" w16cid:durableId="1137070745">
    <w:abstractNumId w:val="7"/>
  </w:num>
  <w:num w:numId="23" w16cid:durableId="405032371">
    <w:abstractNumId w:val="6"/>
  </w:num>
  <w:num w:numId="24" w16cid:durableId="1286542356">
    <w:abstractNumId w:val="5"/>
  </w:num>
  <w:num w:numId="25" w16cid:durableId="1886063835">
    <w:abstractNumId w:val="4"/>
  </w:num>
  <w:num w:numId="26" w16cid:durableId="1790587539">
    <w:abstractNumId w:val="8"/>
  </w:num>
  <w:num w:numId="27" w16cid:durableId="103888247">
    <w:abstractNumId w:val="3"/>
  </w:num>
  <w:num w:numId="28" w16cid:durableId="1317493406">
    <w:abstractNumId w:val="2"/>
  </w:num>
  <w:num w:numId="29" w16cid:durableId="1756853191">
    <w:abstractNumId w:val="1"/>
  </w:num>
  <w:num w:numId="30" w16cid:durableId="528184169">
    <w:abstractNumId w:val="0"/>
  </w:num>
  <w:num w:numId="31" w16cid:durableId="294066174">
    <w:abstractNumId w:val="9"/>
  </w:num>
  <w:num w:numId="32" w16cid:durableId="451629440">
    <w:abstractNumId w:val="7"/>
  </w:num>
  <w:num w:numId="33" w16cid:durableId="1945188897">
    <w:abstractNumId w:val="6"/>
  </w:num>
  <w:num w:numId="34" w16cid:durableId="613102400">
    <w:abstractNumId w:val="5"/>
  </w:num>
  <w:num w:numId="35" w16cid:durableId="1480883141">
    <w:abstractNumId w:val="4"/>
  </w:num>
  <w:num w:numId="36" w16cid:durableId="1035809793">
    <w:abstractNumId w:val="8"/>
  </w:num>
  <w:num w:numId="37" w16cid:durableId="307324172">
    <w:abstractNumId w:val="3"/>
  </w:num>
  <w:num w:numId="38" w16cid:durableId="520241831">
    <w:abstractNumId w:val="2"/>
  </w:num>
  <w:num w:numId="39" w16cid:durableId="512695009">
    <w:abstractNumId w:val="1"/>
  </w:num>
  <w:num w:numId="40" w16cid:durableId="1070081503">
    <w:abstractNumId w:val="0"/>
  </w:num>
  <w:num w:numId="41" w16cid:durableId="602691221">
    <w:abstractNumId w:val="10"/>
  </w:num>
  <w:num w:numId="42" w16cid:durableId="738093263">
    <w:abstractNumId w:val="10"/>
  </w:num>
  <w:num w:numId="43" w16cid:durableId="239677254">
    <w:abstractNumId w:val="10"/>
  </w:num>
  <w:num w:numId="44" w16cid:durableId="1328560031">
    <w:abstractNumId w:val="11"/>
  </w:num>
  <w:num w:numId="45" w16cid:durableId="251086806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HR"/>
    <w:docVar w:name="dvnumam" w:val="0"/>
    <w:docVar w:name="dvpe" w:val="774.284"/>
    <w:docVar w:name="dvrapporteur" w:val="Izvjestitelj: "/>
    <w:docVar w:name="dvtitre" w:val="Rezolucija Europskog parlamenta od .... 2025. o Prijedlogu odluke Europskog parlamenta i Vijeća o mobilizaciji Fonda solidarnosti Europske unije radi pružanja pomoći Austriji, Poljskoj, Češkoj, Slovačkoj i Moldovi u vezi s poplavama koje su se dogodile u rujnu 2024. te Bosni i Hercegovini u vezi s poplavama koje su se dogodile u listopadu 2024.(COM(2025)0250 – C10-0102/2025 – 2025/0138(BUD))"/>
  </w:docVars>
  <w:rsids>
    <w:rsidRoot w:val="003A254E"/>
    <w:rsid w:val="00002272"/>
    <w:rsid w:val="00064002"/>
    <w:rsid w:val="000677B9"/>
    <w:rsid w:val="000831BA"/>
    <w:rsid w:val="000A42CC"/>
    <w:rsid w:val="000E6E9D"/>
    <w:rsid w:val="000E7DD9"/>
    <w:rsid w:val="000F1A47"/>
    <w:rsid w:val="0010095E"/>
    <w:rsid w:val="00125B37"/>
    <w:rsid w:val="00187494"/>
    <w:rsid w:val="001F32AE"/>
    <w:rsid w:val="00207F53"/>
    <w:rsid w:val="002767FF"/>
    <w:rsid w:val="002B18FE"/>
    <w:rsid w:val="002B5493"/>
    <w:rsid w:val="00343214"/>
    <w:rsid w:val="00361C00"/>
    <w:rsid w:val="00395FA1"/>
    <w:rsid w:val="003A254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8B7"/>
    <w:rsid w:val="006631B6"/>
    <w:rsid w:val="00674B23"/>
    <w:rsid w:val="00680577"/>
    <w:rsid w:val="006D2D3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40B"/>
    <w:rsid w:val="00865F67"/>
    <w:rsid w:val="008749DC"/>
    <w:rsid w:val="00881A7B"/>
    <w:rsid w:val="008840E5"/>
    <w:rsid w:val="00887B3E"/>
    <w:rsid w:val="008B054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76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4AF"/>
    <w:rsid w:val="00BE6ADC"/>
    <w:rsid w:val="00C05BFE"/>
    <w:rsid w:val="00C23CD4"/>
    <w:rsid w:val="00C348A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FD9"/>
    <w:rsid w:val="00ED169E"/>
    <w:rsid w:val="00ED4235"/>
    <w:rsid w:val="00F04346"/>
    <w:rsid w:val="00F075DC"/>
    <w:rsid w:val="00F1462D"/>
    <w:rsid w:val="00F149E9"/>
    <w:rsid w:val="00F2675B"/>
    <w:rsid w:val="00F27978"/>
    <w:rsid w:val="00F5134D"/>
    <w:rsid w:val="00F74202"/>
    <w:rsid w:val="00F85E26"/>
    <w:rsid w:val="00F87713"/>
    <w:rsid w:val="00FB4360"/>
    <w:rsid w:val="00FC6DD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9EC61"/>
  <w15:chartTrackingRefBased/>
  <w15:docId w15:val="{889ED312-7DBB-4375-A9E6-40D335BD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168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168B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168B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168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168B7"/>
    <w:rPr>
      <w:sz w:val="24"/>
      <w:lang w:val="hr-HR"/>
    </w:rPr>
  </w:style>
  <w:style w:type="paragraph" w:customStyle="1" w:styleId="NormalBold24a">
    <w:name w:val="NormalBold24a"/>
    <w:basedOn w:val="Normal"/>
    <w:rsid w:val="006168B7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6168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168B7"/>
    <w:pPr>
      <w:spacing w:before="480" w:after="240"/>
    </w:pPr>
  </w:style>
  <w:style w:type="character" w:styleId="Hyperlink">
    <w:name w:val="Hyperlink"/>
    <w:basedOn w:val="DefaultParagraphFont"/>
    <w:uiPriority w:val="99"/>
    <w:rsid w:val="006168B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68B7"/>
    <w:pPr>
      <w:widowControl/>
      <w:spacing w:before="100" w:beforeAutospacing="1" w:after="100" w:afterAutospacing="1"/>
    </w:pPr>
    <w:rPr>
      <w:szCs w:val="24"/>
    </w:rPr>
  </w:style>
  <w:style w:type="paragraph" w:customStyle="1" w:styleId="Titrearticle">
    <w:name w:val="Titre article"/>
    <w:basedOn w:val="Normal"/>
    <w:next w:val="Normal"/>
    <w:rsid w:val="006168B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168B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Normal"/>
    <w:rsid w:val="006168B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Considrant">
    <w:name w:val="Considérant"/>
    <w:basedOn w:val="Normal"/>
    <w:rsid w:val="006168B7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6168B7"/>
    <w:rPr>
      <w:sz w:val="24"/>
      <w:lang w:val="hr-HR"/>
    </w:rPr>
  </w:style>
  <w:style w:type="paragraph" w:customStyle="1" w:styleId="Point0">
    <w:name w:val="Point 0"/>
    <w:basedOn w:val="Normal"/>
    <w:rsid w:val="006168B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FC6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6DD7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A5176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F279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797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D609E-DC5E-4596-86A9-8CC794D0F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1660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2025-10-23T14:15:00Z</dcterms:created>
  <dcterms:modified xsi:type="dcterms:W3CDTF">2025-10-23T14:15:00Z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