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16602" w14:paraId="084063F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CC7435B" w14:textId="77777777" w:rsidR="00751A4A" w:rsidRPr="00916602" w:rsidRDefault="001709D6" w:rsidP="0010095E">
            <w:pPr>
              <w:pStyle w:val="EPName"/>
            </w:pPr>
            <w:r w:rsidRPr="00916602">
              <w:t xml:space="preserve">Parlamento </w:t>
            </w:r>
            <w:proofErr w:type="gramStart"/>
            <w:r w:rsidRPr="00916602">
              <w:t>Europeu</w:t>
            </w:r>
            <w:proofErr w:type="gramEnd"/>
          </w:p>
          <w:p w14:paraId="036FFD30" w14:textId="77777777" w:rsidR="00751A4A" w:rsidRPr="0091660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16602">
              <w:t>2024</w:t>
            </w:r>
            <w:r w:rsidR="00817416" w:rsidRPr="00916602">
              <w:t>-202</w:t>
            </w:r>
            <w:r w:rsidRPr="00916602">
              <w:t>9</w:t>
            </w:r>
          </w:p>
        </w:tc>
        <w:tc>
          <w:tcPr>
            <w:tcW w:w="2268" w:type="dxa"/>
            <w:shd w:val="clear" w:color="auto" w:fill="auto"/>
          </w:tcPr>
          <w:p w14:paraId="7A50C91D" w14:textId="77777777" w:rsidR="00751A4A" w:rsidRPr="00916602" w:rsidRDefault="00187494" w:rsidP="0010095E">
            <w:pPr>
              <w:pStyle w:val="EPLogo"/>
            </w:pPr>
            <w:r w:rsidRPr="00916602">
              <w:rPr>
                <w:noProof/>
                <w:lang w:val="en-GB"/>
              </w:rPr>
              <w:drawing>
                <wp:inline distT="0" distB="0" distL="0" distR="0" wp14:anchorId="0141B7BB" wp14:editId="51322CD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4782C0" w14:textId="77777777" w:rsidR="00D058B8" w:rsidRPr="00916602" w:rsidRDefault="00D058B8" w:rsidP="004C5D52">
      <w:pPr>
        <w:pStyle w:val="LineTop"/>
      </w:pPr>
    </w:p>
    <w:p w14:paraId="376FC3F0" w14:textId="77777777" w:rsidR="00680577" w:rsidRPr="00916602" w:rsidRDefault="001709D6" w:rsidP="00680577">
      <w:pPr>
        <w:pStyle w:val="EPBodyTA1"/>
      </w:pPr>
      <w:r w:rsidRPr="00916602">
        <w:t>TEXTOS APROVADOS</w:t>
      </w:r>
    </w:p>
    <w:p w14:paraId="55BC8CE7" w14:textId="77777777" w:rsidR="00D058B8" w:rsidRPr="00916602" w:rsidRDefault="00D058B8" w:rsidP="00D058B8">
      <w:pPr>
        <w:pStyle w:val="LineBottom"/>
      </w:pPr>
    </w:p>
    <w:p w14:paraId="3D765508" w14:textId="45089E52" w:rsidR="001709D6" w:rsidRPr="00916602" w:rsidRDefault="001709D6" w:rsidP="001709D6">
      <w:pPr>
        <w:pStyle w:val="ATHeading1"/>
      </w:pPr>
      <w:bookmarkStart w:id="0" w:name="TANumber"/>
      <w:r w:rsidRPr="00916602">
        <w:t>P10_</w:t>
      </w:r>
      <w:proofErr w:type="gramStart"/>
      <w:r w:rsidRPr="00916602">
        <w:t>TA(</w:t>
      </w:r>
      <w:proofErr w:type="gramEnd"/>
      <w:r w:rsidRPr="00916602">
        <w:t>2025)</w:t>
      </w:r>
      <w:bookmarkEnd w:id="0"/>
      <w:r w:rsidR="00E310F8" w:rsidRPr="00916602">
        <w:t>0152</w:t>
      </w:r>
    </w:p>
    <w:p w14:paraId="7FA8E8F2" w14:textId="07A7EBE1" w:rsidR="001709D6" w:rsidRPr="00916602" w:rsidRDefault="001709D6" w:rsidP="001709D6">
      <w:pPr>
        <w:pStyle w:val="ATHeading2"/>
      </w:pPr>
      <w:bookmarkStart w:id="1" w:name="title"/>
      <w:r w:rsidRPr="00916602">
        <w:t xml:space="preserve">Mobilização do Fundo de Solidariedade da União Europeia: </w:t>
      </w:r>
      <w:r w:rsidR="00445645" w:rsidRPr="00916602">
        <w:t>assistência</w:t>
      </w:r>
      <w:r w:rsidRPr="00916602">
        <w:t xml:space="preserve"> à Áustria, à Polónia, à Chéquia, à Eslováquia e à Moldávia </w:t>
      </w:r>
      <w:r w:rsidR="00445645" w:rsidRPr="00916602">
        <w:t>relativamente</w:t>
      </w:r>
      <w:r w:rsidRPr="00916602">
        <w:t xml:space="preserve"> às inundações ocorridas em setembro de 2024 e à Bósnia-Herzegovina </w:t>
      </w:r>
      <w:r w:rsidR="00445645" w:rsidRPr="00916602">
        <w:t>relativamente</w:t>
      </w:r>
      <w:r w:rsidRPr="00916602">
        <w:t xml:space="preserve"> às inundações ocorridas em outubro de 2024</w:t>
      </w:r>
      <w:bookmarkEnd w:id="1"/>
    </w:p>
    <w:p w14:paraId="0DFD9257" w14:textId="77777777" w:rsidR="001709D6" w:rsidRPr="00916602" w:rsidRDefault="001709D6" w:rsidP="001709D6">
      <w:pPr>
        <w:rPr>
          <w:i/>
          <w:vanish/>
        </w:rPr>
      </w:pPr>
      <w:r w:rsidRPr="00916602">
        <w:rPr>
          <w:i/>
        </w:rPr>
        <w:fldChar w:fldCharType="begin"/>
      </w:r>
      <w:r w:rsidRPr="00916602">
        <w:rPr>
          <w:i/>
        </w:rPr>
        <w:instrText xml:space="preserve"> TC"(</w:instrText>
      </w:r>
      <w:bookmarkStart w:id="2" w:name="DocNumber"/>
      <w:r w:rsidRPr="00916602">
        <w:rPr>
          <w:i/>
        </w:rPr>
        <w:instrText>A10-0114/2025</w:instrText>
      </w:r>
      <w:bookmarkEnd w:id="2"/>
      <w:r w:rsidRPr="00916602">
        <w:rPr>
          <w:i/>
        </w:rPr>
        <w:instrText xml:space="preserve"> - Relator: </w:instrText>
      </w:r>
      <w:proofErr w:type="spellStart"/>
      <w:r w:rsidRPr="00916602">
        <w:rPr>
          <w:i/>
        </w:rPr>
        <w:instrText>Andrzej</w:instrText>
      </w:r>
      <w:proofErr w:type="spellEnd"/>
      <w:r w:rsidRPr="00916602">
        <w:rPr>
          <w:i/>
        </w:rPr>
        <w:instrText xml:space="preserve"> </w:instrText>
      </w:r>
      <w:proofErr w:type="spellStart"/>
      <w:r w:rsidRPr="00916602">
        <w:rPr>
          <w:i/>
        </w:rPr>
        <w:instrText>Halicki</w:instrText>
      </w:r>
      <w:proofErr w:type="spellEnd"/>
      <w:r w:rsidRPr="00916602">
        <w:rPr>
          <w:i/>
        </w:rPr>
        <w:instrText xml:space="preserve">)"\l3 \n&gt; \* MERGEFORMAT </w:instrText>
      </w:r>
      <w:r w:rsidRPr="00916602">
        <w:rPr>
          <w:i/>
        </w:rPr>
        <w:fldChar w:fldCharType="end"/>
      </w:r>
    </w:p>
    <w:p w14:paraId="53E3C1FC" w14:textId="77777777" w:rsidR="001709D6" w:rsidRPr="00916602" w:rsidRDefault="001709D6" w:rsidP="001709D6">
      <w:pPr>
        <w:rPr>
          <w:vanish/>
        </w:rPr>
      </w:pPr>
      <w:bookmarkStart w:id="3" w:name="Commission"/>
      <w:r w:rsidRPr="00916602">
        <w:rPr>
          <w:vanish/>
        </w:rPr>
        <w:t>Comissão dos Orçamentos</w:t>
      </w:r>
      <w:bookmarkEnd w:id="3"/>
    </w:p>
    <w:p w14:paraId="6395CB18" w14:textId="77777777" w:rsidR="001709D6" w:rsidRPr="00916602" w:rsidRDefault="001709D6" w:rsidP="001709D6">
      <w:pPr>
        <w:rPr>
          <w:vanish/>
        </w:rPr>
      </w:pPr>
      <w:bookmarkStart w:id="4" w:name="PE"/>
      <w:r w:rsidRPr="00916602">
        <w:rPr>
          <w:vanish/>
        </w:rPr>
        <w:t>PE774.284</w:t>
      </w:r>
      <w:bookmarkEnd w:id="4"/>
    </w:p>
    <w:p w14:paraId="049D3CCD" w14:textId="2C8D10A8" w:rsidR="001709D6" w:rsidRPr="00916602" w:rsidRDefault="001709D6" w:rsidP="001709D6">
      <w:pPr>
        <w:pStyle w:val="ATHeading3"/>
      </w:pPr>
      <w:bookmarkStart w:id="5" w:name="Sujet"/>
      <w:r w:rsidRPr="00916602">
        <w:t xml:space="preserve">Resolução do Parlamento Europeu, de </w:t>
      </w:r>
      <w:r w:rsidR="00194BF0" w:rsidRPr="00916602">
        <w:t xml:space="preserve">9 </w:t>
      </w:r>
      <w:r w:rsidRPr="00916602">
        <w:t xml:space="preserve">de </w:t>
      </w:r>
      <w:r w:rsidR="00194BF0" w:rsidRPr="00916602">
        <w:t xml:space="preserve">julho </w:t>
      </w:r>
      <w:r w:rsidRPr="00916602">
        <w:t>de 2025, sobre a proposta de decisão do Parlamento Europeu e do Conselho relativa à mobilização do Fundo de Solidariedade da União Europeia para prestar auxílio à Áustria, à Polónia, à Chéquia, à Eslováquia e à Moldávia devido às inundações ocorridas em setembro de 2024 e à Bósnia-Herzegovina devido às inundações ocorridas em outubro de 2024</w:t>
      </w:r>
      <w:bookmarkEnd w:id="5"/>
      <w:r w:rsidRPr="00916602">
        <w:t xml:space="preserve"> </w:t>
      </w:r>
      <w:bookmarkStart w:id="6" w:name="References"/>
      <w:r w:rsidRPr="00916602">
        <w:t>(</w:t>
      </w:r>
      <w:proofErr w:type="gramStart"/>
      <w:r w:rsidRPr="00916602">
        <w:t>COM(</w:t>
      </w:r>
      <w:proofErr w:type="gramEnd"/>
      <w:r w:rsidRPr="00916602">
        <w:t>2025)0250 – C10-0102/2025 – 2025/0138(BUD))</w:t>
      </w:r>
      <w:bookmarkEnd w:id="6"/>
    </w:p>
    <w:p w14:paraId="1F323939" w14:textId="77777777" w:rsidR="007876C4" w:rsidRPr="00916602" w:rsidRDefault="007876C4" w:rsidP="007876C4">
      <w:pPr>
        <w:pStyle w:val="EPComma"/>
        <w:rPr>
          <w:noProof/>
        </w:rPr>
      </w:pPr>
      <w:r w:rsidRPr="00916602">
        <w:rPr>
          <w:i/>
        </w:rPr>
        <w:t>O Parlamento Europeu,</w:t>
      </w:r>
    </w:p>
    <w:p w14:paraId="64CA14C0" w14:textId="4790BBCE" w:rsidR="007876C4" w:rsidRPr="00916602" w:rsidRDefault="007876C4" w:rsidP="007876C4">
      <w:pPr>
        <w:pStyle w:val="NormalHanging12a"/>
        <w:rPr>
          <w:noProof/>
        </w:rPr>
      </w:pPr>
      <w:r w:rsidRPr="00916602">
        <w:t>–</w:t>
      </w:r>
      <w:r w:rsidRPr="00916602">
        <w:tab/>
        <w:t>Tendo em conta a proposta da Comissão ao Parlamento e ao Conselho (</w:t>
      </w:r>
      <w:proofErr w:type="gramStart"/>
      <w:r w:rsidRPr="00916602">
        <w:t>COM(</w:t>
      </w:r>
      <w:proofErr w:type="gramEnd"/>
      <w:r w:rsidRPr="00916602">
        <w:t>2025)0250 – C10</w:t>
      </w:r>
      <w:r w:rsidRPr="00916602">
        <w:noBreakHyphen/>
        <w:t>0102/2025),</w:t>
      </w:r>
    </w:p>
    <w:p w14:paraId="378AE9CF" w14:textId="77777777" w:rsidR="007876C4" w:rsidRPr="00916602" w:rsidRDefault="007876C4" w:rsidP="007876C4">
      <w:pPr>
        <w:pStyle w:val="NormalHanging12a"/>
        <w:rPr>
          <w:noProof/>
        </w:rPr>
      </w:pPr>
      <w:r w:rsidRPr="00916602">
        <w:t>–</w:t>
      </w:r>
      <w:r w:rsidRPr="00916602">
        <w:tab/>
        <w:t>Tendo em conta o Regulamento (CE) n.º 2012/2002 do Conselho, de 11 de novembro de 2002, que institui o Fundo de Solidariedade da União Europeia</w:t>
      </w:r>
      <w:r w:rsidRPr="00916602">
        <w:rPr>
          <w:rStyle w:val="FootnoteReference"/>
        </w:rPr>
        <w:footnoteReference w:id="1"/>
      </w:r>
      <w:r w:rsidRPr="00916602">
        <w:t>,</w:t>
      </w:r>
    </w:p>
    <w:p w14:paraId="67387ECB" w14:textId="77777777" w:rsidR="007876C4" w:rsidRPr="00916602" w:rsidRDefault="007876C4" w:rsidP="007876C4">
      <w:pPr>
        <w:pStyle w:val="NormalHanging12a"/>
        <w:rPr>
          <w:noProof/>
        </w:rPr>
      </w:pPr>
      <w:r w:rsidRPr="00916602">
        <w:t>–</w:t>
      </w:r>
      <w:r w:rsidRPr="00916602">
        <w:tab/>
        <w:t xml:space="preserve">Tendo em conta o Regulamento (UE, </w:t>
      </w:r>
      <w:proofErr w:type="spellStart"/>
      <w:r w:rsidRPr="00916602">
        <w:t>Euratom</w:t>
      </w:r>
      <w:proofErr w:type="spellEnd"/>
      <w:r w:rsidRPr="00916602">
        <w:t>) 2020/2093 do Conselho, de 17 de dezembro de 2020, que estabelece o quadro financeiro plurianual para o período de 2021 a 2027</w:t>
      </w:r>
      <w:r w:rsidRPr="00916602">
        <w:rPr>
          <w:rStyle w:val="FootnoteReference"/>
          <w:noProof/>
        </w:rPr>
        <w:footnoteReference w:id="2"/>
      </w:r>
      <w:r w:rsidRPr="00916602">
        <w:t>, nomeadamente o artigo 9.º,</w:t>
      </w:r>
    </w:p>
    <w:p w14:paraId="7D650E5B" w14:textId="1681BA8F" w:rsidR="007876C4" w:rsidRPr="00916602" w:rsidRDefault="007876C4" w:rsidP="007876C4">
      <w:pPr>
        <w:pStyle w:val="NormalHanging12a"/>
        <w:rPr>
          <w:noProof/>
        </w:rPr>
      </w:pPr>
      <w:r w:rsidRPr="00916602">
        <w:t>–</w:t>
      </w:r>
      <w:r w:rsidRPr="00916602">
        <w:tab/>
        <w:t>Tendo em conta o Acordo Interinstitucional</w:t>
      </w:r>
      <w:r w:rsidR="00BA7EC4" w:rsidRPr="00916602">
        <w:t>,</w:t>
      </w:r>
      <w:r w:rsidRPr="00916602">
        <w:t xml:space="preserve"> de 16 de dezembro de 2020</w:t>
      </w:r>
      <w:r w:rsidR="00BA7EC4" w:rsidRPr="00916602">
        <w:t>,</w:t>
      </w:r>
      <w:r w:rsidRPr="00916602">
        <w:t xml:space="preserve"> entre o Parlamento Europeu, o Conselho e a Comissão sobre a disciplina orçamental, a cooperação em matéria orçamental e a boa gestão financeira, bem como sobre </w:t>
      </w:r>
      <w:r w:rsidR="00BA7EC4" w:rsidRPr="00916602">
        <w:t xml:space="preserve">os </w:t>
      </w:r>
      <w:r w:rsidRPr="00916602">
        <w:t>novos recursos próprios, incluindo um roteiro para a introdução de novos recursos próprios</w:t>
      </w:r>
      <w:r w:rsidRPr="00916602">
        <w:rPr>
          <w:rStyle w:val="FootnoteReference"/>
          <w:noProof/>
        </w:rPr>
        <w:footnoteReference w:id="3"/>
      </w:r>
      <w:r w:rsidRPr="00916602">
        <w:t>, nomeadamente o ponto 10,</w:t>
      </w:r>
    </w:p>
    <w:p w14:paraId="28E4A661" w14:textId="77777777" w:rsidR="007876C4" w:rsidRPr="00916602" w:rsidRDefault="007876C4" w:rsidP="007876C4">
      <w:pPr>
        <w:pStyle w:val="NormalHanging12a"/>
      </w:pPr>
      <w:r w:rsidRPr="00916602">
        <w:t>–</w:t>
      </w:r>
      <w:r w:rsidRPr="00916602">
        <w:tab/>
        <w:t xml:space="preserve">Tendo em conta o Regulamento (UE) 2021/1058 do Parlamento Europeu e do Conselho, de 24 de junho de 2021, relativo ao Fundo Europeu de Desenvolvimento </w:t>
      </w:r>
      <w:r w:rsidRPr="00916602">
        <w:lastRenderedPageBreak/>
        <w:t>Regional e ao Fundo de Coesão</w:t>
      </w:r>
      <w:r w:rsidRPr="00916602">
        <w:rPr>
          <w:rStyle w:val="FootnoteReference"/>
        </w:rPr>
        <w:footnoteReference w:id="4"/>
      </w:r>
      <w:r w:rsidRPr="00916602">
        <w:t xml:space="preserve">, </w:t>
      </w:r>
    </w:p>
    <w:p w14:paraId="66CFB1AD" w14:textId="273CC86A" w:rsidR="007876C4" w:rsidRPr="00916602" w:rsidRDefault="007876C4" w:rsidP="007876C4">
      <w:pPr>
        <w:pStyle w:val="NormalHanging12a"/>
      </w:pPr>
      <w:r w:rsidRPr="00916602">
        <w:t>–</w:t>
      </w:r>
      <w:r w:rsidRPr="00916602">
        <w:tab/>
        <w:t>Tendo em conta o Regulamento (UE) 2021/1057 do Parlamento Europeu e do Conselho, de 24 de junho de 2021, que cria o Fundo Social Europeu Mais (FSE+)</w:t>
      </w:r>
      <w:r w:rsidRPr="00916602">
        <w:rPr>
          <w:rStyle w:val="FootnoteReference"/>
        </w:rPr>
        <w:footnoteReference w:id="5"/>
      </w:r>
      <w:r w:rsidR="00A17AE9">
        <w:t>,</w:t>
      </w:r>
    </w:p>
    <w:p w14:paraId="48E01CE7" w14:textId="2A56C439" w:rsidR="007876C4" w:rsidRPr="00916602" w:rsidRDefault="007876C4" w:rsidP="007876C4">
      <w:pPr>
        <w:pStyle w:val="NormalHanging12a"/>
        <w:rPr>
          <w:noProof/>
        </w:rPr>
      </w:pPr>
      <w:r w:rsidRPr="00916602">
        <w:t>–</w:t>
      </w:r>
      <w:r w:rsidRPr="00916602">
        <w:tab/>
        <w:t>Tendo em conta o Regulamento (UE) 2021/2115 do Parlamento Europeu e do Conselho, de 2 de dezembro de 2021, que estabelece regras para apoiar os planos estratégicos a elaborar pelos Estados</w:t>
      </w:r>
      <w:r w:rsidRPr="00916602">
        <w:noBreakHyphen/>
        <w:t>Membros no âmbito da política agrícola comum (planos estratégicos da PAC) e financiados pelo Fundo Europeu Agrícola de Garantia (FEAGA) e pelo Fundo Europeu Agrícola de Desenvolvimento Rural (FEADER), e que revoga os Regulamentos (UE) n.º 1305/2013 e (UE) n.º 1307/2013</w:t>
      </w:r>
      <w:r w:rsidRPr="00916602">
        <w:rPr>
          <w:rStyle w:val="FootnoteReference"/>
          <w:noProof/>
        </w:rPr>
        <w:footnoteReference w:id="6"/>
      </w:r>
      <w:r w:rsidR="00A17AE9">
        <w:t>,</w:t>
      </w:r>
    </w:p>
    <w:p w14:paraId="09FAAD1B" w14:textId="689415BD" w:rsidR="00194BF0" w:rsidRPr="00916602" w:rsidRDefault="007876C4" w:rsidP="007876C4">
      <w:pPr>
        <w:pStyle w:val="NormalWeb"/>
        <w:shd w:val="clear" w:color="auto" w:fill="FFFFFF"/>
        <w:ind w:left="567" w:hanging="567"/>
      </w:pPr>
      <w:r w:rsidRPr="00916602">
        <w:t>–</w:t>
      </w:r>
      <w:r w:rsidRPr="00916602">
        <w:tab/>
        <w:t xml:space="preserve">Tendo em conta a sua Resolução, de 27 de fevereiro de 2024, referente ao projeto de regulamento do Conselho que altera o Regulamento (UE, </w:t>
      </w:r>
      <w:proofErr w:type="spellStart"/>
      <w:r w:rsidRPr="00916602">
        <w:t>Euratom</w:t>
      </w:r>
      <w:proofErr w:type="spellEnd"/>
      <w:r w:rsidRPr="00916602">
        <w:t>) 2020/2093 que estabelece o quadro financeiro plurianual para o período de 2021 a 2027</w:t>
      </w:r>
      <w:r w:rsidRPr="00916602">
        <w:rPr>
          <w:rStyle w:val="FootnoteReference"/>
        </w:rPr>
        <w:footnoteReference w:id="7"/>
      </w:r>
      <w:r w:rsidRPr="00916602">
        <w:t>,</w:t>
      </w:r>
    </w:p>
    <w:p w14:paraId="1871D29E" w14:textId="243F8A39" w:rsidR="007876C4" w:rsidRPr="00916602" w:rsidRDefault="007876C4" w:rsidP="007876C4">
      <w:pPr>
        <w:pStyle w:val="NormalWeb"/>
        <w:shd w:val="clear" w:color="auto" w:fill="FFFFFF"/>
        <w:ind w:left="567" w:hanging="567"/>
      </w:pPr>
      <w:r w:rsidRPr="00916602">
        <w:t>–</w:t>
      </w:r>
      <w:r w:rsidRPr="00916602">
        <w:rPr>
          <w:b/>
          <w:i/>
        </w:rPr>
        <w:tab/>
      </w:r>
      <w:r w:rsidRPr="00916602">
        <w:t xml:space="preserve">Tendo em conta </w:t>
      </w:r>
      <w:r w:rsidR="00873B5E" w:rsidRPr="00916602">
        <w:t xml:space="preserve">o relatório da Comissão do Emprego e dos Assuntos Sociais e da Comissão do Desenvolvimento Regional (A10-0031/2024) no âmbito do processo legislativo para a adoção do Regulamento (UE) 2024/3236 do Parlamento Europeu e do Conselho, de 19 de dezembro de 2024, que altera os Regulamentos (UE) 2021/1057 e (UE) 2021/1058 no que </w:t>
      </w:r>
      <w:r w:rsidR="00690831" w:rsidRPr="00916602">
        <w:t xml:space="preserve">diz </w:t>
      </w:r>
      <w:r w:rsidR="00873B5E" w:rsidRPr="00916602">
        <w:t>respeit</w:t>
      </w:r>
      <w:r w:rsidR="00690831" w:rsidRPr="00916602">
        <w:t>o</w:t>
      </w:r>
      <w:r w:rsidR="00873B5E" w:rsidRPr="00916602">
        <w:t xml:space="preserve"> ao Apoio Regional de Emergência à Reconstrução (RESTORE)</w:t>
      </w:r>
      <w:r w:rsidRPr="00916602">
        <w:rPr>
          <w:rStyle w:val="FootnoteReference"/>
        </w:rPr>
        <w:footnoteReference w:id="8"/>
      </w:r>
      <w:r w:rsidRPr="00916602">
        <w:t>,</w:t>
      </w:r>
      <w:r w:rsidR="00670F7F" w:rsidRPr="00916602">
        <w:t xml:space="preserve"> e, em particular,</w:t>
      </w:r>
      <w:r w:rsidRPr="00916602">
        <w:t xml:space="preserve"> a avaliação orçamental </w:t>
      </w:r>
      <w:r w:rsidR="00873B5E" w:rsidRPr="00916602">
        <w:t>da Comissão dos Orçamentos anexa a esse relatório</w:t>
      </w:r>
      <w:r w:rsidRPr="00916602">
        <w:t>,</w:t>
      </w:r>
    </w:p>
    <w:p w14:paraId="61A9A6FA" w14:textId="34A66547" w:rsidR="007876C4" w:rsidRPr="00916602" w:rsidRDefault="007876C4" w:rsidP="007876C4">
      <w:pPr>
        <w:pStyle w:val="NormalWeb"/>
        <w:shd w:val="clear" w:color="auto" w:fill="FFFFFF"/>
        <w:ind w:left="567" w:hanging="567"/>
      </w:pPr>
      <w:r w:rsidRPr="00916602">
        <w:t>–</w:t>
      </w:r>
      <w:r w:rsidRPr="00916602">
        <w:tab/>
        <w:t xml:space="preserve">Tendo em conta o Relatório n.º 1/2024 da </w:t>
      </w:r>
      <w:r w:rsidR="00F450E6" w:rsidRPr="00916602">
        <w:t>Agência Europeia do Ambiente</w:t>
      </w:r>
      <w:r w:rsidRPr="00916602">
        <w:t> – Avaliação europeia dos riscos climáticos (EUCRA)</w:t>
      </w:r>
      <w:r w:rsidRPr="00916602">
        <w:rPr>
          <w:rStyle w:val="FootnoteReference"/>
        </w:rPr>
        <w:footnoteReference w:id="9"/>
      </w:r>
      <w:r w:rsidRPr="00916602">
        <w:t>,</w:t>
      </w:r>
    </w:p>
    <w:p w14:paraId="4477ABC6" w14:textId="77777777" w:rsidR="007876C4" w:rsidRPr="00916602" w:rsidRDefault="007876C4" w:rsidP="007876C4">
      <w:pPr>
        <w:pStyle w:val="NormalHanging12a"/>
      </w:pPr>
      <w:r w:rsidRPr="00916602">
        <w:t>–</w:t>
      </w:r>
      <w:r w:rsidRPr="00916602">
        <w:tab/>
        <w:t>Tendo em conta o relatório da Comissão dos Orçamentos (A10</w:t>
      </w:r>
      <w:r w:rsidRPr="00916602">
        <w:noBreakHyphen/>
        <w:t>0114/2025),</w:t>
      </w:r>
    </w:p>
    <w:p w14:paraId="3E05946F" w14:textId="7A3DE557" w:rsidR="007876C4" w:rsidRPr="00916602" w:rsidRDefault="007876C4" w:rsidP="007876C4">
      <w:pPr>
        <w:pStyle w:val="NormalWeb"/>
        <w:shd w:val="clear" w:color="auto" w:fill="FFFFFF"/>
        <w:ind w:left="567" w:hanging="567"/>
      </w:pPr>
      <w:r w:rsidRPr="00916602">
        <w:t>A.</w:t>
      </w:r>
      <w:r w:rsidRPr="00916602">
        <w:tab/>
        <w:t>Considerando que, em setembro de 2024, se registaram níveis excecionalmente elevados de precipitação</w:t>
      </w:r>
      <w:r w:rsidR="00690831" w:rsidRPr="00916602">
        <w:t xml:space="preserve"> na Áustria</w:t>
      </w:r>
      <w:r w:rsidRPr="00916602">
        <w:t xml:space="preserve">, que causaram graves inundações, tendo as autoridades austríacas estimado em 1 711,6 milhões de </w:t>
      </w:r>
      <w:r w:rsidR="00112F89" w:rsidRPr="00916602">
        <w:t>euros</w:t>
      </w:r>
      <w:r w:rsidRPr="00916602">
        <w:t xml:space="preserve"> o montante total dos prejuízos diretos; </w:t>
      </w:r>
    </w:p>
    <w:p w14:paraId="771C476E" w14:textId="1E3CC204" w:rsidR="007876C4" w:rsidRPr="00916602" w:rsidRDefault="007876C4" w:rsidP="007876C4">
      <w:pPr>
        <w:pStyle w:val="NormalWeb"/>
        <w:shd w:val="clear" w:color="auto" w:fill="FFFFFF"/>
        <w:ind w:left="567" w:hanging="567"/>
      </w:pPr>
      <w:r w:rsidRPr="00916602">
        <w:t>B.</w:t>
      </w:r>
      <w:r w:rsidRPr="00916602">
        <w:tab/>
        <w:t>Considerando que, em setembro de 2024, ocorreram chuvas</w:t>
      </w:r>
      <w:r w:rsidR="00112F89" w:rsidRPr="00916602">
        <w:t xml:space="preserve"> intensas</w:t>
      </w:r>
      <w:r w:rsidRPr="00916602">
        <w:t xml:space="preserve"> no sudoeste da Polónia, que resultaram em inundações </w:t>
      </w:r>
      <w:r w:rsidR="00112F89" w:rsidRPr="00916602">
        <w:t xml:space="preserve">de </w:t>
      </w:r>
      <w:r w:rsidRPr="00916602">
        <w:t xml:space="preserve">vários rios, tendo as autoridades polacas estimado em 3,04 mil milhões de </w:t>
      </w:r>
      <w:r w:rsidR="00112F89" w:rsidRPr="00916602">
        <w:t>euros</w:t>
      </w:r>
      <w:r w:rsidRPr="00916602">
        <w:t xml:space="preserve"> o montante total dos prejuízos diretos;</w:t>
      </w:r>
    </w:p>
    <w:p w14:paraId="12ED3063" w14:textId="1BDBA89B" w:rsidR="007876C4" w:rsidRPr="00916602" w:rsidRDefault="007876C4" w:rsidP="007876C4">
      <w:pPr>
        <w:pStyle w:val="NormalWeb"/>
        <w:shd w:val="clear" w:color="auto" w:fill="FFFFFF"/>
        <w:ind w:left="567" w:hanging="567"/>
      </w:pPr>
      <w:r w:rsidRPr="00916602">
        <w:t>C.</w:t>
      </w:r>
      <w:r w:rsidRPr="00916602">
        <w:tab/>
        <w:t xml:space="preserve">Considerando que, em setembro de 2024, ventos muito fortes e chuvas intensas atingiram toda a Chéquia, o que provocou inundações, tendo as autoridades checas estimado em 2,82 mil milhões de </w:t>
      </w:r>
      <w:r w:rsidR="00112F89" w:rsidRPr="00916602">
        <w:t>euros</w:t>
      </w:r>
      <w:r w:rsidRPr="00916602">
        <w:t xml:space="preserve"> o montante total dos prejuízos diretos;</w:t>
      </w:r>
    </w:p>
    <w:p w14:paraId="30660F52" w14:textId="54E00E82" w:rsidR="007876C4" w:rsidRPr="00916602" w:rsidRDefault="007876C4" w:rsidP="007876C4">
      <w:pPr>
        <w:pStyle w:val="NormalWeb"/>
        <w:shd w:val="clear" w:color="auto" w:fill="FFFFFF"/>
        <w:ind w:left="567" w:hanging="567"/>
      </w:pPr>
      <w:r w:rsidRPr="00916602">
        <w:t>D.</w:t>
      </w:r>
      <w:r w:rsidRPr="00916602">
        <w:tab/>
        <w:t xml:space="preserve">Considerando que, em 15 de setembro de 2024, a Eslováquia registou inundações substanciais, que afetaram particularmente Bratislava e as regiões circundantes, o que levou a um aumento significativo dos níveis dos rios Danúbio e Morava, tendo as </w:t>
      </w:r>
      <w:r w:rsidRPr="00916602">
        <w:lastRenderedPageBreak/>
        <w:t xml:space="preserve">autoridades eslovacas estimado em 84,3 milhões de </w:t>
      </w:r>
      <w:r w:rsidR="00112F89" w:rsidRPr="00916602">
        <w:t>euros</w:t>
      </w:r>
      <w:r w:rsidRPr="00916602">
        <w:t xml:space="preserve"> o montante total dos prejuízos diretos;</w:t>
      </w:r>
    </w:p>
    <w:p w14:paraId="56668FF5" w14:textId="46DD6C9C" w:rsidR="007876C4" w:rsidRPr="00916602" w:rsidRDefault="007876C4" w:rsidP="007876C4">
      <w:pPr>
        <w:pStyle w:val="NormalWeb"/>
        <w:shd w:val="clear" w:color="auto" w:fill="FFFFFF"/>
        <w:ind w:left="567" w:hanging="567"/>
      </w:pPr>
      <w:r w:rsidRPr="00916602">
        <w:t>E.</w:t>
      </w:r>
      <w:r w:rsidRPr="00916602">
        <w:tab/>
        <w:t xml:space="preserve">Considerando que, em setembro de 2024, as chuvas torrenciais e as </w:t>
      </w:r>
      <w:r w:rsidR="005C162B" w:rsidRPr="00916602">
        <w:t xml:space="preserve">consequentes </w:t>
      </w:r>
      <w:r w:rsidRPr="00916602">
        <w:t xml:space="preserve">inundações atingiram vários distritos da Moldávia, tendo as autoridades moldavas estimado em 7,8 milhões de </w:t>
      </w:r>
      <w:r w:rsidR="005C162B" w:rsidRPr="00916602">
        <w:t>euros</w:t>
      </w:r>
      <w:r w:rsidRPr="00916602">
        <w:t xml:space="preserve"> o montante total dos prejuízos diretos;</w:t>
      </w:r>
    </w:p>
    <w:p w14:paraId="37AD9BAC" w14:textId="08057691" w:rsidR="007876C4" w:rsidRPr="00916602" w:rsidRDefault="007876C4" w:rsidP="007876C4">
      <w:pPr>
        <w:pStyle w:val="NormalWeb"/>
        <w:shd w:val="clear" w:color="auto" w:fill="FFFFFF"/>
        <w:ind w:left="567" w:hanging="567"/>
      </w:pPr>
      <w:r w:rsidRPr="00916602">
        <w:t>F.</w:t>
      </w:r>
      <w:r w:rsidRPr="00916602">
        <w:tab/>
        <w:t>Considerando que, em outubro de 2024, a Bósnia</w:t>
      </w:r>
      <w:r w:rsidRPr="00916602">
        <w:noBreakHyphen/>
        <w:t>Herzegovina foi atingida por chuvas</w:t>
      </w:r>
      <w:r w:rsidR="005C162B" w:rsidRPr="00916602">
        <w:t xml:space="preserve"> intensas</w:t>
      </w:r>
      <w:r w:rsidRPr="00916602">
        <w:t xml:space="preserve">, que provocaram inundações repentinas e catastróficas, deslizamentos de terras e inundações em várias partes do país, tendo as autoridades estimado em 841,85 milhões de </w:t>
      </w:r>
      <w:r w:rsidR="005C162B" w:rsidRPr="00916602">
        <w:t>euros</w:t>
      </w:r>
      <w:r w:rsidRPr="00916602">
        <w:t xml:space="preserve"> o montante total dos prejuízos diretos;</w:t>
      </w:r>
    </w:p>
    <w:p w14:paraId="1A39DE05" w14:textId="44DD4685" w:rsidR="007876C4" w:rsidRPr="00916602" w:rsidRDefault="007876C4" w:rsidP="007876C4">
      <w:pPr>
        <w:pStyle w:val="NormalHanging12a"/>
      </w:pPr>
      <w:r w:rsidRPr="00916602">
        <w:t>G.</w:t>
      </w:r>
      <w:r w:rsidRPr="00916602">
        <w:tab/>
        <w:t>Considerando que as ocorrências acima referidas causadas por catástrofes naturais graves resultam das alterações climáticas globais</w:t>
      </w:r>
      <w:r w:rsidR="00194BF0" w:rsidRPr="00916602">
        <w:t>; considerando que</w:t>
      </w:r>
      <w:r w:rsidRPr="00916602">
        <w:t xml:space="preserve"> o Estado do Clima na Europa 2024 confirma que 2024 foi o ano mais quente alguma vez registado na Europa e que 30 % da rede fluvial do continente excedeu o limiar «elevado» de inundações, enquanto 12 % ultrapassou o limiar «</w:t>
      </w:r>
      <w:r w:rsidR="00F204D5" w:rsidRPr="00916602">
        <w:t>grave</w:t>
      </w:r>
      <w:r w:rsidRPr="00916602">
        <w:t>»</w:t>
      </w:r>
      <w:r w:rsidR="00124A9D" w:rsidRPr="00916602">
        <w:t xml:space="preserve"> de inundações</w:t>
      </w:r>
      <w:r w:rsidRPr="00916602">
        <w:t>, o que resultou nas inundações mais generalizadas desde 2013;</w:t>
      </w:r>
    </w:p>
    <w:p w14:paraId="390712B3" w14:textId="77777777" w:rsidR="007876C4" w:rsidRPr="00916602" w:rsidRDefault="007876C4" w:rsidP="007876C4">
      <w:pPr>
        <w:spacing w:after="240"/>
        <w:ind w:left="567" w:hanging="567"/>
        <w:rPr>
          <w:szCs w:val="24"/>
          <w:shd w:val="clear" w:color="auto" w:fill="FFFFFF"/>
        </w:rPr>
      </w:pPr>
      <w:r w:rsidRPr="00916602">
        <w:t>1.</w:t>
      </w:r>
      <w:r w:rsidRPr="00916602">
        <w:tab/>
        <w:t>Manifesta a sua</w:t>
      </w:r>
      <w:r w:rsidRPr="00916602">
        <w:rPr>
          <w:shd w:val="clear" w:color="auto" w:fill="FFFFFF"/>
        </w:rPr>
        <w:t xml:space="preserve"> profunda solidariedade para com todas as vítimas, as suas famílias e todas as pessoas afetadas pelas inundações destruidoras na Áustria, na Polónia, na Chéquia, na Eslováquia, na Moldávia e na Bósnia</w:t>
      </w:r>
      <w:r w:rsidRPr="00916602">
        <w:rPr>
          <w:shd w:val="clear" w:color="auto" w:fill="FFFFFF"/>
        </w:rPr>
        <w:noBreakHyphen/>
        <w:t>Herzegovina, bem como para com as autoridades nacionais, regionais e locais envolvidas nos esforços de socorro;</w:t>
      </w:r>
    </w:p>
    <w:p w14:paraId="5F652F4C" w14:textId="77777777" w:rsidR="007876C4" w:rsidRPr="00916602" w:rsidRDefault="007876C4" w:rsidP="007876C4">
      <w:pPr>
        <w:pStyle w:val="NormalHanging12a"/>
      </w:pPr>
      <w:r w:rsidRPr="00916602">
        <w:t>2.</w:t>
      </w:r>
      <w:r w:rsidRPr="00916602">
        <w:tab/>
        <w:t>Acolhe com agrado a decisão enquanto forma tangível e visível da solidariedade da União para com os seus cidadãos e as regiões das zonas afetadas, incluindo os dos países parceiros;</w:t>
      </w:r>
    </w:p>
    <w:p w14:paraId="47D46162" w14:textId="77E72944" w:rsidR="007876C4" w:rsidRPr="00916602" w:rsidRDefault="007876C4" w:rsidP="007876C4">
      <w:pPr>
        <w:pStyle w:val="NormalHanging12a"/>
      </w:pPr>
      <w:r w:rsidRPr="00916602">
        <w:t>3.</w:t>
      </w:r>
      <w:r w:rsidRPr="00916602">
        <w:tab/>
        <w:t>Reitera a importância de comunicar ao público as vantagens concretas que o Fundo de Solidariedade da União Europeia (FSUE) proporciona, também com vista a reforçar a sensibilização dos cidadãos para os instrumentos e programas da União nos Estados</w:t>
      </w:r>
      <w:r w:rsidRPr="00916602">
        <w:noBreakHyphen/>
        <w:t>Membros e nos países envolvidos nas negociações de adesão com a União;</w:t>
      </w:r>
    </w:p>
    <w:p w14:paraId="39A8C039" w14:textId="71888E6C" w:rsidR="007876C4" w:rsidRPr="00916602" w:rsidRDefault="007876C4" w:rsidP="007876C4">
      <w:pPr>
        <w:spacing w:after="240"/>
        <w:ind w:left="567" w:hanging="567"/>
        <w:rPr>
          <w:szCs w:val="24"/>
        </w:rPr>
      </w:pPr>
      <w:r w:rsidRPr="00916602">
        <w:t>4.</w:t>
      </w:r>
      <w:r w:rsidRPr="00916602">
        <w:tab/>
        <w:t>Destaca o número crescente de catástrofes naturais graves, destruidoras e mortais na Europa e insta os Estados</w:t>
      </w:r>
      <w:r w:rsidRPr="00916602">
        <w:noBreakHyphen/>
        <w:t xml:space="preserve">Membros e a Comissão a investirem mais em medidas de atenuação e adaptação às alterações climáticas para evitar perdas humanas e económicas; sublinha que, em 2024, as tempestades e as inundações afetaram cerca de 413 000 pessoas, o que resultou na perda de, pelo menos, 335 vidas, e que se estima que os danos causados por tempestades e inundações em toda a Europa durante o ano tenham custado, pelo menos, 18 mil milhões de </w:t>
      </w:r>
      <w:r w:rsidR="000A484A" w:rsidRPr="00916602">
        <w:t>euros</w:t>
      </w:r>
      <w:r w:rsidRPr="00916602">
        <w:rPr>
          <w:rStyle w:val="FootnoteReference"/>
          <w:szCs w:val="24"/>
        </w:rPr>
        <w:footnoteReference w:id="10"/>
      </w:r>
      <w:r w:rsidRPr="00916602">
        <w:t xml:space="preserve">; considera que o orçamento do FSUE ou do seu equivalente deve ser significativamente alargado, tendo em conta a futura proposta da Comissão sobre o novo </w:t>
      </w:r>
      <w:r w:rsidR="00445645" w:rsidRPr="00916602">
        <w:t>q</w:t>
      </w:r>
      <w:r w:rsidRPr="00916602">
        <w:t xml:space="preserve">uadro </w:t>
      </w:r>
      <w:r w:rsidR="00445645" w:rsidRPr="00916602">
        <w:t>f</w:t>
      </w:r>
      <w:r w:rsidRPr="00916602">
        <w:t xml:space="preserve">inanceiro </w:t>
      </w:r>
      <w:r w:rsidR="00445645" w:rsidRPr="00916602">
        <w:t>p</w:t>
      </w:r>
      <w:r w:rsidRPr="00916602">
        <w:t>lurianual e as subsequentes negociações interinstitucionais, e que o FSUE, ou o seu equivalente, deve prestar assistência proporcional à magnitude de tais catástrofes aos cidadãos; observa que um aumento substancial do FSUE permitiria aos Estados</w:t>
      </w:r>
      <w:r w:rsidRPr="00916602">
        <w:noBreakHyphen/>
        <w:t xml:space="preserve">Membros responder de forma mais rápida e eficaz a catástrofes, permitindo simultaneamente a preservação de outros instrumentos, nomeadamente dos fundos de coesão cujo objetivo principal não é a resposta a catástrofes; </w:t>
      </w:r>
      <w:r w:rsidR="00A524B9" w:rsidRPr="00916602">
        <w:t>insta</w:t>
      </w:r>
      <w:r w:rsidRPr="00916602">
        <w:t xml:space="preserve"> </w:t>
      </w:r>
      <w:r w:rsidR="00A524B9" w:rsidRPr="00916602">
        <w:t xml:space="preserve">igualmente </w:t>
      </w:r>
      <w:r w:rsidRPr="00916602">
        <w:t xml:space="preserve">a Comissão a explorar todas as vias possíveis </w:t>
      </w:r>
      <w:r w:rsidRPr="00916602">
        <w:lastRenderedPageBreak/>
        <w:t>para acelerar a mobilização do FSUE, em especial através da alteração das regras em vigor e da concessão de adiantamentos mais elevados aos países candidatos;</w:t>
      </w:r>
    </w:p>
    <w:p w14:paraId="19E31976" w14:textId="77777777" w:rsidR="007876C4" w:rsidRPr="00916602" w:rsidRDefault="007876C4" w:rsidP="007876C4">
      <w:pPr>
        <w:spacing w:after="240"/>
        <w:ind w:left="567" w:hanging="567"/>
        <w:rPr>
          <w:szCs w:val="24"/>
        </w:rPr>
      </w:pPr>
      <w:r w:rsidRPr="00916602">
        <w:t>5.</w:t>
      </w:r>
      <w:r w:rsidRPr="00916602">
        <w:tab/>
        <w:t>Insta a Comissão a desenvolver instrumentos específicos de resposta a situações de crise para o período pós</w:t>
      </w:r>
      <w:r w:rsidRPr="00916602">
        <w:noBreakHyphen/>
        <w:t>2027, reconhecendo que a frequência e a gravidade crescentes das catástrofes naturais, das emergências sanitárias, da instabilidade geopolítica e dos choques económicos exigem mecanismos financeiros mais ágeis e adaptados a nível da União; sublinha a necessidade de reforçar a coordenação com os sistemas nacionais de proteção civil e os mecanismos de alerta precoce, assegurando uma resposta a catástrofes à escala da União mais integrada e baseada em dados; salienta a importância de um apoio específico à cooperação transfronteiriça e regional nos esforços de preparação, atenuação e recuperação, em particular nas zonas vulneráveis ou de alto risco;</w:t>
      </w:r>
    </w:p>
    <w:p w14:paraId="385473AC" w14:textId="556A3E70" w:rsidR="007876C4" w:rsidRPr="00916602" w:rsidRDefault="007876C4" w:rsidP="007876C4">
      <w:pPr>
        <w:spacing w:after="240"/>
        <w:ind w:left="567" w:hanging="567"/>
        <w:rPr>
          <w:szCs w:val="24"/>
        </w:rPr>
      </w:pPr>
      <w:r w:rsidRPr="00916602">
        <w:t>6.</w:t>
      </w:r>
      <w:r w:rsidRPr="00916602">
        <w:tab/>
        <w:t xml:space="preserve">Salienta que o FSUE é um instrumento de mera remediação e que a União também deve continuar a acautelar a adaptação às alterações climáticas e a atenuação dos seus efeitos, apoiando as políticas europeias e nacionais de prevenção de catástrofes naturais; sublinha que o Relatório n.º 1/2024 da </w:t>
      </w:r>
      <w:r w:rsidR="00124A9D" w:rsidRPr="00916602">
        <w:t>Agência Europeia do Ambiente</w:t>
      </w:r>
      <w:r w:rsidRPr="00916602">
        <w:t xml:space="preserve"> intitulado «Avaliação europeia dos riscos climáticos» alertou para o facto de a União não estar preparada para os efeitos das alterações climáticas, mesmo que o mundo consiga manter o aumento da temperatura global em 1,5 graus Celsius, conforme estabelecido no Acordo de Paris,</w:t>
      </w:r>
      <w:r w:rsidRPr="00916602">
        <w:rPr>
          <w:i/>
        </w:rPr>
        <w:t xml:space="preserve"> </w:t>
      </w:r>
      <w:r w:rsidRPr="00916602">
        <w:t>e realça a necessidade de medidas para evitar que os riscos climáticos identificados atinjam níveis críticos; recorda a necessidade de sinergias eficazes com outras políticas e programas da União e salienta que os Estados</w:t>
      </w:r>
      <w:r w:rsidRPr="00916602">
        <w:noBreakHyphen/>
        <w:t xml:space="preserve">Membros devem utilizar da melhor forma as oportunidades de financiamento, em particular do Fundo Europeu de Desenvolvimento Regional, do Fundo Social Europeu Mais e dos programas de desenvolvimento rural; </w:t>
      </w:r>
      <w:r w:rsidR="0051736B" w:rsidRPr="00916602">
        <w:t>insta</w:t>
      </w:r>
      <w:r w:rsidRPr="00916602">
        <w:t xml:space="preserve"> a Comissão a avaliar com a devida urgência quaisquer pedidos fundamentados dos Estados</w:t>
      </w:r>
      <w:r w:rsidRPr="00916602">
        <w:noBreakHyphen/>
        <w:t xml:space="preserve">Membros para </w:t>
      </w:r>
      <w:proofErr w:type="spellStart"/>
      <w:r w:rsidRPr="00916602">
        <w:t>reafetar</w:t>
      </w:r>
      <w:proofErr w:type="spellEnd"/>
      <w:r w:rsidRPr="00916602">
        <w:t xml:space="preserve"> fundos no âmbito dos planos nacionais de recuperação e resiliência à assistência em caso de catástrofe natural, em conformidade com as regras estabelecidas no Regulamento (UE) 2021/241 do Parlamento Europeu e do Conselho</w:t>
      </w:r>
      <w:r w:rsidRPr="00916602">
        <w:rPr>
          <w:rStyle w:val="FootnoteReference"/>
          <w:szCs w:val="24"/>
        </w:rPr>
        <w:footnoteReference w:id="11"/>
      </w:r>
      <w:r w:rsidRPr="00916602">
        <w:t xml:space="preserve">; destaca </w:t>
      </w:r>
      <w:r w:rsidR="0051736B" w:rsidRPr="00916602">
        <w:t xml:space="preserve">igualmente </w:t>
      </w:r>
      <w:r w:rsidRPr="00916602">
        <w:t>a necessidade de medidas preventivas, não apenas para atenuar os danos futuros, mas também para prevenir o agravamento das condições de risco na sequência de catástrofes, como inundações, incêndios florestais, deslizamentos de terras ou a secagem de lagos e rios; salienta que qualquer reconstrução financiada pelo FSUE deve ser resiliente às alterações climáticas; frisa a importância de uma flexibilidade adequada entre os diferentes programas; ressalta que a assistência prestada ao abrigo do FSUE não deve prejudicar o financiamento europeu recebido pelos Estados</w:t>
      </w:r>
      <w:r w:rsidRPr="00916602">
        <w:noBreakHyphen/>
        <w:t>Membros ao abrigo de outros programas ou políticas da União; relembra que os Estados</w:t>
      </w:r>
      <w:r w:rsidRPr="00916602">
        <w:noBreakHyphen/>
        <w:t>Membros podem conceder auxílios estatais, em conformidade com as regras aplicáveis da União, nomeadamente às empresas agrícolas que tenham sofrido danos devido a catástrofes naturais;</w:t>
      </w:r>
    </w:p>
    <w:p w14:paraId="1AE662FB" w14:textId="63C6D419" w:rsidR="007876C4" w:rsidRPr="00916602" w:rsidRDefault="007876C4" w:rsidP="007876C4">
      <w:pPr>
        <w:spacing w:after="240"/>
        <w:ind w:left="567" w:hanging="567"/>
        <w:rPr>
          <w:szCs w:val="24"/>
        </w:rPr>
      </w:pPr>
      <w:r w:rsidRPr="00916602">
        <w:t>7.</w:t>
      </w:r>
      <w:r w:rsidRPr="00916602">
        <w:tab/>
        <w:t>Recorda que o RESTORE e as medidas específicas no âmbito do Fundo Europeu Agrícola de Desenvolvimento Rural (FEADER)</w:t>
      </w:r>
      <w:r w:rsidR="00124A9D" w:rsidRPr="00916602">
        <w:t xml:space="preserve"> introduzidas pelo Regulamento (UE) </w:t>
      </w:r>
      <w:r w:rsidR="00124A9D" w:rsidRPr="00916602">
        <w:lastRenderedPageBreak/>
        <w:t>2024/3242 do Parlamento Europeu e do Conselho</w:t>
      </w:r>
      <w:r w:rsidRPr="00916602">
        <w:rPr>
          <w:rStyle w:val="FootnoteReference"/>
          <w:szCs w:val="24"/>
        </w:rPr>
        <w:footnoteReference w:id="12"/>
      </w:r>
      <w:r w:rsidRPr="00916602">
        <w:t xml:space="preserve"> prestam assistência adicional aos Estados</w:t>
      </w:r>
      <w:r w:rsidRPr="00916602">
        <w:noBreakHyphen/>
        <w:t>Membros afetados por catástrofes naturais através de uma maior flexibilidade na utilização dos fundos; realça que os Estados</w:t>
      </w:r>
      <w:r w:rsidRPr="00916602">
        <w:noBreakHyphen/>
        <w:t>Membros devem tirar partido das novas oportunidades; sublinha também que o RESTORE proporcionou uma flexibilidade limitada a alguns Estados</w:t>
      </w:r>
      <w:r w:rsidRPr="00916602">
        <w:noBreakHyphen/>
        <w:t xml:space="preserve">Membros, uma vez que a execução do atual </w:t>
      </w:r>
      <w:r w:rsidR="00445645" w:rsidRPr="00916602">
        <w:t>q</w:t>
      </w:r>
      <w:r w:rsidRPr="00916602">
        <w:t xml:space="preserve">uadro </w:t>
      </w:r>
      <w:r w:rsidR="00445645" w:rsidRPr="00916602">
        <w:t>f</w:t>
      </w:r>
      <w:r w:rsidRPr="00916602">
        <w:t xml:space="preserve">inanceiro </w:t>
      </w:r>
      <w:r w:rsidR="00445645" w:rsidRPr="00916602">
        <w:t>p</w:t>
      </w:r>
      <w:r w:rsidRPr="00916602">
        <w:t>lurianual está muito avançada;</w:t>
      </w:r>
    </w:p>
    <w:p w14:paraId="136FF454" w14:textId="77777777" w:rsidR="007876C4" w:rsidRPr="00916602" w:rsidRDefault="007876C4" w:rsidP="007876C4">
      <w:pPr>
        <w:spacing w:after="240"/>
        <w:ind w:left="567" w:hanging="567"/>
        <w:rPr>
          <w:szCs w:val="24"/>
        </w:rPr>
      </w:pPr>
      <w:r w:rsidRPr="00916602">
        <w:t>8.</w:t>
      </w:r>
      <w:r w:rsidRPr="00916602">
        <w:tab/>
        <w:t>Recorda a importância de uma avaliação dos danos rápida e exaustiva que tenha devidamente em conta as repercussões económicas e solicita que sejam envidados mais esforços operacionais com vista a reduzir o tempo médio para disponibilizar adiantamentos,</w:t>
      </w:r>
      <w:r w:rsidRPr="00916602">
        <w:rPr>
          <w:b/>
          <w:i/>
        </w:rPr>
        <w:t xml:space="preserve"> </w:t>
      </w:r>
      <w:r w:rsidRPr="00916602">
        <w:t>a fim de prestar assistência em tempo útil às regiões afetadas por catástrofes naturais e fenómenos meteorológicos extremos, assegurando simultaneamente a proteção do orçamento da União; salienta que, no contexto das medidas de resposta a catástrofes e de recuperação, os Estados</w:t>
      </w:r>
      <w:r w:rsidRPr="00916602">
        <w:noBreakHyphen/>
        <w:t>Membros devem dar a devida prioridade às necessidades da população afetada, prestando especial atenção aos grupos vulneráveis;</w:t>
      </w:r>
    </w:p>
    <w:p w14:paraId="48FCF662" w14:textId="77AAC966" w:rsidR="007876C4" w:rsidRPr="00916602" w:rsidRDefault="007876C4" w:rsidP="007876C4">
      <w:pPr>
        <w:spacing w:after="240"/>
        <w:ind w:left="567" w:hanging="567"/>
      </w:pPr>
      <w:r w:rsidRPr="00916602">
        <w:t>9.</w:t>
      </w:r>
      <w:r w:rsidRPr="00916602">
        <w:tab/>
        <w:t xml:space="preserve">Salienta a necessidade urgente de </w:t>
      </w:r>
      <w:r w:rsidR="004A38DD" w:rsidRPr="00916602">
        <w:t>disponibilizar</w:t>
      </w:r>
      <w:r w:rsidRPr="00916602">
        <w:t xml:space="preserve"> assistência financeira imediata através do FSUE, de modo a garantir que o apoio possa chegar às regiões afetadas em tempo útil</w:t>
      </w:r>
      <w:r w:rsidR="00A17AE9">
        <w:t>;</w:t>
      </w:r>
    </w:p>
    <w:p w14:paraId="2B84EC76" w14:textId="77777777" w:rsidR="007876C4" w:rsidRPr="00916602" w:rsidRDefault="007876C4" w:rsidP="007876C4">
      <w:pPr>
        <w:spacing w:after="240"/>
        <w:ind w:left="567" w:hanging="567"/>
      </w:pPr>
      <w:r w:rsidRPr="00916602">
        <w:t>10.</w:t>
      </w:r>
      <w:r w:rsidRPr="00916602">
        <w:tab/>
        <w:t>Aprova a decisão anexa à presente resolução;</w:t>
      </w:r>
    </w:p>
    <w:p w14:paraId="2570430F" w14:textId="77777777" w:rsidR="007876C4" w:rsidRPr="00916602" w:rsidRDefault="007876C4" w:rsidP="007876C4">
      <w:pPr>
        <w:spacing w:after="240"/>
        <w:ind w:left="567" w:hanging="567"/>
      </w:pPr>
      <w:r w:rsidRPr="00916602">
        <w:t>11.</w:t>
      </w:r>
      <w:r w:rsidRPr="00916602">
        <w:tab/>
        <w:t xml:space="preserve">Encarrega a sua Presidente de assinar a decisão em referência, juntamente com o Presidente do Conselho, e de prover à respetiva publicação no </w:t>
      </w:r>
      <w:r w:rsidRPr="00916602">
        <w:rPr>
          <w:i/>
        </w:rPr>
        <w:t>Jornal Oficial da União Europeia</w:t>
      </w:r>
      <w:r w:rsidRPr="00916602">
        <w:t>;</w:t>
      </w:r>
    </w:p>
    <w:p w14:paraId="5EC96845" w14:textId="77777777" w:rsidR="007876C4" w:rsidRPr="00916602" w:rsidRDefault="007876C4" w:rsidP="007876C4">
      <w:pPr>
        <w:spacing w:after="240"/>
        <w:ind w:left="567" w:hanging="567"/>
      </w:pPr>
      <w:r w:rsidRPr="00916602">
        <w:t>12.</w:t>
      </w:r>
      <w:r w:rsidRPr="00916602">
        <w:tab/>
        <w:t>Encarrega a sua Presidente de transmitir a presente resolução e o respetivo anexo ao Conselho e à Comissão.</w:t>
      </w:r>
    </w:p>
    <w:p w14:paraId="6FB20664" w14:textId="77777777" w:rsidR="007876C4" w:rsidRPr="00916602" w:rsidRDefault="007876C4" w:rsidP="007876C4">
      <w:pPr>
        <w:rPr>
          <w:noProof/>
        </w:rPr>
      </w:pPr>
    </w:p>
    <w:p w14:paraId="1BAC16AD" w14:textId="77777777" w:rsidR="007876C4" w:rsidRPr="00916602" w:rsidRDefault="007876C4" w:rsidP="007876C4">
      <w:pPr>
        <w:rPr>
          <w:noProof/>
        </w:rPr>
      </w:pPr>
    </w:p>
    <w:p w14:paraId="33EEB780" w14:textId="77777777" w:rsidR="007876C4" w:rsidRPr="00916602" w:rsidRDefault="007876C4" w:rsidP="007876C4">
      <w:pPr>
        <w:pStyle w:val="PageHeading"/>
        <w:rPr>
          <w:noProof/>
        </w:rPr>
        <w:sectPr w:rsidR="007876C4" w:rsidRPr="00916602" w:rsidSect="006D2797">
          <w:footerReference w:type="even" r:id="rId9"/>
          <w:footerReference w:type="default" r:id="rId10"/>
          <w:footerReference w:type="first" r:id="rId11"/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E535F3B" w14:textId="77777777" w:rsidR="00AB2108" w:rsidRDefault="007876C4" w:rsidP="007876C4">
      <w:pPr>
        <w:pStyle w:val="PageHeading"/>
        <w:rPr>
          <w:rFonts w:ascii="Times New Roman" w:hAnsi="Times New Roman" w:cs="Times New Roman"/>
        </w:rPr>
      </w:pPr>
      <w:bookmarkStart w:id="7" w:name="_Toc201754272"/>
      <w:bookmarkStart w:id="8" w:name="_Toc202434122"/>
      <w:r w:rsidRPr="00AB2108">
        <w:rPr>
          <w:rFonts w:ascii="Times New Roman" w:hAnsi="Times New Roman" w:cs="Times New Roman"/>
        </w:rPr>
        <w:lastRenderedPageBreak/>
        <w:t>ANEXO</w:t>
      </w:r>
    </w:p>
    <w:p w14:paraId="68027C5E" w14:textId="1FE138F9" w:rsidR="007876C4" w:rsidRPr="00AB2108" w:rsidRDefault="007876C4" w:rsidP="007876C4">
      <w:pPr>
        <w:pStyle w:val="PageHeading"/>
        <w:rPr>
          <w:rFonts w:ascii="Times New Roman" w:hAnsi="Times New Roman" w:cs="Times New Roman"/>
          <w:noProof/>
        </w:rPr>
      </w:pPr>
      <w:r w:rsidRPr="00AB2108">
        <w:rPr>
          <w:rFonts w:ascii="Times New Roman" w:hAnsi="Times New Roman" w:cs="Times New Roman"/>
        </w:rPr>
        <w:t>DECISÃO DO PARLAMENTO EUROPEU E DO CONSELHO</w:t>
      </w:r>
      <w:bookmarkEnd w:id="7"/>
      <w:bookmarkEnd w:id="8"/>
    </w:p>
    <w:p w14:paraId="426A1E4E" w14:textId="5C176353" w:rsidR="007876C4" w:rsidRPr="00916602" w:rsidRDefault="007876C4" w:rsidP="00916602">
      <w:pPr>
        <w:pStyle w:val="NormalBold24a"/>
        <w:jc w:val="center"/>
      </w:pPr>
      <w:r w:rsidRPr="00916602">
        <w:t xml:space="preserve">relativa à mobilização do Fundo de Solidariedade da União Europeia para prestar </w:t>
      </w:r>
      <w:r w:rsidR="00662CD8" w:rsidRPr="00916602">
        <w:t>assistência</w:t>
      </w:r>
      <w:r w:rsidRPr="00916602">
        <w:t xml:space="preserve"> à Áustria, à Polónia, à Chéquia, à Eslováquia e à Moldávia </w:t>
      </w:r>
      <w:r w:rsidR="00662CD8" w:rsidRPr="00916602">
        <w:t>relativamente</w:t>
      </w:r>
      <w:r w:rsidRPr="00916602">
        <w:t xml:space="preserve"> às inundações ocorridas em setembro de 2024 e à Bósnia</w:t>
      </w:r>
      <w:r w:rsidRPr="00916602">
        <w:noBreakHyphen/>
        <w:t xml:space="preserve">Herzegovina </w:t>
      </w:r>
      <w:r w:rsidR="00662CD8" w:rsidRPr="00916602">
        <w:t>relativamente</w:t>
      </w:r>
      <w:r w:rsidRPr="00916602">
        <w:t xml:space="preserve"> às inundações ocorridas em outubro de 2024</w:t>
      </w:r>
    </w:p>
    <w:p w14:paraId="7C196F59" w14:textId="3F79476E" w:rsidR="007876C4" w:rsidRPr="00AB2108" w:rsidRDefault="00AB2108" w:rsidP="00AB2108">
      <w:pPr>
        <w:pStyle w:val="Institutionquiagit"/>
        <w:keepNext w:val="0"/>
        <w:jc w:val="left"/>
        <w:rPr>
          <w:i/>
          <w:iCs/>
          <w:noProof/>
        </w:rPr>
      </w:pPr>
      <w:r w:rsidRPr="00AB2108">
        <w:rPr>
          <w:i/>
          <w:iCs/>
          <w:noProof/>
        </w:rPr>
        <w:t xml:space="preserve">(O texto deste anexo não é aqui reproduzido dado que corresponde ao ato final, Decisão (UE) </w:t>
      </w:r>
      <w:r>
        <w:rPr>
          <w:i/>
          <w:iCs/>
          <w:noProof/>
        </w:rPr>
        <w:t>2025/1525</w:t>
      </w:r>
      <w:r w:rsidRPr="00AB2108">
        <w:rPr>
          <w:i/>
          <w:iCs/>
          <w:noProof/>
        </w:rPr>
        <w:t>.)</w:t>
      </w:r>
    </w:p>
    <w:sectPr w:rsidR="007876C4" w:rsidRPr="00AB2108" w:rsidSect="006D279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019DE" w14:textId="77777777" w:rsidR="001709D6" w:rsidRPr="006D2797" w:rsidRDefault="001709D6">
      <w:r w:rsidRPr="006D2797">
        <w:separator/>
      </w:r>
    </w:p>
  </w:endnote>
  <w:endnote w:type="continuationSeparator" w:id="0">
    <w:p w14:paraId="6F8346BF" w14:textId="77777777" w:rsidR="001709D6" w:rsidRPr="006D2797" w:rsidRDefault="001709D6">
      <w:r w:rsidRPr="006D27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5D499" w14:textId="77777777" w:rsidR="007876C4" w:rsidRPr="006D2797" w:rsidRDefault="007876C4" w:rsidP="00B3654C">
    <w:pPr>
      <w:pStyle w:val="EPFooter"/>
    </w:pPr>
    <w:r w:rsidRPr="006D2797">
      <w:t>PE</w:t>
    </w:r>
    <w:r w:rsidRPr="006D2797">
      <w:rPr>
        <w:rStyle w:val="HideTWBExt"/>
      </w:rPr>
      <w:t>&lt;</w:t>
    </w:r>
    <w:proofErr w:type="spellStart"/>
    <w:r w:rsidRPr="006D2797">
      <w:rPr>
        <w:rStyle w:val="HideTWBExt"/>
      </w:rPr>
      <w:t>NoPE</w:t>
    </w:r>
    <w:proofErr w:type="spellEnd"/>
    <w:r w:rsidRPr="006D2797">
      <w:rPr>
        <w:rStyle w:val="HideTWBExt"/>
      </w:rPr>
      <w:t>&gt;</w:t>
    </w:r>
    <w:r w:rsidRPr="006D2797">
      <w:t>774.284</w:t>
    </w:r>
    <w:r w:rsidRPr="006D2797">
      <w:rPr>
        <w:rStyle w:val="HideTWBExt"/>
      </w:rPr>
      <w:t>&lt;/</w:t>
    </w:r>
    <w:proofErr w:type="spellStart"/>
    <w:r w:rsidRPr="006D2797">
      <w:rPr>
        <w:rStyle w:val="HideTWBExt"/>
      </w:rPr>
      <w:t>NoPE</w:t>
    </w:r>
    <w:proofErr w:type="spellEnd"/>
    <w:r w:rsidRPr="006D2797">
      <w:rPr>
        <w:rStyle w:val="HideTWBExt"/>
      </w:rPr>
      <w:t>&gt;&lt;Version&gt;</w:t>
    </w:r>
    <w:r w:rsidRPr="006D2797">
      <w:t>v02</w:t>
    </w:r>
    <w:r w:rsidRPr="006D2797">
      <w:noBreakHyphen/>
      <w:t>00</w:t>
    </w:r>
    <w:r w:rsidRPr="006D2797">
      <w:rPr>
        <w:rStyle w:val="HideTWBExt"/>
      </w:rPr>
      <w:t>&lt;/</w:t>
    </w:r>
    <w:proofErr w:type="spellStart"/>
    <w:r w:rsidRPr="006D2797">
      <w:rPr>
        <w:rStyle w:val="HideTWBExt"/>
      </w:rPr>
      <w:t>Version</w:t>
    </w:r>
    <w:proofErr w:type="spellEnd"/>
    <w:r w:rsidRPr="006D2797">
      <w:rPr>
        <w:rStyle w:val="HideTWBExt"/>
      </w:rPr>
      <w:t>&gt;</w:t>
    </w:r>
    <w:r w:rsidRPr="006D2797">
      <w:tab/>
    </w:r>
    <w:r w:rsidRPr="006D2797">
      <w:fldChar w:fldCharType="begin"/>
    </w:r>
    <w:r w:rsidRPr="006D2797">
      <w:instrText xml:space="preserve"> PAGE  \* MERGEFORMAT </w:instrText>
    </w:r>
    <w:r w:rsidRPr="006D2797">
      <w:fldChar w:fldCharType="separate"/>
    </w:r>
    <w:r w:rsidR="006D2797" w:rsidRPr="006D2797">
      <w:rPr>
        <w:noProof/>
      </w:rPr>
      <w:t>2</w:t>
    </w:r>
    <w:r w:rsidRPr="006D2797">
      <w:fldChar w:fldCharType="end"/>
    </w:r>
    <w:r w:rsidRPr="006D2797">
      <w:t>/</w:t>
    </w:r>
    <w:r w:rsidR="00AB2108">
      <w:fldChar w:fldCharType="begin"/>
    </w:r>
    <w:r w:rsidR="00AB2108">
      <w:instrText xml:space="preserve"> NUMPAGES  \* MERGEFORMAT </w:instrText>
    </w:r>
    <w:r w:rsidR="00AB2108">
      <w:fldChar w:fldCharType="separate"/>
    </w:r>
    <w:r w:rsidR="006D2797" w:rsidRPr="006D2797">
      <w:rPr>
        <w:noProof/>
      </w:rPr>
      <w:t>10</w:t>
    </w:r>
    <w:r w:rsidR="00AB2108">
      <w:rPr>
        <w:noProof/>
      </w:rPr>
      <w:fldChar w:fldCharType="end"/>
    </w:r>
    <w:r w:rsidRPr="006D2797">
      <w:tab/>
    </w:r>
    <w:r w:rsidRPr="006D2797">
      <w:rPr>
        <w:rStyle w:val="HideTWBExt"/>
      </w:rPr>
      <w:t>&lt;PathFdR&gt;</w:t>
    </w:r>
    <w:r w:rsidRPr="006D2797">
      <w:t>RR\1323790PT.docx</w:t>
    </w:r>
    <w:r w:rsidRPr="006D2797">
      <w:rPr>
        <w:rStyle w:val="HideTWBExt"/>
      </w:rPr>
      <w:t>&lt;/</w:t>
    </w:r>
    <w:proofErr w:type="spellStart"/>
    <w:r w:rsidRPr="006D2797">
      <w:rPr>
        <w:rStyle w:val="HideTWBExt"/>
      </w:rPr>
      <w:t>PathFdR</w:t>
    </w:r>
    <w:proofErr w:type="spellEnd"/>
    <w:r w:rsidRPr="006D2797">
      <w:rPr>
        <w:rStyle w:val="HideTWBExt"/>
      </w:rPr>
      <w:t>&gt;</w:t>
    </w:r>
  </w:p>
  <w:p w14:paraId="1E49E8B8" w14:textId="77777777" w:rsidR="007876C4" w:rsidRPr="006D2797" w:rsidRDefault="007876C4" w:rsidP="00B3654C">
    <w:pPr>
      <w:pStyle w:val="EPFooter2"/>
    </w:pPr>
    <w:r w:rsidRPr="006D2797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3BBEB" w14:textId="77777777" w:rsidR="007876C4" w:rsidRPr="005263E2" w:rsidRDefault="007876C4" w:rsidP="005263E2">
    <w:pPr>
      <w:pStyle w:val="EPFooter2"/>
      <w:ind w:left="0"/>
      <w:rPr>
        <w:rFonts w:ascii="Times New Roman" w:hAnsi="Times New Roman" w:cs="Times New Roman"/>
        <w:b w:val="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4C725" w14:textId="77777777" w:rsidR="007876C4" w:rsidRPr="006D2797" w:rsidRDefault="007876C4" w:rsidP="00B3654C">
    <w:pPr>
      <w:pStyle w:val="EPFooter"/>
    </w:pPr>
    <w:r w:rsidRPr="006D2797">
      <w:rPr>
        <w:rStyle w:val="HideTWBExt"/>
      </w:rPr>
      <w:t>&lt;PathFdR&gt;</w:t>
    </w:r>
    <w:r w:rsidRPr="006D2797">
      <w:t>RR\1323790PT.docx</w:t>
    </w:r>
    <w:r w:rsidRPr="006D2797">
      <w:rPr>
        <w:rStyle w:val="HideTWBExt"/>
      </w:rPr>
      <w:t>&lt;/</w:t>
    </w:r>
    <w:proofErr w:type="spellStart"/>
    <w:r w:rsidRPr="006D2797">
      <w:rPr>
        <w:rStyle w:val="HideTWBExt"/>
      </w:rPr>
      <w:t>PathFdR</w:t>
    </w:r>
    <w:proofErr w:type="spellEnd"/>
    <w:r w:rsidRPr="006D2797">
      <w:rPr>
        <w:rStyle w:val="HideTWBExt"/>
      </w:rPr>
      <w:t>&gt;</w:t>
    </w:r>
    <w:r w:rsidRPr="006D2797">
      <w:tab/>
    </w:r>
    <w:r w:rsidRPr="006D2797">
      <w:tab/>
      <w:t>PE</w:t>
    </w:r>
    <w:r w:rsidRPr="006D2797">
      <w:rPr>
        <w:rStyle w:val="HideTWBExt"/>
      </w:rPr>
      <w:t>&lt;</w:t>
    </w:r>
    <w:proofErr w:type="spellStart"/>
    <w:r w:rsidRPr="006D2797">
      <w:rPr>
        <w:rStyle w:val="HideTWBExt"/>
      </w:rPr>
      <w:t>NoPE</w:t>
    </w:r>
    <w:proofErr w:type="spellEnd"/>
    <w:r w:rsidRPr="006D2797">
      <w:rPr>
        <w:rStyle w:val="HideTWBExt"/>
      </w:rPr>
      <w:t>&gt;</w:t>
    </w:r>
    <w:r w:rsidRPr="006D2797">
      <w:t>774.284</w:t>
    </w:r>
    <w:r w:rsidRPr="006D2797">
      <w:rPr>
        <w:rStyle w:val="HideTWBExt"/>
      </w:rPr>
      <w:t>&lt;/</w:t>
    </w:r>
    <w:proofErr w:type="spellStart"/>
    <w:r w:rsidRPr="006D2797">
      <w:rPr>
        <w:rStyle w:val="HideTWBExt"/>
      </w:rPr>
      <w:t>NoPE</w:t>
    </w:r>
    <w:proofErr w:type="spellEnd"/>
    <w:r w:rsidRPr="006D2797">
      <w:rPr>
        <w:rStyle w:val="HideTWBExt"/>
      </w:rPr>
      <w:t>&gt;&lt;Version&gt;</w:t>
    </w:r>
    <w:r w:rsidRPr="006D2797">
      <w:t>v02</w:t>
    </w:r>
    <w:r w:rsidRPr="006D2797">
      <w:noBreakHyphen/>
      <w:t>00</w:t>
    </w:r>
    <w:r w:rsidRPr="006D2797">
      <w:rPr>
        <w:rStyle w:val="HideTWBExt"/>
      </w:rPr>
      <w:t>&lt;/</w:t>
    </w:r>
    <w:proofErr w:type="spellStart"/>
    <w:r w:rsidRPr="006D2797">
      <w:rPr>
        <w:rStyle w:val="HideTWBExt"/>
      </w:rPr>
      <w:t>Version</w:t>
    </w:r>
    <w:proofErr w:type="spellEnd"/>
    <w:r w:rsidRPr="006D2797">
      <w:rPr>
        <w:rStyle w:val="HideTWBExt"/>
      </w:rPr>
      <w:t>&gt;</w:t>
    </w:r>
  </w:p>
  <w:p w14:paraId="5CA8C868" w14:textId="77777777" w:rsidR="007876C4" w:rsidRPr="006D2797" w:rsidRDefault="007876C4" w:rsidP="00B3654C">
    <w:pPr>
      <w:pStyle w:val="EPFooter2"/>
    </w:pPr>
    <w:r w:rsidRPr="006D2797">
      <w:t>PT</w:t>
    </w:r>
    <w:r w:rsidRPr="006D2797">
      <w:tab/>
    </w:r>
    <w:r w:rsidRPr="006D2797">
      <w:rPr>
        <w:b w:val="0"/>
        <w:i/>
        <w:color w:val="C0C0C0"/>
        <w:sz w:val="22"/>
      </w:rPr>
      <w:t>Unida na diversidade</w:t>
    </w:r>
    <w:r w:rsidRPr="006D2797">
      <w:tab/>
      <w:t>PT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EB3FE" w14:textId="77777777" w:rsidR="00064002" w:rsidRPr="006D2797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5836B" w14:textId="77777777" w:rsidR="00064002" w:rsidRPr="006D2797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F7589" w14:textId="77777777" w:rsidR="00064002" w:rsidRPr="006D279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17162" w14:textId="77777777" w:rsidR="001709D6" w:rsidRPr="006D2797" w:rsidRDefault="001709D6">
      <w:r w:rsidRPr="006D2797">
        <w:separator/>
      </w:r>
    </w:p>
  </w:footnote>
  <w:footnote w:type="continuationSeparator" w:id="0">
    <w:p w14:paraId="17F51FC3" w14:textId="77777777" w:rsidR="001709D6" w:rsidRPr="006D2797" w:rsidRDefault="001709D6">
      <w:r w:rsidRPr="006D2797">
        <w:continuationSeparator/>
      </w:r>
    </w:p>
  </w:footnote>
  <w:footnote w:id="1">
    <w:p w14:paraId="578DF678" w14:textId="77777777" w:rsidR="007876C4" w:rsidRPr="00916602" w:rsidRDefault="007876C4" w:rsidP="006D2797">
      <w:pPr>
        <w:pStyle w:val="FootnoteText"/>
        <w:ind w:left="567" w:hanging="567"/>
        <w:rPr>
          <w:sz w:val="24"/>
          <w:lang w:val="pt-PT"/>
        </w:rPr>
      </w:pPr>
      <w:r w:rsidRPr="00916602">
        <w:rPr>
          <w:rStyle w:val="FootnoteReference"/>
          <w:sz w:val="24"/>
          <w:lang w:val="pt-PT"/>
        </w:rPr>
        <w:footnoteRef/>
      </w:r>
      <w:r w:rsidR="006D2797" w:rsidRPr="00916602">
        <w:rPr>
          <w:sz w:val="24"/>
          <w:lang w:val="pt-PT"/>
        </w:rPr>
        <w:t xml:space="preserve"> </w:t>
      </w:r>
      <w:r w:rsidR="006D2797" w:rsidRPr="00916602">
        <w:rPr>
          <w:sz w:val="24"/>
          <w:lang w:val="pt-PT"/>
        </w:rPr>
        <w:tab/>
      </w:r>
      <w:r w:rsidRPr="00916602">
        <w:rPr>
          <w:sz w:val="24"/>
          <w:lang w:val="pt-PT"/>
        </w:rPr>
        <w:t xml:space="preserve">JO L 311 de 14.11.2002, p. 3, ELI: </w:t>
      </w:r>
      <w:hyperlink r:id="rId1" w:history="1">
        <w:r w:rsidRPr="00916602">
          <w:rPr>
            <w:rStyle w:val="Hyperlink"/>
            <w:sz w:val="24"/>
            <w:lang w:val="pt-PT"/>
          </w:rPr>
          <w:t>http://data.europa.eu/eli/reg/2002/2012/oj</w:t>
        </w:r>
      </w:hyperlink>
      <w:r w:rsidRPr="00916602">
        <w:rPr>
          <w:sz w:val="24"/>
          <w:lang w:val="pt-PT"/>
        </w:rPr>
        <w:t>.</w:t>
      </w:r>
    </w:p>
  </w:footnote>
  <w:footnote w:id="2">
    <w:p w14:paraId="7C35505A" w14:textId="77777777" w:rsidR="007876C4" w:rsidRPr="00916602" w:rsidRDefault="007876C4" w:rsidP="006D2797">
      <w:pPr>
        <w:pStyle w:val="FootnoteText"/>
        <w:ind w:left="567" w:hanging="567"/>
        <w:rPr>
          <w:sz w:val="24"/>
          <w:lang w:val="pt-PT"/>
        </w:rPr>
      </w:pPr>
      <w:r w:rsidRPr="00916602">
        <w:rPr>
          <w:rStyle w:val="FootnoteReference"/>
          <w:sz w:val="24"/>
          <w:lang w:val="pt-PT"/>
        </w:rPr>
        <w:footnoteRef/>
      </w:r>
      <w:r w:rsidR="006D2797" w:rsidRPr="00916602">
        <w:rPr>
          <w:sz w:val="24"/>
          <w:lang w:val="pt-PT"/>
        </w:rPr>
        <w:t xml:space="preserve"> </w:t>
      </w:r>
      <w:r w:rsidR="006D2797" w:rsidRPr="00916602">
        <w:rPr>
          <w:sz w:val="24"/>
          <w:lang w:val="pt-PT"/>
        </w:rPr>
        <w:tab/>
      </w:r>
      <w:r w:rsidRPr="00916602">
        <w:rPr>
          <w:sz w:val="24"/>
          <w:lang w:val="pt-PT"/>
        </w:rPr>
        <w:t xml:space="preserve">JO L 433 I de 22.12.2020, p. 11, ELI: </w:t>
      </w:r>
      <w:hyperlink r:id="rId2" w:history="1">
        <w:r w:rsidRPr="00916602">
          <w:rPr>
            <w:rStyle w:val="Hyperlink"/>
            <w:sz w:val="24"/>
            <w:lang w:val="pt-PT"/>
          </w:rPr>
          <w:t>http://data.europa.eu/eli/reg/2020/2093/oj</w:t>
        </w:r>
      </w:hyperlink>
      <w:r w:rsidRPr="00916602">
        <w:rPr>
          <w:sz w:val="24"/>
          <w:lang w:val="pt-PT"/>
        </w:rPr>
        <w:t>.</w:t>
      </w:r>
    </w:p>
  </w:footnote>
  <w:footnote w:id="3">
    <w:p w14:paraId="24588914" w14:textId="77777777" w:rsidR="007876C4" w:rsidRPr="00916602" w:rsidRDefault="007876C4" w:rsidP="006D2797">
      <w:pPr>
        <w:pStyle w:val="FootnoteText"/>
        <w:ind w:left="567" w:hanging="567"/>
        <w:rPr>
          <w:sz w:val="24"/>
          <w:lang w:val="da-DK"/>
        </w:rPr>
      </w:pPr>
      <w:r w:rsidRPr="00916602">
        <w:rPr>
          <w:rStyle w:val="FootnoteReference"/>
          <w:sz w:val="24"/>
          <w:lang w:val="pt-PT"/>
        </w:rPr>
        <w:footnoteRef/>
      </w:r>
      <w:r w:rsidR="006D2797" w:rsidRPr="00916602">
        <w:rPr>
          <w:sz w:val="24"/>
          <w:lang w:val="da-DK"/>
        </w:rPr>
        <w:t xml:space="preserve"> </w:t>
      </w:r>
      <w:r w:rsidR="006D2797" w:rsidRPr="00916602">
        <w:rPr>
          <w:sz w:val="24"/>
          <w:lang w:val="da-DK"/>
        </w:rPr>
        <w:tab/>
      </w:r>
      <w:r w:rsidRPr="00916602">
        <w:rPr>
          <w:sz w:val="24"/>
          <w:lang w:val="da-DK"/>
        </w:rPr>
        <w:t xml:space="preserve">JO L 433 I de 22.12.2020, p. 28, ELI: </w:t>
      </w:r>
      <w:hyperlink r:id="rId3" w:history="1">
        <w:r w:rsidRPr="00916602">
          <w:rPr>
            <w:rStyle w:val="Hyperlink"/>
            <w:sz w:val="24"/>
            <w:lang w:val="da-DK"/>
          </w:rPr>
          <w:t>http://data.europa.eu/eli/agree_interinstit/2020/1222/oj</w:t>
        </w:r>
      </w:hyperlink>
      <w:r w:rsidRPr="00916602">
        <w:rPr>
          <w:sz w:val="24"/>
          <w:lang w:val="da-DK"/>
        </w:rPr>
        <w:t>.</w:t>
      </w:r>
    </w:p>
  </w:footnote>
  <w:footnote w:id="4">
    <w:p w14:paraId="738F8BD2" w14:textId="77777777" w:rsidR="007876C4" w:rsidRPr="00916602" w:rsidRDefault="007876C4" w:rsidP="006D2797">
      <w:pPr>
        <w:pStyle w:val="FootnoteText"/>
        <w:ind w:left="567" w:hanging="567"/>
        <w:rPr>
          <w:sz w:val="24"/>
          <w:lang w:val="fi-FI"/>
        </w:rPr>
      </w:pPr>
      <w:r w:rsidRPr="00916602">
        <w:rPr>
          <w:rStyle w:val="FootnoteReference"/>
          <w:sz w:val="24"/>
          <w:lang w:val="pt-PT"/>
        </w:rPr>
        <w:footnoteRef/>
      </w:r>
      <w:r w:rsidR="006D2797" w:rsidRPr="00916602">
        <w:rPr>
          <w:sz w:val="24"/>
          <w:lang w:val="fi-FI"/>
        </w:rPr>
        <w:t xml:space="preserve"> </w:t>
      </w:r>
      <w:r w:rsidR="006D2797" w:rsidRPr="00916602">
        <w:rPr>
          <w:sz w:val="24"/>
          <w:lang w:val="fi-FI"/>
        </w:rPr>
        <w:tab/>
      </w:r>
      <w:r w:rsidRPr="00916602">
        <w:rPr>
          <w:sz w:val="24"/>
          <w:lang w:val="fi-FI"/>
        </w:rPr>
        <w:t xml:space="preserve">JO L 231 de 30.6.2021, p. 60, ELI: </w:t>
      </w:r>
      <w:hyperlink r:id="rId4" w:history="1">
        <w:r w:rsidRPr="00916602">
          <w:rPr>
            <w:rStyle w:val="Hyperlink"/>
            <w:sz w:val="24"/>
            <w:lang w:val="fi-FI"/>
          </w:rPr>
          <w:t>http://data.europa.eu/eli/reg/2021/1058/oj</w:t>
        </w:r>
      </w:hyperlink>
      <w:r w:rsidRPr="00916602">
        <w:rPr>
          <w:sz w:val="24"/>
          <w:lang w:val="fi-FI"/>
        </w:rPr>
        <w:t>.</w:t>
      </w:r>
    </w:p>
  </w:footnote>
  <w:footnote w:id="5">
    <w:p w14:paraId="64F3E309" w14:textId="77777777" w:rsidR="007876C4" w:rsidRPr="00916602" w:rsidRDefault="007876C4" w:rsidP="006D2797">
      <w:pPr>
        <w:pStyle w:val="FootnoteText"/>
        <w:ind w:left="567" w:hanging="567"/>
        <w:rPr>
          <w:sz w:val="24"/>
          <w:lang w:val="fi-FI"/>
        </w:rPr>
      </w:pPr>
      <w:r w:rsidRPr="00916602">
        <w:rPr>
          <w:rStyle w:val="FootnoteReference"/>
          <w:sz w:val="24"/>
          <w:lang w:val="pt-PT"/>
        </w:rPr>
        <w:footnoteRef/>
      </w:r>
      <w:r w:rsidR="006D2797" w:rsidRPr="00916602">
        <w:rPr>
          <w:sz w:val="24"/>
          <w:lang w:val="fi-FI"/>
        </w:rPr>
        <w:t xml:space="preserve"> </w:t>
      </w:r>
      <w:r w:rsidR="006D2797" w:rsidRPr="00916602">
        <w:rPr>
          <w:sz w:val="24"/>
          <w:lang w:val="fi-FI"/>
        </w:rPr>
        <w:tab/>
      </w:r>
      <w:r w:rsidRPr="00916602">
        <w:rPr>
          <w:sz w:val="24"/>
          <w:lang w:val="fi-FI"/>
        </w:rPr>
        <w:t xml:space="preserve">JO L 231 de 30.6.2021, p. 21, ELI: </w:t>
      </w:r>
      <w:hyperlink r:id="rId5" w:history="1">
        <w:r w:rsidRPr="00916602">
          <w:rPr>
            <w:rStyle w:val="Hyperlink"/>
            <w:sz w:val="24"/>
            <w:lang w:val="fi-FI"/>
          </w:rPr>
          <w:t>http://data.europa.eu/eli/reg/2021/1057/oj</w:t>
        </w:r>
      </w:hyperlink>
      <w:r w:rsidRPr="00916602">
        <w:rPr>
          <w:sz w:val="24"/>
          <w:lang w:val="fi-FI"/>
        </w:rPr>
        <w:t>.</w:t>
      </w:r>
    </w:p>
  </w:footnote>
  <w:footnote w:id="6">
    <w:p w14:paraId="7B59B1E6" w14:textId="77777777" w:rsidR="007876C4" w:rsidRPr="00916602" w:rsidRDefault="007876C4" w:rsidP="006D2797">
      <w:pPr>
        <w:pStyle w:val="FootnoteText"/>
        <w:ind w:left="567" w:hanging="567"/>
        <w:rPr>
          <w:sz w:val="24"/>
          <w:lang w:val="pt-PT"/>
        </w:rPr>
      </w:pPr>
      <w:r w:rsidRPr="00916602">
        <w:rPr>
          <w:rStyle w:val="FootnoteReference"/>
          <w:sz w:val="24"/>
          <w:lang w:val="pt-PT"/>
        </w:rPr>
        <w:footnoteRef/>
      </w:r>
      <w:r w:rsidR="006D2797" w:rsidRPr="00916602">
        <w:rPr>
          <w:sz w:val="24"/>
          <w:lang w:val="pt-PT"/>
        </w:rPr>
        <w:t xml:space="preserve"> </w:t>
      </w:r>
      <w:r w:rsidR="006D2797" w:rsidRPr="00916602">
        <w:rPr>
          <w:sz w:val="24"/>
          <w:lang w:val="pt-PT"/>
        </w:rPr>
        <w:tab/>
      </w:r>
      <w:r w:rsidRPr="00916602">
        <w:rPr>
          <w:sz w:val="24"/>
          <w:lang w:val="pt-PT"/>
        </w:rPr>
        <w:t xml:space="preserve">JO L 435 de 6.12.2021, p. 1, ELI: </w:t>
      </w:r>
      <w:hyperlink r:id="rId6" w:history="1">
        <w:r w:rsidRPr="00916602">
          <w:rPr>
            <w:rStyle w:val="Hyperlink"/>
            <w:sz w:val="24"/>
            <w:lang w:val="pt-PT"/>
          </w:rPr>
          <w:t>http://data.europa.eu/eli/reg/2021/2115/oj</w:t>
        </w:r>
      </w:hyperlink>
      <w:r w:rsidRPr="00916602">
        <w:rPr>
          <w:sz w:val="24"/>
          <w:lang w:val="pt-PT"/>
        </w:rPr>
        <w:t xml:space="preserve"> </w:t>
      </w:r>
    </w:p>
  </w:footnote>
  <w:footnote w:id="7">
    <w:p w14:paraId="3B0AB865" w14:textId="37ED7919" w:rsidR="007876C4" w:rsidRPr="00916602" w:rsidRDefault="007876C4" w:rsidP="006D2797">
      <w:pPr>
        <w:pStyle w:val="FootnoteText"/>
        <w:ind w:left="567" w:hanging="567"/>
        <w:rPr>
          <w:sz w:val="24"/>
          <w:lang w:val="pt-PT"/>
        </w:rPr>
      </w:pPr>
      <w:r w:rsidRPr="00916602">
        <w:rPr>
          <w:rStyle w:val="FootnoteReference"/>
          <w:sz w:val="24"/>
          <w:lang w:val="pt-PT"/>
        </w:rPr>
        <w:footnoteRef/>
      </w:r>
      <w:r w:rsidR="006D2797" w:rsidRPr="00916602">
        <w:rPr>
          <w:sz w:val="24"/>
          <w:lang w:val="pt-PT"/>
        </w:rPr>
        <w:t xml:space="preserve"> </w:t>
      </w:r>
      <w:r w:rsidR="006D2797" w:rsidRPr="00916602">
        <w:rPr>
          <w:sz w:val="24"/>
          <w:lang w:val="pt-PT"/>
        </w:rPr>
        <w:tab/>
      </w:r>
      <w:r w:rsidRPr="00916602">
        <w:rPr>
          <w:sz w:val="24"/>
          <w:lang w:val="pt-PT"/>
        </w:rPr>
        <w:t xml:space="preserve">Textos </w:t>
      </w:r>
      <w:r w:rsidR="00064139" w:rsidRPr="00916602">
        <w:rPr>
          <w:sz w:val="24"/>
          <w:lang w:val="pt-PT"/>
        </w:rPr>
        <w:t>Aprovados</w:t>
      </w:r>
      <w:r w:rsidRPr="00916602">
        <w:rPr>
          <w:sz w:val="24"/>
          <w:lang w:val="pt-PT"/>
        </w:rPr>
        <w:t>, P9_</w:t>
      </w:r>
      <w:proofErr w:type="gramStart"/>
      <w:r w:rsidRPr="00916602">
        <w:rPr>
          <w:sz w:val="24"/>
          <w:lang w:val="pt-PT"/>
        </w:rPr>
        <w:t>TA(</w:t>
      </w:r>
      <w:proofErr w:type="gramEnd"/>
      <w:r w:rsidRPr="00916602">
        <w:rPr>
          <w:sz w:val="24"/>
          <w:lang w:val="pt-PT"/>
        </w:rPr>
        <w:t>2024)0082.</w:t>
      </w:r>
    </w:p>
  </w:footnote>
  <w:footnote w:id="8">
    <w:p w14:paraId="2550CDA4" w14:textId="2C4B7BF1" w:rsidR="007876C4" w:rsidRPr="00916602" w:rsidRDefault="007876C4" w:rsidP="006D2797">
      <w:pPr>
        <w:pStyle w:val="FootnoteText"/>
        <w:ind w:left="567" w:hanging="567"/>
        <w:rPr>
          <w:sz w:val="24"/>
          <w:lang w:val="fi-FI"/>
        </w:rPr>
      </w:pPr>
      <w:r w:rsidRPr="00916602">
        <w:rPr>
          <w:rStyle w:val="FootnoteReference"/>
          <w:sz w:val="24"/>
          <w:lang w:val="pt-PT"/>
        </w:rPr>
        <w:footnoteRef/>
      </w:r>
      <w:r w:rsidR="006D2797" w:rsidRPr="00916602">
        <w:rPr>
          <w:sz w:val="24"/>
          <w:lang w:val="fi-FI"/>
        </w:rPr>
        <w:t xml:space="preserve"> </w:t>
      </w:r>
      <w:r w:rsidR="006D2797" w:rsidRPr="00916602">
        <w:rPr>
          <w:sz w:val="24"/>
          <w:lang w:val="fi-FI"/>
        </w:rPr>
        <w:tab/>
      </w:r>
      <w:r w:rsidR="007E28FA" w:rsidRPr="00916602">
        <w:rPr>
          <w:sz w:val="24"/>
          <w:lang w:val="fi-FI"/>
        </w:rPr>
        <w:t xml:space="preserve">JO L, 2024/3236, 23.12.2024, ELI: </w:t>
      </w:r>
      <w:hyperlink r:id="rId7" w:history="1">
        <w:r w:rsidR="007E28FA" w:rsidRPr="00916602">
          <w:rPr>
            <w:rStyle w:val="Hyperlink"/>
            <w:lang w:val="fi-FI"/>
          </w:rPr>
          <w:t>http://data.europa.eu/eli/reg/2024/3236/oj</w:t>
        </w:r>
      </w:hyperlink>
      <w:r w:rsidRPr="00916602">
        <w:rPr>
          <w:sz w:val="24"/>
          <w:lang w:val="fi-FI"/>
        </w:rPr>
        <w:t>.</w:t>
      </w:r>
    </w:p>
  </w:footnote>
  <w:footnote w:id="9">
    <w:p w14:paraId="27EDC2FA" w14:textId="77777777" w:rsidR="007876C4" w:rsidRPr="00916602" w:rsidRDefault="007876C4" w:rsidP="006D2797">
      <w:pPr>
        <w:pStyle w:val="FootnoteText"/>
        <w:ind w:left="567" w:hanging="567"/>
        <w:rPr>
          <w:sz w:val="24"/>
          <w:lang w:val="fi-FI"/>
        </w:rPr>
      </w:pPr>
      <w:r w:rsidRPr="00916602">
        <w:rPr>
          <w:rStyle w:val="FootnoteReference"/>
          <w:sz w:val="24"/>
          <w:lang w:val="pt-PT"/>
        </w:rPr>
        <w:footnoteRef/>
      </w:r>
      <w:r w:rsidR="006D2797" w:rsidRPr="00916602">
        <w:rPr>
          <w:sz w:val="24"/>
          <w:lang w:val="fi-FI"/>
        </w:rPr>
        <w:t xml:space="preserve"> </w:t>
      </w:r>
      <w:r w:rsidR="006D2797" w:rsidRPr="00916602">
        <w:rPr>
          <w:sz w:val="24"/>
          <w:lang w:val="fi-FI"/>
        </w:rPr>
        <w:tab/>
      </w:r>
      <w:hyperlink r:id="rId8" w:history="1">
        <w:r w:rsidRPr="00916602">
          <w:rPr>
            <w:rStyle w:val="Hyperlink"/>
            <w:sz w:val="24"/>
            <w:lang w:val="fi-FI"/>
          </w:rPr>
          <w:t>https://www.eea.europa.eu/publications/european</w:t>
        </w:r>
        <w:r w:rsidRPr="00916602">
          <w:rPr>
            <w:rStyle w:val="Hyperlink"/>
            <w:sz w:val="24"/>
            <w:lang w:val="fi-FI"/>
          </w:rPr>
          <w:noBreakHyphen/>
          <w:t>climate</w:t>
        </w:r>
        <w:r w:rsidRPr="00916602">
          <w:rPr>
            <w:rStyle w:val="Hyperlink"/>
            <w:sz w:val="24"/>
            <w:lang w:val="fi-FI"/>
          </w:rPr>
          <w:noBreakHyphen/>
          <w:t>risk</w:t>
        </w:r>
        <w:r w:rsidRPr="00916602">
          <w:rPr>
            <w:rStyle w:val="Hyperlink"/>
            <w:sz w:val="24"/>
            <w:lang w:val="fi-FI"/>
          </w:rPr>
          <w:noBreakHyphen/>
          <w:t>assessment</w:t>
        </w:r>
      </w:hyperlink>
      <w:r w:rsidRPr="00916602">
        <w:rPr>
          <w:sz w:val="24"/>
          <w:lang w:val="fi-FI"/>
        </w:rPr>
        <w:t xml:space="preserve"> </w:t>
      </w:r>
    </w:p>
  </w:footnote>
  <w:footnote w:id="10">
    <w:p w14:paraId="675DC5B6" w14:textId="01FEF16A" w:rsidR="007876C4" w:rsidRPr="00916602" w:rsidRDefault="007876C4" w:rsidP="006D2797">
      <w:pPr>
        <w:pStyle w:val="FootnoteText"/>
        <w:ind w:left="567" w:hanging="567"/>
        <w:rPr>
          <w:sz w:val="24"/>
          <w:lang w:val="pt-PT"/>
        </w:rPr>
      </w:pPr>
      <w:r w:rsidRPr="00916602">
        <w:rPr>
          <w:rStyle w:val="FootnoteReference"/>
          <w:sz w:val="24"/>
          <w:lang w:val="pt-PT"/>
        </w:rPr>
        <w:footnoteRef/>
      </w:r>
      <w:r w:rsidR="006D2797" w:rsidRPr="00916602">
        <w:rPr>
          <w:sz w:val="24"/>
          <w:lang w:val="pt-PT"/>
        </w:rPr>
        <w:t xml:space="preserve"> </w:t>
      </w:r>
      <w:r w:rsidR="006D2797" w:rsidRPr="00916602">
        <w:rPr>
          <w:sz w:val="24"/>
          <w:lang w:val="pt-PT"/>
        </w:rPr>
        <w:tab/>
      </w:r>
      <w:r w:rsidRPr="00916602">
        <w:rPr>
          <w:sz w:val="24"/>
          <w:lang w:val="pt-PT"/>
        </w:rPr>
        <w:t xml:space="preserve">Serviço </w:t>
      </w:r>
      <w:r w:rsidR="000A484A" w:rsidRPr="00916602">
        <w:rPr>
          <w:sz w:val="24"/>
          <w:lang w:val="pt-PT"/>
        </w:rPr>
        <w:t>de monitorização d</w:t>
      </w:r>
      <w:r w:rsidRPr="00916602">
        <w:rPr>
          <w:sz w:val="24"/>
          <w:lang w:val="pt-PT"/>
        </w:rPr>
        <w:t>as Alterações Climáticas</w:t>
      </w:r>
      <w:r w:rsidR="000A484A" w:rsidRPr="00916602">
        <w:rPr>
          <w:sz w:val="24"/>
          <w:lang w:val="pt-PT"/>
        </w:rPr>
        <w:t xml:space="preserve"> do </w:t>
      </w:r>
      <w:proofErr w:type="spellStart"/>
      <w:r w:rsidR="000A484A" w:rsidRPr="00916602">
        <w:rPr>
          <w:sz w:val="24"/>
          <w:lang w:val="pt-PT"/>
        </w:rPr>
        <w:t>Copernicus</w:t>
      </w:r>
      <w:proofErr w:type="spellEnd"/>
      <w:r w:rsidRPr="00916602">
        <w:rPr>
          <w:sz w:val="24"/>
          <w:lang w:val="pt-PT"/>
        </w:rPr>
        <w:t xml:space="preserve"> (C3S) e Organização Meteorológica Mundial (OMM), 2025: Estado do Clima </w:t>
      </w:r>
      <w:r w:rsidR="00A524B9" w:rsidRPr="00916602">
        <w:rPr>
          <w:sz w:val="24"/>
          <w:lang w:val="pt-PT"/>
        </w:rPr>
        <w:t xml:space="preserve">na Europa </w:t>
      </w:r>
      <w:r w:rsidRPr="00916602">
        <w:rPr>
          <w:sz w:val="24"/>
          <w:lang w:val="pt-PT"/>
        </w:rPr>
        <w:t>2024, climate.copernicus.eu/ESOTC/2024, doi.org/10.24381/14j9</w:t>
      </w:r>
      <w:r w:rsidRPr="00916602">
        <w:rPr>
          <w:sz w:val="24"/>
          <w:lang w:val="pt-PT"/>
        </w:rPr>
        <w:noBreakHyphen/>
        <w:t>s541.</w:t>
      </w:r>
    </w:p>
  </w:footnote>
  <w:footnote w:id="11">
    <w:p w14:paraId="1376CF9B" w14:textId="09B4A249" w:rsidR="007876C4" w:rsidRPr="00916602" w:rsidRDefault="007876C4" w:rsidP="006D2797">
      <w:pPr>
        <w:pStyle w:val="FootnoteText"/>
        <w:ind w:left="567" w:hanging="567"/>
        <w:rPr>
          <w:sz w:val="24"/>
          <w:lang w:val="pt-PT"/>
        </w:rPr>
      </w:pPr>
      <w:r w:rsidRPr="00916602">
        <w:rPr>
          <w:rStyle w:val="FootnoteReference"/>
          <w:sz w:val="24"/>
          <w:lang w:val="pt-PT"/>
        </w:rPr>
        <w:footnoteRef/>
      </w:r>
      <w:r w:rsidR="006D2797" w:rsidRPr="00916602">
        <w:rPr>
          <w:sz w:val="24"/>
          <w:lang w:val="pt-PT"/>
        </w:rPr>
        <w:t xml:space="preserve"> </w:t>
      </w:r>
      <w:r w:rsidR="006D2797" w:rsidRPr="00916602">
        <w:rPr>
          <w:sz w:val="24"/>
          <w:lang w:val="pt-PT"/>
        </w:rPr>
        <w:tab/>
      </w:r>
      <w:r w:rsidRPr="00916602">
        <w:rPr>
          <w:sz w:val="24"/>
          <w:lang w:val="pt-PT"/>
        </w:rPr>
        <w:t xml:space="preserve">Regulamento (UE) 2021/241 do Parlamento Europeu e do Conselho, de 12 de fevereiro de 2021, que cria o Mecanismo de Recuperação e Resiliência (JO L 57 de 18.2.2021, p. 17, </w:t>
      </w:r>
      <w:r w:rsidRPr="00916602">
        <w:rPr>
          <w:color w:val="333333"/>
          <w:sz w:val="24"/>
          <w:shd w:val="clear" w:color="auto" w:fill="FFFFFF"/>
          <w:lang w:val="pt-PT"/>
        </w:rPr>
        <w:t>ELI: </w:t>
      </w:r>
      <w:hyperlink r:id="rId9" w:history="1">
        <w:r w:rsidR="00916602" w:rsidRPr="00916602">
          <w:rPr>
            <w:rStyle w:val="Hyperlink"/>
            <w:sz w:val="24"/>
            <w:shd w:val="clear" w:color="auto" w:fill="FFFFFF"/>
            <w:lang w:val="pt-PT"/>
          </w:rPr>
          <w:t>http://data.europa.eu/eli/reg/2021/241/oj</w:t>
        </w:r>
      </w:hyperlink>
      <w:r w:rsidRPr="00916602">
        <w:rPr>
          <w:sz w:val="24"/>
          <w:lang w:val="pt-PT"/>
        </w:rPr>
        <w:t>).</w:t>
      </w:r>
    </w:p>
  </w:footnote>
  <w:footnote w:id="12">
    <w:p w14:paraId="3CF48B85" w14:textId="4EE7CBC9" w:rsidR="007876C4" w:rsidRPr="00916602" w:rsidRDefault="007876C4" w:rsidP="006D2797">
      <w:pPr>
        <w:pStyle w:val="FootnoteText"/>
        <w:ind w:left="567" w:hanging="567"/>
        <w:rPr>
          <w:sz w:val="24"/>
          <w:lang w:val="pt-PT"/>
        </w:rPr>
      </w:pPr>
      <w:r w:rsidRPr="00916602">
        <w:rPr>
          <w:rStyle w:val="FootnoteReference"/>
          <w:sz w:val="24"/>
          <w:lang w:val="pt-PT"/>
        </w:rPr>
        <w:footnoteRef/>
      </w:r>
      <w:r w:rsidR="006D2797" w:rsidRPr="00916602">
        <w:rPr>
          <w:sz w:val="24"/>
          <w:lang w:val="pt-PT"/>
        </w:rPr>
        <w:t xml:space="preserve"> </w:t>
      </w:r>
      <w:r w:rsidR="006D2797" w:rsidRPr="00916602">
        <w:rPr>
          <w:sz w:val="24"/>
          <w:lang w:val="pt-PT"/>
        </w:rPr>
        <w:tab/>
      </w:r>
      <w:r w:rsidR="00124A9D" w:rsidRPr="00916602">
        <w:rPr>
          <w:sz w:val="24"/>
          <w:lang w:val="pt-PT"/>
        </w:rPr>
        <w:t>Regulamento (UE) 2024/3242 do Parlamento Europeu e do Conselho, de 19 de dezembro de 2024, que altera o Regulamento (UE) 2020/2220 no que diz respeito a medidas específicas no âmbito do Fundo Europeu Agrícola de Desenvolvimento Rural para a prestação de assistência adicional aos Estados-Membros afetados por catástrofes naturais (</w:t>
      </w:r>
      <w:r w:rsidRPr="00916602">
        <w:rPr>
          <w:sz w:val="24"/>
          <w:lang w:val="pt-PT"/>
        </w:rPr>
        <w:t xml:space="preserve">JO L, 2024/3242, 23.12.2024, ELI: </w:t>
      </w:r>
      <w:hyperlink r:id="rId10" w:history="1">
        <w:r w:rsidRPr="00916602">
          <w:rPr>
            <w:rStyle w:val="Hyperlink"/>
            <w:sz w:val="24"/>
            <w:lang w:val="pt-PT"/>
          </w:rPr>
          <w:t>http://data.europa.eu/eli/reg/2024/3242/oj</w:t>
        </w:r>
      </w:hyperlink>
      <w:r w:rsidR="00124A9D" w:rsidRPr="00916602">
        <w:rPr>
          <w:sz w:val="24"/>
          <w:lang w:val="pt-PT"/>
        </w:rPr>
        <w:t>)</w:t>
      </w:r>
      <w:r w:rsidRPr="00916602">
        <w:rPr>
          <w:sz w:val="24"/>
          <w:lang w:val="pt-PT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82E12" w14:textId="77777777" w:rsidR="00064002" w:rsidRPr="006D279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4667F" w14:textId="77777777" w:rsidR="00064002" w:rsidRPr="006D279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A8831" w14:textId="77777777" w:rsidR="00064002" w:rsidRPr="006D279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949817085">
    <w:abstractNumId w:val="9"/>
  </w:num>
  <w:num w:numId="2" w16cid:durableId="2103987803">
    <w:abstractNumId w:val="9"/>
  </w:num>
  <w:num w:numId="3" w16cid:durableId="1921132925">
    <w:abstractNumId w:val="7"/>
  </w:num>
  <w:num w:numId="4" w16cid:durableId="625543507">
    <w:abstractNumId w:val="7"/>
  </w:num>
  <w:num w:numId="5" w16cid:durableId="1554660370">
    <w:abstractNumId w:val="6"/>
  </w:num>
  <w:num w:numId="6" w16cid:durableId="756633479">
    <w:abstractNumId w:val="6"/>
  </w:num>
  <w:num w:numId="7" w16cid:durableId="182596145">
    <w:abstractNumId w:val="5"/>
  </w:num>
  <w:num w:numId="8" w16cid:durableId="583147468">
    <w:abstractNumId w:val="5"/>
  </w:num>
  <w:num w:numId="9" w16cid:durableId="1460689037">
    <w:abstractNumId w:val="4"/>
  </w:num>
  <w:num w:numId="10" w16cid:durableId="2004576772">
    <w:abstractNumId w:val="4"/>
  </w:num>
  <w:num w:numId="11" w16cid:durableId="637686591">
    <w:abstractNumId w:val="8"/>
  </w:num>
  <w:num w:numId="12" w16cid:durableId="1985700608">
    <w:abstractNumId w:val="8"/>
  </w:num>
  <w:num w:numId="13" w16cid:durableId="607396199">
    <w:abstractNumId w:val="3"/>
  </w:num>
  <w:num w:numId="14" w16cid:durableId="1693264449">
    <w:abstractNumId w:val="3"/>
  </w:num>
  <w:num w:numId="15" w16cid:durableId="1987083515">
    <w:abstractNumId w:val="2"/>
  </w:num>
  <w:num w:numId="16" w16cid:durableId="1464881634">
    <w:abstractNumId w:val="2"/>
  </w:num>
  <w:num w:numId="17" w16cid:durableId="1648166923">
    <w:abstractNumId w:val="1"/>
  </w:num>
  <w:num w:numId="18" w16cid:durableId="1477648241">
    <w:abstractNumId w:val="1"/>
  </w:num>
  <w:num w:numId="19" w16cid:durableId="952712021">
    <w:abstractNumId w:val="0"/>
  </w:num>
  <w:num w:numId="20" w16cid:durableId="1987004913">
    <w:abstractNumId w:val="0"/>
  </w:num>
  <w:num w:numId="21" w16cid:durableId="450368186">
    <w:abstractNumId w:val="9"/>
  </w:num>
  <w:num w:numId="22" w16cid:durableId="2137137116">
    <w:abstractNumId w:val="7"/>
  </w:num>
  <w:num w:numId="23" w16cid:durableId="181479561">
    <w:abstractNumId w:val="6"/>
  </w:num>
  <w:num w:numId="24" w16cid:durableId="1631587579">
    <w:abstractNumId w:val="5"/>
  </w:num>
  <w:num w:numId="25" w16cid:durableId="25637813">
    <w:abstractNumId w:val="4"/>
  </w:num>
  <w:num w:numId="26" w16cid:durableId="1828864223">
    <w:abstractNumId w:val="8"/>
  </w:num>
  <w:num w:numId="27" w16cid:durableId="973370534">
    <w:abstractNumId w:val="3"/>
  </w:num>
  <w:num w:numId="28" w16cid:durableId="571620703">
    <w:abstractNumId w:val="2"/>
  </w:num>
  <w:num w:numId="29" w16cid:durableId="925188317">
    <w:abstractNumId w:val="1"/>
  </w:num>
  <w:num w:numId="30" w16cid:durableId="1617177962">
    <w:abstractNumId w:val="0"/>
  </w:num>
  <w:num w:numId="31" w16cid:durableId="87385404">
    <w:abstractNumId w:val="9"/>
  </w:num>
  <w:num w:numId="32" w16cid:durableId="373118415">
    <w:abstractNumId w:val="7"/>
  </w:num>
  <w:num w:numId="33" w16cid:durableId="2050181517">
    <w:abstractNumId w:val="6"/>
  </w:num>
  <w:num w:numId="34" w16cid:durableId="748500160">
    <w:abstractNumId w:val="5"/>
  </w:num>
  <w:num w:numId="35" w16cid:durableId="997460945">
    <w:abstractNumId w:val="4"/>
  </w:num>
  <w:num w:numId="36" w16cid:durableId="1393891139">
    <w:abstractNumId w:val="8"/>
  </w:num>
  <w:num w:numId="37" w16cid:durableId="1961908898">
    <w:abstractNumId w:val="3"/>
  </w:num>
  <w:num w:numId="38" w16cid:durableId="925847460">
    <w:abstractNumId w:val="2"/>
  </w:num>
  <w:num w:numId="39" w16cid:durableId="797920166">
    <w:abstractNumId w:val="1"/>
  </w:num>
  <w:num w:numId="40" w16cid:durableId="1544365902">
    <w:abstractNumId w:val="0"/>
  </w:num>
  <w:num w:numId="41" w16cid:durableId="2044404948">
    <w:abstractNumId w:val="10"/>
  </w:num>
  <w:num w:numId="42" w16cid:durableId="439493174">
    <w:abstractNumId w:val="10"/>
  </w:num>
  <w:num w:numId="43" w16cid:durableId="1757359105">
    <w:abstractNumId w:val="10"/>
  </w:num>
  <w:num w:numId="44" w16cid:durableId="399445229">
    <w:abstractNumId w:val="12"/>
  </w:num>
  <w:num w:numId="45" w16cid:durableId="99433768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19965940">
    <w:abstractNumId w:val="1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activeWritingStyle w:appName="MSWord" w:lang="pt-PT" w:vendorID="64" w:dllVersion="6" w:nlCheck="1" w:checkStyle="0"/>
  <w:activeWritingStyle w:appName="MSWord" w:lang="fi-FI" w:vendorID="64" w:dllVersion="6" w:nlCheck="1" w:checkStyle="0"/>
  <w:activeWritingStyle w:appName="MSWord" w:lang="da-DK" w:vendorID="64" w:dllVersion="6" w:nlCheck="1" w:checkStyle="0"/>
  <w:activeWritingStyle w:appName="MSWord" w:lang="pt-PT" w:vendorID="64" w:dllVersion="0" w:nlCheck="1" w:checkStyle="0"/>
  <w:activeWritingStyle w:appName="MSWord" w:lang="da-DK" w:vendorID="64" w:dllVersion="0" w:nlCheck="1" w:checkStyle="0"/>
  <w:activeWritingStyle w:appName="MSWord" w:lang="fi-FI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14/2025"/>
    <w:docVar w:name="dvlangue" w:val="PT"/>
    <w:docVar w:name="dvnumam" w:val="0"/>
    <w:docVar w:name="dvpe" w:val="774.284"/>
    <w:docVar w:name="dvrapporteur" w:val="Relator: "/>
    <w:docVar w:name="dvtitre" w:val="Resolução do Parlamento Europeu, de ... de ... de 2025,_x000d__x000a_ sobre a proposta de decisão do Parlamento Europeu e do Conselho relativa à mobilização do Fundo de Solidariedade da União Europeia para prestar auxílio à Áustria, à Polónia, à Chéquia, à Eslováquia e à Moldávia devido às inundações ocorridas em setembro de 2024 e à Bósnia-Herzegovina devido às inundações ocorridas em outubro de 2024(COM(2025)0250 – C10-0102/2025 – 2025/0138(BUD))"/>
  </w:docVars>
  <w:rsids>
    <w:rsidRoot w:val="001709D6"/>
    <w:rsid w:val="00002272"/>
    <w:rsid w:val="00064002"/>
    <w:rsid w:val="00064139"/>
    <w:rsid w:val="000677B9"/>
    <w:rsid w:val="000831BA"/>
    <w:rsid w:val="0009151B"/>
    <w:rsid w:val="000A42CC"/>
    <w:rsid w:val="000A484A"/>
    <w:rsid w:val="000E7DD9"/>
    <w:rsid w:val="0010095E"/>
    <w:rsid w:val="00112F89"/>
    <w:rsid w:val="00124A9D"/>
    <w:rsid w:val="00125B37"/>
    <w:rsid w:val="001709D6"/>
    <w:rsid w:val="00187494"/>
    <w:rsid w:val="00194BF0"/>
    <w:rsid w:val="001F32AE"/>
    <w:rsid w:val="002767FF"/>
    <w:rsid w:val="002B18FE"/>
    <w:rsid w:val="002B5493"/>
    <w:rsid w:val="002E4EB8"/>
    <w:rsid w:val="00343214"/>
    <w:rsid w:val="00361C00"/>
    <w:rsid w:val="00395FA1"/>
    <w:rsid w:val="003E15D4"/>
    <w:rsid w:val="00403412"/>
    <w:rsid w:val="00411CCE"/>
    <w:rsid w:val="0041666E"/>
    <w:rsid w:val="00421060"/>
    <w:rsid w:val="00445645"/>
    <w:rsid w:val="00471C19"/>
    <w:rsid w:val="004867E3"/>
    <w:rsid w:val="00494A28"/>
    <w:rsid w:val="004A38DD"/>
    <w:rsid w:val="004C0004"/>
    <w:rsid w:val="004C5D52"/>
    <w:rsid w:val="0050519A"/>
    <w:rsid w:val="005072A1"/>
    <w:rsid w:val="00514517"/>
    <w:rsid w:val="0051736B"/>
    <w:rsid w:val="005263E2"/>
    <w:rsid w:val="00545827"/>
    <w:rsid w:val="00560270"/>
    <w:rsid w:val="005B08FB"/>
    <w:rsid w:val="005C162B"/>
    <w:rsid w:val="005C2568"/>
    <w:rsid w:val="005F1B17"/>
    <w:rsid w:val="006037C0"/>
    <w:rsid w:val="006556A7"/>
    <w:rsid w:val="00662CD8"/>
    <w:rsid w:val="006631B6"/>
    <w:rsid w:val="00670F7F"/>
    <w:rsid w:val="00680577"/>
    <w:rsid w:val="00690831"/>
    <w:rsid w:val="006D2797"/>
    <w:rsid w:val="006F74FA"/>
    <w:rsid w:val="00731ADD"/>
    <w:rsid w:val="00734777"/>
    <w:rsid w:val="00747932"/>
    <w:rsid w:val="00751A4A"/>
    <w:rsid w:val="00756632"/>
    <w:rsid w:val="00762C74"/>
    <w:rsid w:val="00786EC0"/>
    <w:rsid w:val="007876C4"/>
    <w:rsid w:val="007D1690"/>
    <w:rsid w:val="007E22AD"/>
    <w:rsid w:val="007E28FA"/>
    <w:rsid w:val="00817416"/>
    <w:rsid w:val="00842779"/>
    <w:rsid w:val="00865F67"/>
    <w:rsid w:val="00873B5E"/>
    <w:rsid w:val="00881A7B"/>
    <w:rsid w:val="008840E5"/>
    <w:rsid w:val="00887B3E"/>
    <w:rsid w:val="008C2AC6"/>
    <w:rsid w:val="008D08CD"/>
    <w:rsid w:val="00916602"/>
    <w:rsid w:val="00930C23"/>
    <w:rsid w:val="0093193B"/>
    <w:rsid w:val="009509D8"/>
    <w:rsid w:val="00950B64"/>
    <w:rsid w:val="00953E52"/>
    <w:rsid w:val="00981893"/>
    <w:rsid w:val="00987765"/>
    <w:rsid w:val="00A1687D"/>
    <w:rsid w:val="00A17AE9"/>
    <w:rsid w:val="00A43E52"/>
    <w:rsid w:val="00A4678D"/>
    <w:rsid w:val="00A524B9"/>
    <w:rsid w:val="00A667F1"/>
    <w:rsid w:val="00A7681B"/>
    <w:rsid w:val="00A778C7"/>
    <w:rsid w:val="00AB2108"/>
    <w:rsid w:val="00AB441E"/>
    <w:rsid w:val="00AB6293"/>
    <w:rsid w:val="00AE0928"/>
    <w:rsid w:val="00AF3B82"/>
    <w:rsid w:val="00B12E95"/>
    <w:rsid w:val="00B22876"/>
    <w:rsid w:val="00B558F0"/>
    <w:rsid w:val="00BA7EC4"/>
    <w:rsid w:val="00BD48FE"/>
    <w:rsid w:val="00BD7BD8"/>
    <w:rsid w:val="00BE6ADC"/>
    <w:rsid w:val="00C05BFE"/>
    <w:rsid w:val="00C23CD4"/>
    <w:rsid w:val="00C56B3A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0E5B"/>
    <w:rsid w:val="00E310F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04D5"/>
    <w:rsid w:val="00F450E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3BB0AE"/>
  <w15:chartTrackingRefBased/>
  <w15:docId w15:val="{3F2A68EB-A37B-4F53-A1F6-C8EE8F6C4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876C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7876C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7876C4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876C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876C4"/>
    <w:rPr>
      <w:sz w:val="24"/>
      <w:lang w:val="pt-PT"/>
    </w:rPr>
  </w:style>
  <w:style w:type="paragraph" w:customStyle="1" w:styleId="NormalBold24a">
    <w:name w:val="NormalBold24a"/>
    <w:basedOn w:val="Normal"/>
    <w:rsid w:val="007876C4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7876C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876C4"/>
    <w:pPr>
      <w:spacing w:before="480" w:after="240"/>
    </w:pPr>
  </w:style>
  <w:style w:type="character" w:styleId="Hyperlink">
    <w:name w:val="Hyperlink"/>
    <w:basedOn w:val="DefaultParagraphFont"/>
    <w:rsid w:val="007876C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876C4"/>
    <w:pPr>
      <w:widowControl/>
      <w:spacing w:before="100" w:beforeAutospacing="1" w:after="100" w:afterAutospacing="1"/>
    </w:pPr>
    <w:rPr>
      <w:szCs w:val="24"/>
    </w:rPr>
  </w:style>
  <w:style w:type="paragraph" w:customStyle="1" w:styleId="Institutionquisigne">
    <w:name w:val="Institution qui signe"/>
    <w:basedOn w:val="Normal"/>
    <w:next w:val="Normal"/>
    <w:rsid w:val="007876C4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876C4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876C4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876C4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876C4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876C4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Point0number">
    <w:name w:val="Point 0 (number)"/>
    <w:basedOn w:val="Normal"/>
    <w:rsid w:val="007876C4"/>
    <w:pPr>
      <w:widowControl/>
      <w:numPr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7876C4"/>
    <w:pPr>
      <w:widowControl/>
      <w:numPr>
        <w:ilvl w:val="2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7876C4"/>
    <w:pPr>
      <w:widowControl/>
      <w:numPr>
        <w:ilvl w:val="4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7876C4"/>
    <w:pPr>
      <w:widowControl/>
      <w:numPr>
        <w:ilvl w:val="6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7876C4"/>
    <w:pPr>
      <w:widowControl/>
      <w:numPr>
        <w:ilvl w:val="1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7876C4"/>
    <w:pPr>
      <w:widowControl/>
      <w:numPr>
        <w:ilvl w:val="3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7876C4"/>
    <w:pPr>
      <w:widowControl/>
      <w:numPr>
        <w:ilvl w:val="5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7876C4"/>
    <w:pPr>
      <w:widowControl/>
      <w:numPr>
        <w:ilvl w:val="7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7876C4"/>
    <w:pPr>
      <w:widowControl/>
      <w:numPr>
        <w:ilvl w:val="8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7876C4"/>
    <w:pPr>
      <w:widowControl/>
      <w:numPr>
        <w:numId w:val="46"/>
      </w:numPr>
      <w:spacing w:before="120" w:after="120"/>
      <w:jc w:val="both"/>
    </w:pPr>
    <w:rPr>
      <w:rFonts w:eastAsiaTheme="minorHAnsi"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sid w:val="007876C4"/>
    <w:rPr>
      <w:sz w:val="24"/>
      <w:lang w:val="pt-PT"/>
    </w:rPr>
  </w:style>
  <w:style w:type="character" w:styleId="CommentReference">
    <w:name w:val="annotation reference"/>
    <w:basedOn w:val="DefaultParagraphFont"/>
    <w:rsid w:val="0006413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6413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64139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0641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64139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0641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64139"/>
    <w:rPr>
      <w:rFonts w:ascii="Segoe UI" w:hAnsi="Segoe UI" w:cs="Segoe UI"/>
      <w:sz w:val="18"/>
      <w:szCs w:val="18"/>
      <w:lang w:val="pt-PT"/>
    </w:rPr>
  </w:style>
  <w:style w:type="character" w:styleId="FollowedHyperlink">
    <w:name w:val="FollowedHyperlink"/>
    <w:basedOn w:val="DefaultParagraphFont"/>
    <w:rsid w:val="00F450E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ea.europa.eu/publications/european-climate-risk-assessment" TargetMode="External"/><Relationship Id="rId3" Type="http://schemas.openxmlformats.org/officeDocument/2006/relationships/hyperlink" Target="http://data.europa.eu/eli/agree_interinstit/2020/1222/oj" TargetMode="External"/><Relationship Id="rId7" Type="http://schemas.openxmlformats.org/officeDocument/2006/relationships/hyperlink" Target="http://data.europa.eu/eli/reg/2024/3236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02/2012/oj" TargetMode="External"/><Relationship Id="rId6" Type="http://schemas.openxmlformats.org/officeDocument/2006/relationships/hyperlink" Target="http://data.europa.eu/eli/reg/2021/2115/oj" TargetMode="External"/><Relationship Id="rId5" Type="http://schemas.openxmlformats.org/officeDocument/2006/relationships/hyperlink" Target="http://data.europa.eu/eli/reg/2021/1057/oj" TargetMode="External"/><Relationship Id="rId10" Type="http://schemas.openxmlformats.org/officeDocument/2006/relationships/hyperlink" Target="http://data.europa.eu/eli/reg/2024/3242/oj" TargetMode="External"/><Relationship Id="rId4" Type="http://schemas.openxmlformats.org/officeDocument/2006/relationships/hyperlink" Target="http://data.europa.eu/eli/reg/2021/1058/oj" TargetMode="External"/><Relationship Id="rId9" Type="http://schemas.openxmlformats.org/officeDocument/2006/relationships/hyperlink" Target="http://data.europa.eu/eli/reg/2021/24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968DA-CC85-4CE5-AEA7-62077D278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1967</Words>
  <Characters>11033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2025-10-29T10:31:00Z</dcterms:created>
  <dcterms:modified xsi:type="dcterms:W3CDTF">2025-10-29T10:31:00Z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P10_TA(2025)0152_</vt:lpwstr>
  </property>
  <property fmtid="{D5CDD505-2E9C-101B-9397-08002B2CF9AE}" pid="4" name="&lt;Type&gt;">
    <vt:lpwstr>RR</vt:lpwstr>
  </property>
</Properties>
</file>