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48E5" w14:paraId="483293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57ADA2" w14:textId="77777777" w:rsidR="00751A4A" w:rsidRPr="00E648E5" w:rsidRDefault="00F06504" w:rsidP="0010095E">
            <w:pPr>
              <w:pStyle w:val="EPName"/>
            </w:pPr>
            <w:r w:rsidRPr="00E648E5">
              <w:t>Európsky parlament</w:t>
            </w:r>
          </w:p>
          <w:p w14:paraId="17ACDB7F" w14:textId="77777777" w:rsidR="00751A4A" w:rsidRPr="00E648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48E5">
              <w:t>2024</w:t>
            </w:r>
            <w:r w:rsidR="00817416" w:rsidRPr="00E648E5">
              <w:t>-202</w:t>
            </w:r>
            <w:r w:rsidRPr="00E648E5">
              <w:t>9</w:t>
            </w:r>
          </w:p>
        </w:tc>
        <w:tc>
          <w:tcPr>
            <w:tcW w:w="2268" w:type="dxa"/>
            <w:shd w:val="clear" w:color="auto" w:fill="auto"/>
          </w:tcPr>
          <w:p w14:paraId="5D6D6117" w14:textId="77777777" w:rsidR="00751A4A" w:rsidRPr="00E648E5" w:rsidRDefault="00187494" w:rsidP="0010095E">
            <w:pPr>
              <w:pStyle w:val="EPLogo"/>
            </w:pPr>
            <w:r w:rsidRPr="00E648E5">
              <w:rPr>
                <w:noProof/>
                <w:lang w:val="en-GB"/>
              </w:rPr>
              <w:drawing>
                <wp:inline distT="0" distB="0" distL="0" distR="0" wp14:anchorId="53E83AB1" wp14:editId="0F2080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612257" w14:textId="77777777" w:rsidR="00D058B8" w:rsidRPr="00E648E5" w:rsidRDefault="00D058B8" w:rsidP="004C5D52">
      <w:pPr>
        <w:pStyle w:val="LineTop"/>
      </w:pPr>
    </w:p>
    <w:p w14:paraId="446F557F" w14:textId="77777777" w:rsidR="00680577" w:rsidRPr="00E648E5" w:rsidRDefault="00F06504" w:rsidP="00680577">
      <w:pPr>
        <w:pStyle w:val="EPBodyTA1"/>
      </w:pPr>
      <w:r w:rsidRPr="00E648E5">
        <w:t>PRIJATÉ TEXTY</w:t>
      </w:r>
    </w:p>
    <w:p w14:paraId="7E2FC692" w14:textId="77777777" w:rsidR="00D058B8" w:rsidRPr="00E648E5" w:rsidRDefault="00D058B8" w:rsidP="00D058B8">
      <w:pPr>
        <w:pStyle w:val="LineBottom"/>
      </w:pPr>
    </w:p>
    <w:p w14:paraId="09E1BC4A" w14:textId="43EA8786" w:rsidR="00F06504" w:rsidRPr="00E648E5" w:rsidRDefault="00F06504" w:rsidP="00F06504">
      <w:pPr>
        <w:pStyle w:val="ATHeading1"/>
      </w:pPr>
      <w:bookmarkStart w:id="0" w:name="TANumber"/>
      <w:r w:rsidRPr="00E648E5">
        <w:t>P10_TA(2025)0</w:t>
      </w:r>
      <w:r w:rsidR="00E648E5" w:rsidRPr="00E648E5">
        <w:t>15</w:t>
      </w:r>
      <w:r w:rsidR="00A50CA5">
        <w:t>2</w:t>
      </w:r>
      <w:bookmarkEnd w:id="0"/>
    </w:p>
    <w:p w14:paraId="43BA484B" w14:textId="4E97CBB0" w:rsidR="00F06504" w:rsidRPr="00E648E5" w:rsidRDefault="00F06504" w:rsidP="00F06504">
      <w:pPr>
        <w:pStyle w:val="ATHeading2"/>
      </w:pPr>
      <w:bookmarkStart w:id="1" w:name="title"/>
      <w:r w:rsidRPr="00E648E5">
        <w:t>Mobilizácia Fondu solidarity Európskej únie: pomoc Rakúsku, Poľsku, Česku, Slovensku a</w:t>
      </w:r>
      <w:r w:rsidR="00914993" w:rsidRPr="00E648E5">
        <w:t> </w:t>
      </w:r>
      <w:r w:rsidRPr="00E648E5">
        <w:t>Moldavsku</w:t>
      </w:r>
      <w:r w:rsidR="00914993" w:rsidRPr="00E648E5">
        <w:t xml:space="preserve"> </w:t>
      </w:r>
      <w:r w:rsidRPr="00E648E5">
        <w:t>v súvislosti s povodňami, ku ktorým došlo v septembri 2024, a Bosne a Hercegovine v</w:t>
      </w:r>
      <w:r w:rsidR="00914993" w:rsidRPr="00E648E5">
        <w:t> </w:t>
      </w:r>
      <w:r w:rsidRPr="00E648E5">
        <w:t>súvislosti</w:t>
      </w:r>
      <w:r w:rsidR="00914993" w:rsidRPr="00E648E5">
        <w:t xml:space="preserve"> </w:t>
      </w:r>
      <w:r w:rsidRPr="00E648E5">
        <w:t>s povodňami, ku ktorým došlo v októbri 2024</w:t>
      </w:r>
      <w:bookmarkEnd w:id="1"/>
    </w:p>
    <w:p w14:paraId="5C743A5D" w14:textId="77777777" w:rsidR="00F06504" w:rsidRPr="00E648E5" w:rsidRDefault="00F06504" w:rsidP="00F06504">
      <w:pPr>
        <w:rPr>
          <w:i/>
          <w:vanish/>
        </w:rPr>
      </w:pPr>
      <w:r w:rsidRPr="00E648E5">
        <w:rPr>
          <w:i/>
        </w:rPr>
        <w:fldChar w:fldCharType="begin"/>
      </w:r>
      <w:r w:rsidRPr="00E648E5">
        <w:rPr>
          <w:i/>
        </w:rPr>
        <w:instrText xml:space="preserve"> TC"(</w:instrText>
      </w:r>
      <w:bookmarkStart w:id="2" w:name="DocNumber"/>
      <w:r w:rsidRPr="00E648E5">
        <w:rPr>
          <w:i/>
        </w:rPr>
        <w:instrText>A10-0114/2025</w:instrText>
      </w:r>
      <w:bookmarkEnd w:id="2"/>
      <w:r w:rsidRPr="00E648E5">
        <w:rPr>
          <w:i/>
        </w:rPr>
        <w:instrText xml:space="preserve"> - Spravodajca: Andrzej Halicki)"\l3 \n&gt; \* MERGEFORMAT </w:instrText>
      </w:r>
      <w:r w:rsidRPr="00E648E5">
        <w:rPr>
          <w:i/>
        </w:rPr>
        <w:fldChar w:fldCharType="end"/>
      </w:r>
    </w:p>
    <w:p w14:paraId="71EFE8CF" w14:textId="77777777" w:rsidR="00F06504" w:rsidRPr="00E648E5" w:rsidRDefault="00F06504" w:rsidP="00F06504">
      <w:pPr>
        <w:rPr>
          <w:vanish/>
        </w:rPr>
      </w:pPr>
      <w:bookmarkStart w:id="3" w:name="Commission"/>
      <w:r w:rsidRPr="00E648E5">
        <w:rPr>
          <w:vanish/>
        </w:rPr>
        <w:t>Výbor pre rozpočet</w:t>
      </w:r>
      <w:bookmarkEnd w:id="3"/>
    </w:p>
    <w:p w14:paraId="1BC3440A" w14:textId="77777777" w:rsidR="00F06504" w:rsidRPr="00E648E5" w:rsidRDefault="00F06504" w:rsidP="00F06504">
      <w:pPr>
        <w:rPr>
          <w:vanish/>
        </w:rPr>
      </w:pPr>
      <w:bookmarkStart w:id="4" w:name="PE"/>
      <w:r w:rsidRPr="00E648E5">
        <w:rPr>
          <w:vanish/>
        </w:rPr>
        <w:t>PE774.284</w:t>
      </w:r>
      <w:bookmarkEnd w:id="4"/>
    </w:p>
    <w:p w14:paraId="2D15EA68" w14:textId="3F3F8A1D" w:rsidR="00F06504" w:rsidRPr="00E648E5" w:rsidRDefault="00F06504" w:rsidP="00F06504">
      <w:pPr>
        <w:pStyle w:val="ATHeading3"/>
      </w:pPr>
      <w:bookmarkStart w:id="5" w:name="Sujet"/>
      <w:r w:rsidRPr="00E648E5">
        <w:t>Uznesenie Európskeho parlamentu z</w:t>
      </w:r>
      <w:r w:rsidR="00AF109C" w:rsidRPr="00E648E5">
        <w:t> 9</w:t>
      </w:r>
      <w:r w:rsidRPr="00E648E5">
        <w:t>. júla 2025 o návrhu rozhodnutia Európskeho parlamentu a Rady o mobilizácii Fondu solidarity Európskej únie na účely poskytnutia pomoci Rakúsku, Poľsku, Česku, Slovensku a Moldavsku v súvislosti s povodňami, ku ktorým došlo v septembri 2024, a Bosne a Hercegovine v súvislosti s povodňami, ku ktorým došlo v októbri 2024</w:t>
      </w:r>
      <w:bookmarkEnd w:id="5"/>
      <w:r w:rsidRPr="00E648E5">
        <w:t xml:space="preserve"> </w:t>
      </w:r>
      <w:bookmarkStart w:id="6" w:name="References"/>
      <w:r w:rsidRPr="00E648E5">
        <w:t>(COM(2025)0250 – C10-0102/2025 – 2025/0138(BUD))</w:t>
      </w:r>
      <w:bookmarkEnd w:id="6"/>
    </w:p>
    <w:p w14:paraId="6B214B84" w14:textId="77777777" w:rsidR="00535252" w:rsidRPr="00E648E5" w:rsidRDefault="00535252" w:rsidP="00535252">
      <w:pPr>
        <w:pStyle w:val="EPComma"/>
        <w:rPr>
          <w:noProof/>
        </w:rPr>
      </w:pPr>
      <w:r w:rsidRPr="00E648E5">
        <w:rPr>
          <w:i/>
        </w:rPr>
        <w:t>Európsky parlament</w:t>
      </w:r>
      <w:r w:rsidRPr="00E648E5">
        <w:t>,</w:t>
      </w:r>
    </w:p>
    <w:p w14:paraId="775AF253" w14:textId="77777777" w:rsidR="00535252" w:rsidRPr="00E648E5" w:rsidRDefault="00535252" w:rsidP="00535252">
      <w:pPr>
        <w:pStyle w:val="NormalHanging12a"/>
        <w:rPr>
          <w:noProof/>
        </w:rPr>
      </w:pPr>
      <w:r w:rsidRPr="00E648E5">
        <w:t>–</w:t>
      </w:r>
      <w:r w:rsidRPr="00E648E5">
        <w:tab/>
        <w:t>so zreteľom na návrh Komisie pre Európsky parlament a Radu (COM(2025)0250 – C10</w:t>
      </w:r>
      <w:r w:rsidRPr="00E648E5">
        <w:noBreakHyphen/>
        <w:t>0102/2025),</w:t>
      </w:r>
    </w:p>
    <w:p w14:paraId="770F3F3A" w14:textId="77777777" w:rsidR="00535252" w:rsidRPr="00E648E5" w:rsidRDefault="00535252" w:rsidP="00535252">
      <w:pPr>
        <w:pStyle w:val="NormalHanging12a"/>
        <w:rPr>
          <w:noProof/>
        </w:rPr>
      </w:pPr>
      <w:r w:rsidRPr="00E648E5">
        <w:t>–</w:t>
      </w:r>
      <w:r w:rsidRPr="00E648E5">
        <w:tab/>
        <w:t>so zreteľom na nariadenie Rady (ES) č. 2012/2002 z 11. novembra 2002, ktorým sa zriaďuje fond solidarity Európskej únie</w:t>
      </w:r>
      <w:r w:rsidRPr="00E648E5">
        <w:rPr>
          <w:rStyle w:val="FootnoteReference"/>
        </w:rPr>
        <w:footnoteReference w:id="1"/>
      </w:r>
      <w:r w:rsidRPr="00E648E5">
        <w:t>,</w:t>
      </w:r>
    </w:p>
    <w:p w14:paraId="1EF995A0" w14:textId="77777777" w:rsidR="00535252" w:rsidRPr="00E648E5" w:rsidRDefault="00535252" w:rsidP="00535252">
      <w:pPr>
        <w:pStyle w:val="NormalHanging12a"/>
        <w:rPr>
          <w:noProof/>
        </w:rPr>
      </w:pPr>
      <w:r w:rsidRPr="00E648E5">
        <w:t>–</w:t>
      </w:r>
      <w:r w:rsidRPr="00E648E5">
        <w:tab/>
        <w:t xml:space="preserve">so zreteľom na nariadenie Rady (EÚ, </w:t>
      </w:r>
      <w:proofErr w:type="spellStart"/>
      <w:r w:rsidRPr="00E648E5">
        <w:t>Euratom</w:t>
      </w:r>
      <w:proofErr w:type="spellEnd"/>
      <w:r w:rsidRPr="00E648E5">
        <w:t>) 2020/2093 zo 17. decembra 2020, ktorým sa stanovuje viacročný finančný rámec na roky 2021 až 2027</w:t>
      </w:r>
      <w:r w:rsidRPr="00E648E5">
        <w:rPr>
          <w:rStyle w:val="FootnoteReference"/>
          <w:noProof/>
        </w:rPr>
        <w:footnoteReference w:id="2"/>
      </w:r>
      <w:r w:rsidRPr="00E648E5">
        <w:t>, a najmä na jeho článok 9,</w:t>
      </w:r>
    </w:p>
    <w:p w14:paraId="67EDD0D9" w14:textId="77777777" w:rsidR="00535252" w:rsidRPr="00E648E5" w:rsidRDefault="00535252" w:rsidP="00535252">
      <w:pPr>
        <w:pStyle w:val="NormalHanging12a"/>
        <w:rPr>
          <w:noProof/>
        </w:rPr>
      </w:pPr>
      <w:r w:rsidRPr="00E648E5">
        <w:t>–</w:t>
      </w:r>
      <w:r w:rsidRPr="00E648E5">
        <w:tab/>
        <w:t xml:space="preserve">so zreteľom na </w:t>
      </w:r>
      <w:proofErr w:type="spellStart"/>
      <w:r w:rsidRPr="00E648E5">
        <w:t>Medziinštitucionálnu</w:t>
      </w:r>
      <w:proofErr w:type="spellEnd"/>
      <w:r w:rsidRPr="00E648E5">
        <w:t xml:space="preserve"> dohodu zo 16. decembra 2020 medzi Európskym parlamentom, Radou a Komisiou o rozpočtovej disciplíne, spolupráci v rozpočtových záležitostiach a správnom finančnom riadení, ako aj o nových vlastných zdrojoch vrátane plánu na zavedenie nových vlastných zdrojov</w:t>
      </w:r>
      <w:r w:rsidRPr="00E648E5">
        <w:rPr>
          <w:rStyle w:val="FootnoteReference"/>
          <w:noProof/>
        </w:rPr>
        <w:footnoteReference w:id="3"/>
      </w:r>
      <w:r w:rsidRPr="00E648E5">
        <w:t>, najmä na jej článok 10,</w:t>
      </w:r>
    </w:p>
    <w:p w14:paraId="2971F7BD" w14:textId="77777777" w:rsidR="00535252" w:rsidRPr="00E648E5" w:rsidRDefault="00535252" w:rsidP="00535252">
      <w:pPr>
        <w:pStyle w:val="NormalHanging12a"/>
      </w:pPr>
      <w:r w:rsidRPr="00E648E5">
        <w:t>–</w:t>
      </w:r>
      <w:r w:rsidRPr="00E648E5">
        <w:tab/>
        <w:t>so zreteľom na nariadenie Európskeho parlamentu a Rady (EÚ) 2021/1058 z 24. júna 2021 o Európskom fonde regionálneho rozvoja a Kohéznom fonde</w:t>
      </w:r>
      <w:r w:rsidRPr="00E648E5">
        <w:rPr>
          <w:rStyle w:val="FootnoteReference"/>
        </w:rPr>
        <w:footnoteReference w:id="4"/>
      </w:r>
      <w:r w:rsidRPr="00E648E5">
        <w:t xml:space="preserve">, </w:t>
      </w:r>
    </w:p>
    <w:p w14:paraId="1439DE83" w14:textId="77777777" w:rsidR="00535252" w:rsidRPr="00E648E5" w:rsidRDefault="00535252" w:rsidP="00535252">
      <w:pPr>
        <w:pStyle w:val="NormalHanging12a"/>
      </w:pPr>
      <w:r w:rsidRPr="00E648E5">
        <w:lastRenderedPageBreak/>
        <w:t>–</w:t>
      </w:r>
      <w:r w:rsidRPr="00E648E5">
        <w:tab/>
        <w:t>so zreteľom na nariadenie Európskeho parlamentu a Rady (EÚ) 2021/1057 z 24. júna 2021, ktorým sa zriaďuje Európsky sociálny fond plus (ESF+)</w:t>
      </w:r>
      <w:r w:rsidRPr="00E648E5">
        <w:rPr>
          <w:rStyle w:val="FootnoteReference"/>
        </w:rPr>
        <w:footnoteReference w:id="5"/>
      </w:r>
      <w:r w:rsidRPr="00E648E5">
        <w:t xml:space="preserve">, </w:t>
      </w:r>
    </w:p>
    <w:p w14:paraId="0B19FAB2" w14:textId="77777777" w:rsidR="00535252" w:rsidRPr="00E648E5" w:rsidRDefault="00535252" w:rsidP="00535252">
      <w:pPr>
        <w:pStyle w:val="NormalHanging12a"/>
        <w:rPr>
          <w:noProof/>
        </w:rPr>
      </w:pPr>
      <w:r w:rsidRPr="00E648E5">
        <w:t>–</w:t>
      </w:r>
      <w:r w:rsidRPr="00E648E5">
        <w:tab/>
        <w:t>so zreteľom na nariadenie Európskeho parlamentu a Rady (EÚ) 2021/2115 z 2. decembra 2021, ktorým sa stanovujú pravidlá podpory strategických plánov, ktoré majú zostaviť členské štáty v rámci spoločnej poľnohospodárskej politiky (strategické plány SPP) a ktoré sú financované z Európskeho poľnohospodárskeho záručného fondu (EPZF) a Európskeho poľnohospodárskeho fondu pre rozvoj vidieka (EPFRV), a ktorým sa zrušujú nariadenia (EÚ) č. 1305/2013 a (EÚ) č. 1307/2013</w:t>
      </w:r>
      <w:r w:rsidRPr="00E648E5">
        <w:rPr>
          <w:rStyle w:val="FootnoteReference"/>
          <w:noProof/>
        </w:rPr>
        <w:footnoteReference w:id="6"/>
      </w:r>
      <w:r w:rsidRPr="00E648E5">
        <w:t xml:space="preserve">, </w:t>
      </w:r>
    </w:p>
    <w:p w14:paraId="7EB32D7E" w14:textId="77777777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t>–</w:t>
      </w:r>
      <w:r w:rsidRPr="00E648E5">
        <w:tab/>
        <w:t xml:space="preserve">so zreteľom na svoje uznesenie z 27. februára 2024 o návrhu nariadenia Rady, ktorým sa mení nariadenie (EÚ, </w:t>
      </w:r>
      <w:proofErr w:type="spellStart"/>
      <w:r w:rsidRPr="00E648E5">
        <w:t>Euratom</w:t>
      </w:r>
      <w:proofErr w:type="spellEnd"/>
      <w:r w:rsidRPr="00E648E5">
        <w:t>) 2020/2093, ktorým sa stanovuje viacročný finančný rámec na roky 2021 – 2027</w:t>
      </w:r>
      <w:r w:rsidRPr="00E648E5">
        <w:rPr>
          <w:rStyle w:val="FootnoteReference"/>
        </w:rPr>
        <w:footnoteReference w:id="7"/>
      </w:r>
      <w:r w:rsidRPr="00E648E5">
        <w:t>,</w:t>
      </w:r>
    </w:p>
    <w:p w14:paraId="3AE528C5" w14:textId="337E70B1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t>–</w:t>
      </w:r>
      <w:r w:rsidRPr="00E648E5">
        <w:rPr>
          <w:b/>
          <w:i/>
        </w:rPr>
        <w:tab/>
      </w:r>
      <w:r w:rsidR="00AF109C" w:rsidRPr="00E648E5">
        <w:rPr>
          <w:bCs/>
          <w:iCs/>
        </w:rPr>
        <w:t>so zreteľom na správu Výboru pre zamestnanosť a sociálne veci a Výboru pre regionálny rozvoj (A10-0031/2024) v rámci legislatívneho postupu na prijatie nariadenia Európskeho parlamentu a Rady (EÚ) 2024/3236 z 19. decembra 2024, ktorým sa menia nariadenia (EÚ) 2021/1057 a (EÚ) 2021/1058, pokiaľ ide o regionálnu núdzovú podporu obnovy (RESTORE)</w:t>
      </w:r>
      <w:r w:rsidR="00AF109C" w:rsidRPr="00E648E5">
        <w:rPr>
          <w:rStyle w:val="FootnoteReference"/>
        </w:rPr>
        <w:footnoteReference w:id="8"/>
      </w:r>
      <w:r w:rsidR="00AF109C" w:rsidRPr="00E648E5">
        <w:rPr>
          <w:bCs/>
          <w:iCs/>
        </w:rPr>
        <w:t>, a najmä na rozpočtové posúdenie Výboru pre rozpočet pripojené k uvedenej správe,</w:t>
      </w:r>
    </w:p>
    <w:p w14:paraId="0459D9EC" w14:textId="14B5F67B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t>–</w:t>
      </w:r>
      <w:r w:rsidRPr="00E648E5">
        <w:tab/>
        <w:t xml:space="preserve">so zreteľom na správu </w:t>
      </w:r>
      <w:r w:rsidR="00AF109C" w:rsidRPr="00E648E5">
        <w:t xml:space="preserve">Európskej environmentálnej agentúry </w:t>
      </w:r>
      <w:r w:rsidRPr="00E648E5">
        <w:t>č. 1/2024 – Európske posúdenie klimatických rizík (EUCRA)</w:t>
      </w:r>
      <w:r w:rsidRPr="00E648E5">
        <w:rPr>
          <w:rStyle w:val="FootnoteReference"/>
        </w:rPr>
        <w:footnoteReference w:id="9"/>
      </w:r>
      <w:r w:rsidRPr="00E648E5">
        <w:t>,</w:t>
      </w:r>
    </w:p>
    <w:p w14:paraId="0609E9BC" w14:textId="77777777" w:rsidR="00535252" w:rsidRPr="00E648E5" w:rsidRDefault="00535252" w:rsidP="00535252">
      <w:pPr>
        <w:pStyle w:val="NormalHanging12a"/>
      </w:pPr>
      <w:r w:rsidRPr="00E648E5">
        <w:t>–</w:t>
      </w:r>
      <w:r w:rsidRPr="00E648E5">
        <w:tab/>
        <w:t>so zreteľom na správu Výboru pre rozpočet (A10-0114/2025),</w:t>
      </w:r>
    </w:p>
    <w:p w14:paraId="45589136" w14:textId="77777777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t>A.</w:t>
      </w:r>
      <w:r w:rsidRPr="00E648E5">
        <w:tab/>
        <w:t xml:space="preserve">keďže v septembri 2024 sa v Rakúsku vyskytli mimoriadne veľké zrážky, ktoré spôsobili rozsiahle záplavy, čo viedlo k celkovým priamym škodám, ktoré rakúske orgány odhadli na 1 711,6 milióna EUR; </w:t>
      </w:r>
    </w:p>
    <w:p w14:paraId="71C79C21" w14:textId="77777777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t>B.</w:t>
      </w:r>
      <w:r w:rsidRPr="00E648E5">
        <w:tab/>
        <w:t>keďže v septembri 2024 došlo v juhozápadnom Poľsku k silným dažďom, ktoré viedli k záplavám z viacerých riek, čo viedlo k celkovým priamym škodám, ktoré poľské orgány odhadli na 3,04 miliardy EUR;</w:t>
      </w:r>
    </w:p>
    <w:p w14:paraId="11BDA430" w14:textId="77777777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t>C.</w:t>
      </w:r>
      <w:r w:rsidRPr="00E648E5">
        <w:tab/>
        <w:t>keďže v septembri 2024 zasiahli veľmi silný vietor a silný dážď celé Česko, čo viedlo k záplavám a k celkovým priamym škodám, ktoré české orgány odhadli na 2,82 miliardy EUR;</w:t>
      </w:r>
    </w:p>
    <w:p w14:paraId="33508534" w14:textId="77777777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t>D.</w:t>
      </w:r>
      <w:r w:rsidRPr="00E648E5">
        <w:tab/>
        <w:t>keďže 15. septembra 2024 Slovensko zažilo značné záplavy, najmä v Bratislave a okolitých regiónoch, čo viedlo k výraznému zvýšeniu úrovne riek Dunaj a Morava a k celkovým priamym škodám, ktoré slovenské orgány odhadli na 84,3 milióna EUR;</w:t>
      </w:r>
    </w:p>
    <w:p w14:paraId="3312E579" w14:textId="77777777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t>E.</w:t>
      </w:r>
      <w:r w:rsidRPr="00E648E5">
        <w:tab/>
        <w:t>keďže v septembri 2024 zasiahli viaceré oblasti Moldavska prívalové dažde a z toho vyplývajúce záplavy, čo viedlo k celkovým priamym škodám, ktoré moldavské orgány odhadli na 7,8 milióna EUR;</w:t>
      </w:r>
    </w:p>
    <w:p w14:paraId="76FA14AB" w14:textId="77777777" w:rsidR="00535252" w:rsidRPr="00E648E5" w:rsidRDefault="00535252" w:rsidP="00535252">
      <w:pPr>
        <w:pStyle w:val="NormalWeb"/>
        <w:shd w:val="clear" w:color="auto" w:fill="FFFFFF"/>
        <w:ind w:left="567" w:hanging="567"/>
      </w:pPr>
      <w:r w:rsidRPr="00E648E5">
        <w:lastRenderedPageBreak/>
        <w:t>F.</w:t>
      </w:r>
      <w:r w:rsidRPr="00E648E5">
        <w:tab/>
        <w:t>keďže v októbri 2024 bola Bosna a Hercegovina zasiahnutá silnými zrážkami, ktoré spôsobili katastrofálne prívalové povodne, zosuvy pôdy a záplavy vo viacerých častiach krajiny, čo viedlo k celkovým priamym škodám, ktoré orgány odhadli na 841,85 milióna EUR;</w:t>
      </w:r>
    </w:p>
    <w:p w14:paraId="72F7C96C" w14:textId="2C8E7E3A" w:rsidR="00535252" w:rsidRPr="00E648E5" w:rsidRDefault="00535252" w:rsidP="00535252">
      <w:pPr>
        <w:pStyle w:val="NormalHanging12a"/>
      </w:pPr>
      <w:r w:rsidRPr="00E648E5">
        <w:t>G.</w:t>
      </w:r>
      <w:r w:rsidRPr="00E648E5">
        <w:tab/>
        <w:t>keďže uvedené udalosti spôsobené vážnymi prírodnými katastrofami sú výsledkom globálnej zmeny klímy; keďže správa s názvom Stav klímy v Európe v roku 2024 potvrdzuje, že rok 2024 bol najteplejším rokom v histórii meraní v Európe a že 30 % riečnej siete na kontinente prekročilo „vysokú“ hranicu povodní, zatiaľ čo 12 % prekročilo „kritickú“ hranicu</w:t>
      </w:r>
      <w:r w:rsidR="002177DD" w:rsidRPr="00E648E5">
        <w:t xml:space="preserve"> povodní</w:t>
      </w:r>
      <w:r w:rsidRPr="00E648E5">
        <w:t>, čo viedlo k najrozsiahlejším záplavám od roku 2013;</w:t>
      </w:r>
    </w:p>
    <w:p w14:paraId="26F72441" w14:textId="77777777" w:rsidR="00535252" w:rsidRPr="00E648E5" w:rsidRDefault="00535252" w:rsidP="00535252">
      <w:pPr>
        <w:spacing w:after="240"/>
        <w:ind w:left="567" w:hanging="567"/>
        <w:rPr>
          <w:szCs w:val="24"/>
          <w:shd w:val="clear" w:color="auto" w:fill="FFFFFF"/>
        </w:rPr>
      </w:pPr>
      <w:r w:rsidRPr="00E648E5">
        <w:t>1.</w:t>
      </w:r>
      <w:r w:rsidRPr="00E648E5">
        <w:tab/>
        <w:t xml:space="preserve">vyjadruje </w:t>
      </w:r>
      <w:r w:rsidRPr="00E648E5">
        <w:rPr>
          <w:shd w:val="clear" w:color="auto" w:fill="FFFFFF"/>
        </w:rPr>
        <w:t>hlbokú solidaritu so všetkými obeťami, ich rodinami a všetkými osobami postihnutým ničivými povodňami v Rakúsku, Poľsku, Česku, na Slovensku, v Moldavsku a Bosne a Hercegovine, ako aj s vnútroštátnymi, regionálnymi a miestnymi orgánmi zapojenými do poskytovania pomoci;</w:t>
      </w:r>
    </w:p>
    <w:p w14:paraId="72369A5E" w14:textId="77777777" w:rsidR="00535252" w:rsidRPr="00E648E5" w:rsidRDefault="00535252" w:rsidP="00535252">
      <w:pPr>
        <w:pStyle w:val="NormalHanging12a"/>
      </w:pPr>
      <w:r w:rsidRPr="00E648E5">
        <w:t>2.</w:t>
      </w:r>
      <w:r w:rsidRPr="00E648E5">
        <w:tab/>
        <w:t>víta toto rozhodnutie ako konkrétnu a viditeľnú formu solidarity Únie s jej občanmi a regiónmi v postihnutých oblastiach vrátane tých v partnerských krajinách;</w:t>
      </w:r>
    </w:p>
    <w:p w14:paraId="33CCF04D" w14:textId="77777777" w:rsidR="00535252" w:rsidRPr="00E648E5" w:rsidRDefault="00535252" w:rsidP="00535252">
      <w:pPr>
        <w:pStyle w:val="NormalHanging12a"/>
      </w:pPr>
      <w:r w:rsidRPr="00E648E5">
        <w:t>3.</w:t>
      </w:r>
      <w:r w:rsidRPr="00E648E5">
        <w:tab/>
        <w:t>opätovne pripomína, že je dôležité informovať verejnosť o reálnych výhodách, ktoré prináša Fond solidarity Európskej únie (ďalej len „FSEÚ“), a to aj s cieľom ďalej zvyšovať povedomie občanov o nástrojoch a programoch Únie v členských štátoch a krajinách zapojených do prístupových rokovaní s Úniou;</w:t>
      </w:r>
    </w:p>
    <w:p w14:paraId="582B8008" w14:textId="77777777" w:rsidR="00535252" w:rsidRPr="00E648E5" w:rsidRDefault="00535252" w:rsidP="00535252">
      <w:pPr>
        <w:spacing w:after="240"/>
        <w:ind w:left="567" w:hanging="567"/>
        <w:rPr>
          <w:szCs w:val="24"/>
        </w:rPr>
      </w:pPr>
      <w:r w:rsidRPr="00E648E5">
        <w:t>4.</w:t>
      </w:r>
      <w:r w:rsidRPr="00E648E5">
        <w:tab/>
        <w:t>upozorňuje na rastúci počet závažných, ničivých a smrteľných prírodných katastrof v Európe a vyzýva členské štáty a Komisiu, aby investovali do opatrení na zmiernenie zmeny klímy a adaptáciu na ňu s cieľom zabrániť stratám na ľudských životoch a hospodárskym stratám; zdôrazňuje, že v roku 2024 búrky a záplavy postihli približne 413 000 ľudí, čo viedlo k strate najmenej 335 životov, a že škody spôsobené búrkami a záplavami počas roka v celej Európe sa podľa odhadov vyšplhali na minimálne 18 miliárd EUR</w:t>
      </w:r>
      <w:r w:rsidRPr="00E648E5">
        <w:rPr>
          <w:rStyle w:val="FootnoteReference"/>
          <w:szCs w:val="24"/>
        </w:rPr>
        <w:footnoteReference w:id="10"/>
      </w:r>
      <w:r w:rsidRPr="00E648E5">
        <w:t xml:space="preserve">; domnieva sa, že vzhľadom na nadchádzajúci návrh Komisie o novom viacročnom finančnom rámci a následné </w:t>
      </w:r>
      <w:proofErr w:type="spellStart"/>
      <w:r w:rsidRPr="00E648E5">
        <w:t>medziinštitucionálne</w:t>
      </w:r>
      <w:proofErr w:type="spellEnd"/>
      <w:r w:rsidRPr="00E648E5">
        <w:t xml:space="preserve"> rokovania by sa mal podstatne zvýšiť rozpočet FSEÚ alebo jeho ekvivalentu a že FSEÚ alebo jeho ekvivalent musí občanom poskytovať pomoc primeranú rozsahu takýchto katastrof; konštatuje, že výrazné zvýšenie prostriedkov vo FSEÚ by členským štátom umožnilo účinnejšie a rýchlejšie reagovať na katastrofy, pričom iné nástroje, najmä kohézne fondy, ktorých hlavným účelom nie je reakcia na katastrofy, by sa mohli zachovať; naliehavo tiež žiada Komisiu, aby preskúmala všetky možné spôsoby urýchlenia mobilizácie FSEÚ, najmä zmenou súčasných pravidiel a poskytnutím vyšších zálohových platieb žiadajúcim krajinám;</w:t>
      </w:r>
    </w:p>
    <w:p w14:paraId="17DB8661" w14:textId="77777777" w:rsidR="00535252" w:rsidRPr="00E648E5" w:rsidRDefault="00535252" w:rsidP="00535252">
      <w:pPr>
        <w:spacing w:after="240"/>
        <w:ind w:left="567" w:hanging="567"/>
        <w:rPr>
          <w:szCs w:val="24"/>
        </w:rPr>
      </w:pPr>
      <w:r w:rsidRPr="00E648E5">
        <w:t>5.</w:t>
      </w:r>
      <w:r w:rsidRPr="00E648E5">
        <w:tab/>
        <w:t xml:space="preserve">vyzýva Komisiu, aby vypracovala špecializované nástroje reakcie na krízu na obdobie po roku 2027, pričom uznáva, že čoraz častejšie a závažnejšie prírodné katastrofy, núdzové zdravotné situácie, geopolitická nestabilita a hospodárske otrasy si vyžadujú pružnejšie a lepšie prispôsobené finančné mechanizmy na úrovni Únie; zdôrazňuje potrebu lepšej koordinácie s vnútroštátnymi systémami civilnej ochrany a mechanizmami včasného varovania, čím sa zabezpečí integrovanejšia reakcia na </w:t>
      </w:r>
      <w:r w:rsidRPr="00E648E5">
        <w:lastRenderedPageBreak/>
        <w:t>katastrofy v celej Únii založená na údajoch; zdôrazňuje význam osobitnej podpory cezhraničnej a regionálnej spolupráce v úsilí o pripravenosť, zmiernenie a obnovu, najmä v zraniteľných alebo vysokorizikových oblastiach;</w:t>
      </w:r>
    </w:p>
    <w:p w14:paraId="5BBEF80D" w14:textId="38592197" w:rsidR="00535252" w:rsidRPr="00E648E5" w:rsidRDefault="00535252" w:rsidP="00535252">
      <w:pPr>
        <w:spacing w:after="240"/>
        <w:ind w:left="567" w:hanging="567"/>
        <w:rPr>
          <w:szCs w:val="24"/>
        </w:rPr>
      </w:pPr>
      <w:r w:rsidRPr="00E648E5">
        <w:t>6.</w:t>
      </w:r>
      <w:r w:rsidRPr="00E648E5">
        <w:tab/>
        <w:t xml:space="preserve">zdôrazňuje, že FSEÚ je len nástrojom nápravy a že Únia by mala pokračovať aj v adaptácii na zmenu klímy a jej zmierňovaní tým, že bude podporovať európske a vnútroštátne politiky na predchádzanie prírodným katastrofám; zdôrazňuje, že správa </w:t>
      </w:r>
      <w:r w:rsidR="000A19C2" w:rsidRPr="00E648E5">
        <w:t xml:space="preserve">Európskej environmentálnej agentúry </w:t>
      </w:r>
      <w:r w:rsidRPr="00E648E5">
        <w:t>č. 1/2024 s názvom Európske posúdenie klimatických rizík upozornila na nepripravenosť Únie na účinky zmeny klímy, a to aj vtedy, ak sa svetu podarí udržať nárast globálnych teplôt na 1,5 °Celzia</w:t>
      </w:r>
      <w:r w:rsidR="00CF2751" w:rsidRPr="00E648E5">
        <w:t>, ako sa stanovuje v Parížskom dohovore</w:t>
      </w:r>
      <w:r w:rsidRPr="00E648E5">
        <w:t>, a že treba prijať opatrenia, ktoré zabránia tomu, aby zistené klimatické riziká dosiahli kritické úrovne; pripomína, že treba vytvoriť účinné synergie s ostatnými politikami a programami Únie, a zdôrazňuje, že členské štáty by mali čo najlepšie využívať možnosti financovania, najmä z Európskeho fondu regionálneho rozvoja, Európskeho sociálneho fondu plus a programov rozvoja vidieka; vyzýva Komisiu, aby s náležitou naliehavosťou posúdila všetky odôvodnené žiadosti členských štátov o prerozdelenie finančných prostriedkov v rámci národných plánov obnovy a odolnosti na pomoc pri prírodných katastrofách v súlade s pravidlami stanovenými v nariadení Európskeho parlamentu a Rady (EÚ) 2021/241</w:t>
      </w:r>
      <w:r w:rsidRPr="00E648E5">
        <w:rPr>
          <w:rStyle w:val="FootnoteReference"/>
          <w:szCs w:val="24"/>
        </w:rPr>
        <w:footnoteReference w:id="11"/>
      </w:r>
      <w:r w:rsidRPr="00E648E5">
        <w:t xml:space="preserve">; zdôrazňuje, že je takisto potrebné prijať preventívne opatrenia, a to nielen s cieľom zmierniť budúce škody, ale aj zabrániť zhoršeniu rizikových podmienok po katastrofických udalostiach, ako sú povodne, prírodné požiare, zosuvy pôdy alebo vysušovanie jazier a riek; zdôrazňuje, že všetka obnova financovaná z FSEÚ musí byť odolná voči zmene klímy; zdôrazňuje význam primeranej flexibility medzi rôznymi programami; podčiarkuje, že pomoc poskytovaná v rámci FSEÚ by nemala byť na úkor finančných prostriedkov Únie, ktoré členské štáty prijímajú z iných programov alebo politík Únie; pripomína, že členské štáty môžu poskytovať štátnu pomoc v súlade s </w:t>
      </w:r>
      <w:r w:rsidR="00CF2751" w:rsidRPr="00E648E5">
        <w:t xml:space="preserve">príslušnými </w:t>
      </w:r>
      <w:r w:rsidRPr="00E648E5">
        <w:t>pravidlami Únie, a to najmä poľnohospodárskym podnikom, ktoré utrpeli škody v dôsledku prírodných katastrof;</w:t>
      </w:r>
    </w:p>
    <w:p w14:paraId="483EE922" w14:textId="4E6A5EDB" w:rsidR="00535252" w:rsidRPr="00E648E5" w:rsidRDefault="00535252" w:rsidP="00535252">
      <w:pPr>
        <w:spacing w:after="240"/>
        <w:ind w:left="567" w:hanging="567"/>
        <w:rPr>
          <w:szCs w:val="24"/>
        </w:rPr>
      </w:pPr>
      <w:r w:rsidRPr="00E648E5">
        <w:t>7.</w:t>
      </w:r>
      <w:r w:rsidRPr="00E648E5">
        <w:tab/>
        <w:t>pripomína, že RESTORE a osobitné opatrenia v rámci Európskeho poľnohospodárskeho fondu pre rozvoj vidieka (EPFRV)</w:t>
      </w:r>
      <w:r w:rsidR="000A19C2" w:rsidRPr="00E648E5">
        <w:t xml:space="preserve"> zavedené nariadením Európskeho parlamentu a Rady (EÚ) 2024/3242</w:t>
      </w:r>
      <w:r w:rsidRPr="00E648E5">
        <w:rPr>
          <w:rStyle w:val="FootnoteReference"/>
          <w:szCs w:val="24"/>
        </w:rPr>
        <w:footnoteReference w:id="12"/>
      </w:r>
      <w:r w:rsidRPr="00E648E5">
        <w:t xml:space="preserve"> poskytujú dodatočnú pomoc členským štátom postihnutým prírodnými katastrofami prostredníctvom ďalšej flexibility pri využívaní finančných prostriedkov; zdôrazňuje, že členské štáty by mali tieto nové príležitosti využívať; zdôrazňuje tiež, že RESTORE poskytla niektorým členským štátom len obmedzenú flexibilitu, pretože vykonávanie súčasného VFR veľmi pokročilo;</w:t>
      </w:r>
    </w:p>
    <w:p w14:paraId="30829219" w14:textId="77777777" w:rsidR="00535252" w:rsidRPr="00E648E5" w:rsidRDefault="00535252" w:rsidP="00535252">
      <w:pPr>
        <w:spacing w:after="240"/>
        <w:ind w:left="567" w:hanging="567"/>
        <w:rPr>
          <w:szCs w:val="24"/>
        </w:rPr>
      </w:pPr>
      <w:r w:rsidRPr="00E648E5">
        <w:t>8.</w:t>
      </w:r>
      <w:r w:rsidRPr="00E648E5">
        <w:tab/>
        <w:t xml:space="preserve">pripomína význam rýchleho a spoľahlivého odhadovania škôd, pri ktorom sa náležite zohľadňujú hospodárske dôsledky, a vyzýva na posilnenie pracovného úsilia, aby sa skrátil priemerný čas na vyplatenie zálohových platieb, aby sa regiónom postihnutým prírodnými katastrofami a extrémnymi poveternostnými javmi mohla poskytnúť včasná </w:t>
      </w:r>
      <w:r w:rsidRPr="00E648E5">
        <w:lastRenderedPageBreak/>
        <w:t>pomoc a zároveň sa zaručila ochrana rozpočtu Únie; zdôrazňuje, že členské štáty by v súvislosti s opatreniami v oblasti reakcie na katastrofy a obnovy mali náležite uprednostňovať potreby dotknutého obyvateľstva s osobitným dôrazom na zraniteľné skupiny;</w:t>
      </w:r>
    </w:p>
    <w:p w14:paraId="1C2B8D45" w14:textId="77777777" w:rsidR="00535252" w:rsidRPr="00E648E5" w:rsidRDefault="00535252" w:rsidP="00535252">
      <w:pPr>
        <w:spacing w:after="240"/>
        <w:ind w:left="567" w:hanging="567"/>
      </w:pPr>
      <w:r w:rsidRPr="00E648E5">
        <w:t>9.</w:t>
      </w:r>
      <w:r w:rsidRPr="00E648E5">
        <w:tab/>
        <w:t xml:space="preserve">zdôrazňuje naliehavú potrebu uvoľniť z FSEÚ okamžitú finančnú pomoc, aby sa podpora mohla včas dostať do postihnutých regiónov; </w:t>
      </w:r>
    </w:p>
    <w:p w14:paraId="4DD74EC8" w14:textId="77777777" w:rsidR="00535252" w:rsidRPr="00E648E5" w:rsidRDefault="00535252" w:rsidP="00535252">
      <w:pPr>
        <w:spacing w:after="240"/>
        <w:ind w:left="567" w:hanging="567"/>
      </w:pPr>
      <w:r w:rsidRPr="00E648E5">
        <w:t>10.</w:t>
      </w:r>
      <w:r w:rsidRPr="00E648E5">
        <w:tab/>
        <w:t>schvaľuje rozhodnutie, ktoré je uvedené v prílohe k tomuto uzneseniu;</w:t>
      </w:r>
    </w:p>
    <w:p w14:paraId="57F629C5" w14:textId="77777777" w:rsidR="00535252" w:rsidRPr="00E648E5" w:rsidRDefault="00535252" w:rsidP="00535252">
      <w:pPr>
        <w:spacing w:after="240"/>
        <w:ind w:left="567" w:hanging="567"/>
      </w:pPr>
      <w:r w:rsidRPr="00E648E5">
        <w:t>11.</w:t>
      </w:r>
      <w:r w:rsidRPr="00E648E5">
        <w:tab/>
        <w:t xml:space="preserve">poveruje svoju predsedníčku, aby podpísala toto rozhodnutie spoločne s predsedom Rady a aby zabezpečila jeho uverejnenie v </w:t>
      </w:r>
      <w:r w:rsidRPr="00E648E5">
        <w:rPr>
          <w:i/>
          <w:iCs/>
        </w:rPr>
        <w:t>Úradnom vestníku Európskej únie</w:t>
      </w:r>
      <w:r w:rsidRPr="00E648E5">
        <w:t>;</w:t>
      </w:r>
    </w:p>
    <w:p w14:paraId="19AD3F9D" w14:textId="77777777" w:rsidR="00535252" w:rsidRPr="00E648E5" w:rsidRDefault="00535252" w:rsidP="00535252">
      <w:pPr>
        <w:spacing w:after="240"/>
        <w:ind w:left="567" w:hanging="567"/>
      </w:pPr>
      <w:r w:rsidRPr="00E648E5">
        <w:t>12.</w:t>
      </w:r>
      <w:r w:rsidRPr="00E648E5">
        <w:tab/>
        <w:t>poveruje svoju predsedníčku, aby postúpila toto uznesenie spolu s prílohou Rade a Komisii.</w:t>
      </w:r>
    </w:p>
    <w:p w14:paraId="6A5D9186" w14:textId="77777777" w:rsidR="00535252" w:rsidRPr="00E648E5" w:rsidRDefault="00535252" w:rsidP="00535252">
      <w:pPr>
        <w:rPr>
          <w:noProof/>
        </w:rPr>
      </w:pPr>
    </w:p>
    <w:p w14:paraId="22A4C4A8" w14:textId="77777777" w:rsidR="00535252" w:rsidRPr="00E648E5" w:rsidRDefault="00535252" w:rsidP="00535252">
      <w:pPr>
        <w:pStyle w:val="PageHeading"/>
        <w:rPr>
          <w:noProof/>
        </w:rPr>
        <w:sectPr w:rsidR="00535252" w:rsidRPr="00E648E5" w:rsidSect="00761557">
          <w:footerReference w:type="even" r:id="rId9"/>
          <w:footerReference w:type="first" r:id="rId10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71FBA9" w14:textId="77777777" w:rsidR="00914993" w:rsidRPr="00E648E5" w:rsidRDefault="00535252" w:rsidP="00535252">
      <w:pPr>
        <w:pStyle w:val="PageHeading"/>
        <w:rPr>
          <w:rFonts w:ascii="Times New Roman" w:hAnsi="Times New Roman" w:cs="Times New Roman"/>
        </w:rPr>
      </w:pPr>
      <w:bookmarkStart w:id="7" w:name="_Toc202432595"/>
      <w:r w:rsidRPr="00E648E5">
        <w:rPr>
          <w:rFonts w:ascii="Times New Roman" w:hAnsi="Times New Roman" w:cs="Times New Roman"/>
        </w:rPr>
        <w:lastRenderedPageBreak/>
        <w:t>PRÍLOHA</w:t>
      </w:r>
    </w:p>
    <w:p w14:paraId="261927FE" w14:textId="61C5D42B" w:rsidR="00535252" w:rsidRPr="00E648E5" w:rsidRDefault="00535252" w:rsidP="00535252">
      <w:pPr>
        <w:pStyle w:val="PageHeading"/>
        <w:rPr>
          <w:rFonts w:ascii="Times New Roman" w:hAnsi="Times New Roman" w:cs="Times New Roman"/>
          <w:noProof/>
        </w:rPr>
      </w:pPr>
      <w:r w:rsidRPr="00E648E5">
        <w:rPr>
          <w:rFonts w:ascii="Times New Roman" w:hAnsi="Times New Roman" w:cs="Times New Roman"/>
        </w:rPr>
        <w:t>ROZHODNUTIE EURÓPSKEHO PARLAMENTU A RADY</w:t>
      </w:r>
      <w:bookmarkEnd w:id="7"/>
    </w:p>
    <w:p w14:paraId="2E1FEF46" w14:textId="7FC2F242" w:rsidR="00535252" w:rsidRPr="009102D8" w:rsidRDefault="00535252" w:rsidP="00E648E5">
      <w:pPr>
        <w:pStyle w:val="NormalBold24a"/>
        <w:jc w:val="center"/>
      </w:pPr>
      <w:r w:rsidRPr="00E648E5">
        <w:t xml:space="preserve">o mobilizácii Fondu solidarity Európskej únie na účely poskytnutia pomoci Rakúsku, Poľsku, Česku, Slovensku a Moldavsku v súvislosti s povodňami v septembri 2024 a </w:t>
      </w:r>
      <w:r w:rsidRPr="009102D8">
        <w:t>Bosne a Hercegovine v súvislosti s povodňami v októbri 2024</w:t>
      </w:r>
    </w:p>
    <w:p w14:paraId="5774ADA1" w14:textId="788E9B60" w:rsidR="009102D8" w:rsidRPr="00731EF8" w:rsidRDefault="009102D8" w:rsidP="009102D8">
      <w:pPr>
        <w:rPr>
          <w:i/>
          <w:iCs/>
        </w:rPr>
      </w:pPr>
      <w:r w:rsidRPr="009102D8">
        <w:rPr>
          <w:bCs/>
          <w:i/>
          <w:iCs/>
        </w:rPr>
        <w:t>(Znenie tejto prílohy sa neuvádza, pretože zodpovedá konečnému aktu, rozhodnutiu (EÚ) 2025/1</w:t>
      </w:r>
      <w:r>
        <w:rPr>
          <w:bCs/>
          <w:i/>
          <w:iCs/>
        </w:rPr>
        <w:t>525</w:t>
      </w:r>
      <w:r w:rsidRPr="009102D8">
        <w:rPr>
          <w:bCs/>
          <w:i/>
          <w:iCs/>
        </w:rPr>
        <w:t>.)</w:t>
      </w:r>
    </w:p>
    <w:p w14:paraId="1B2BB30C" w14:textId="77777777" w:rsidR="009102D8" w:rsidRDefault="009102D8" w:rsidP="00E648E5">
      <w:pPr>
        <w:pStyle w:val="NormalBold24a"/>
        <w:jc w:val="center"/>
      </w:pPr>
    </w:p>
    <w:sectPr w:rsidR="009102D8" w:rsidSect="007615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55BEE" w14:textId="77777777" w:rsidR="00F06504" w:rsidRPr="00761557" w:rsidRDefault="00F06504">
      <w:r w:rsidRPr="00761557">
        <w:separator/>
      </w:r>
    </w:p>
  </w:endnote>
  <w:endnote w:type="continuationSeparator" w:id="0">
    <w:p w14:paraId="1B1154C1" w14:textId="77777777" w:rsidR="00F06504" w:rsidRPr="00761557" w:rsidRDefault="00F06504">
      <w:r w:rsidRPr="007615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A14E6" w14:textId="77777777" w:rsidR="00535252" w:rsidRPr="00761557" w:rsidRDefault="00535252" w:rsidP="00B5050A">
    <w:pPr>
      <w:pStyle w:val="EPFooter"/>
    </w:pPr>
    <w:r w:rsidRPr="00761557">
      <w:t>PE</w:t>
    </w:r>
    <w:r w:rsidRPr="00761557">
      <w:rPr>
        <w:rStyle w:val="HideTWBExt"/>
      </w:rPr>
      <w:t>&lt;NoPE&gt;</w:t>
    </w:r>
    <w:r w:rsidRPr="00761557">
      <w:t>774.284</w:t>
    </w:r>
    <w:r w:rsidRPr="00761557">
      <w:rPr>
        <w:rStyle w:val="HideTWBExt"/>
      </w:rPr>
      <w:t>&lt;/NoPE&gt;&lt;Version&gt;</w:t>
    </w:r>
    <w:r w:rsidRPr="00761557">
      <w:t>v02-00</w:t>
    </w:r>
    <w:r w:rsidRPr="00761557">
      <w:rPr>
        <w:rStyle w:val="HideTWBExt"/>
      </w:rPr>
      <w:t>&lt;/Version&gt;</w:t>
    </w:r>
    <w:r w:rsidRPr="00761557">
      <w:tab/>
    </w:r>
    <w:r w:rsidRPr="00761557">
      <w:fldChar w:fldCharType="begin"/>
    </w:r>
    <w:r w:rsidRPr="00761557">
      <w:instrText xml:space="preserve"> PAGE  \* MERGEFORMAT </w:instrText>
    </w:r>
    <w:r w:rsidRPr="00761557">
      <w:fldChar w:fldCharType="separate"/>
    </w:r>
    <w:r w:rsidRPr="00761557">
      <w:rPr>
        <w:noProof/>
      </w:rPr>
      <w:t>14</w:t>
    </w:r>
    <w:r w:rsidRPr="00761557">
      <w:fldChar w:fldCharType="end"/>
    </w:r>
    <w:r w:rsidRPr="00761557">
      <w:t>/</w:t>
    </w:r>
    <w:r w:rsidR="009102D8">
      <w:fldChar w:fldCharType="begin"/>
    </w:r>
    <w:r w:rsidR="009102D8">
      <w:instrText xml:space="preserve"> NUMPAGES  \* MERGEFORMAT </w:instrText>
    </w:r>
    <w:r w:rsidR="009102D8">
      <w:fldChar w:fldCharType="separate"/>
    </w:r>
    <w:r w:rsidRPr="00761557">
      <w:rPr>
        <w:noProof/>
      </w:rPr>
      <w:t>17</w:t>
    </w:r>
    <w:r w:rsidR="009102D8">
      <w:rPr>
        <w:noProof/>
      </w:rPr>
      <w:fldChar w:fldCharType="end"/>
    </w:r>
    <w:r w:rsidRPr="00761557">
      <w:tab/>
    </w:r>
    <w:r w:rsidRPr="00761557">
      <w:rPr>
        <w:rStyle w:val="HideTWBExt"/>
      </w:rPr>
      <w:t>&lt;PathFdR&gt;</w:t>
    </w:r>
    <w:r w:rsidRPr="00761557">
      <w:t>RR\1323790SK.docx</w:t>
    </w:r>
    <w:r w:rsidRPr="00761557">
      <w:rPr>
        <w:rStyle w:val="HideTWBExt"/>
      </w:rPr>
      <w:t>&lt;/PathFdR&gt;</w:t>
    </w:r>
  </w:p>
  <w:p w14:paraId="2380B3E4" w14:textId="77777777" w:rsidR="00535252" w:rsidRPr="00761557" w:rsidRDefault="00535252" w:rsidP="00B5050A">
    <w:pPr>
      <w:pStyle w:val="EPFooter2"/>
    </w:pPr>
    <w:r w:rsidRPr="0076155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28565" w14:textId="77777777" w:rsidR="00535252" w:rsidRPr="00761557" w:rsidRDefault="00535252" w:rsidP="00B5050A">
    <w:pPr>
      <w:pStyle w:val="EPFooter"/>
    </w:pPr>
    <w:r w:rsidRPr="00761557">
      <w:rPr>
        <w:rStyle w:val="HideTWBExt"/>
      </w:rPr>
      <w:t>&lt;PathFdR&gt;</w:t>
    </w:r>
    <w:r w:rsidRPr="00761557">
      <w:t>RR\1323790SK.docx</w:t>
    </w:r>
    <w:r w:rsidRPr="00761557">
      <w:rPr>
        <w:rStyle w:val="HideTWBExt"/>
      </w:rPr>
      <w:t>&lt;/PathFdR&gt;</w:t>
    </w:r>
    <w:r w:rsidRPr="00761557">
      <w:tab/>
    </w:r>
    <w:r w:rsidRPr="00761557">
      <w:tab/>
      <w:t>PE</w:t>
    </w:r>
    <w:r w:rsidRPr="00761557">
      <w:rPr>
        <w:rStyle w:val="HideTWBExt"/>
      </w:rPr>
      <w:t>&lt;NoPE&gt;</w:t>
    </w:r>
    <w:r w:rsidRPr="00761557">
      <w:t>774.284</w:t>
    </w:r>
    <w:r w:rsidRPr="00761557">
      <w:rPr>
        <w:rStyle w:val="HideTWBExt"/>
      </w:rPr>
      <w:t>&lt;/NoPE&gt;&lt;Version&gt;</w:t>
    </w:r>
    <w:r w:rsidRPr="00761557">
      <w:t>v02-00</w:t>
    </w:r>
    <w:r w:rsidRPr="00761557">
      <w:rPr>
        <w:rStyle w:val="HideTWBExt"/>
      </w:rPr>
      <w:t>&lt;/Version&gt;</w:t>
    </w:r>
  </w:p>
  <w:p w14:paraId="26C448A9" w14:textId="77777777" w:rsidR="00535252" w:rsidRPr="00761557" w:rsidRDefault="00535252" w:rsidP="00B5050A">
    <w:pPr>
      <w:pStyle w:val="EPFooter2"/>
    </w:pPr>
    <w:r w:rsidRPr="00761557">
      <w:t>SK</w:t>
    </w:r>
    <w:r w:rsidRPr="00761557">
      <w:tab/>
    </w:r>
    <w:r w:rsidRPr="00761557">
      <w:rPr>
        <w:b w:val="0"/>
        <w:i/>
        <w:color w:val="C0C0C0"/>
        <w:sz w:val="22"/>
      </w:rPr>
      <w:t>Zjednotení v rozmanitosti</w:t>
    </w:r>
    <w:r w:rsidRPr="0076155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370EB" w14:textId="77777777" w:rsidR="00064002" w:rsidRPr="0076155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6D26" w14:textId="77777777" w:rsidR="00064002" w:rsidRPr="0076155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F249" w14:textId="77777777" w:rsidR="00064002" w:rsidRPr="007615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AFDEE" w14:textId="77777777" w:rsidR="00F06504" w:rsidRPr="00761557" w:rsidRDefault="00F06504">
      <w:r w:rsidRPr="00761557">
        <w:separator/>
      </w:r>
    </w:p>
  </w:footnote>
  <w:footnote w:type="continuationSeparator" w:id="0">
    <w:p w14:paraId="44240F8B" w14:textId="77777777" w:rsidR="00F06504" w:rsidRPr="00761557" w:rsidRDefault="00F06504">
      <w:r w:rsidRPr="00761557">
        <w:continuationSeparator/>
      </w:r>
    </w:p>
  </w:footnote>
  <w:footnote w:id="1">
    <w:p w14:paraId="26071FD2" w14:textId="27807CA4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 xml:space="preserve">Ú. v. ES L 311, 14.11.2002, s. 3, ELI: </w:t>
      </w:r>
      <w:hyperlink r:id="rId1" w:history="1">
        <w:r w:rsidRPr="00E648E5">
          <w:rPr>
            <w:rStyle w:val="Hyperlink"/>
            <w:sz w:val="24"/>
            <w:lang w:val="sk-SK"/>
          </w:rPr>
          <w:t>http://data.europa.eu/eli/reg/2002/2012/oj</w:t>
        </w:r>
      </w:hyperlink>
      <w:r w:rsidRPr="00E648E5">
        <w:rPr>
          <w:sz w:val="24"/>
          <w:lang w:val="sk-SK"/>
        </w:rPr>
        <w:t>.</w:t>
      </w:r>
    </w:p>
  </w:footnote>
  <w:footnote w:id="2">
    <w:p w14:paraId="7A5C8038" w14:textId="64D8C303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 xml:space="preserve">Ú. v. EÚ L 433 I, 22.12.2020, s. </w:t>
      </w:r>
      <w:r w:rsidRPr="00E648E5">
        <w:rPr>
          <w:sz w:val="24"/>
          <w:lang w:val="sk-SK"/>
        </w:rPr>
        <w:t xml:space="preserve">11, ELI: </w:t>
      </w:r>
      <w:hyperlink r:id="rId2" w:history="1">
        <w:r w:rsidRPr="00E648E5">
          <w:rPr>
            <w:rStyle w:val="Hyperlink"/>
            <w:sz w:val="24"/>
            <w:lang w:val="sk-SK"/>
          </w:rPr>
          <w:t>http://data.europa.eu/eli/reg/2020/2093/oj</w:t>
        </w:r>
      </w:hyperlink>
      <w:r w:rsidRPr="00E648E5">
        <w:rPr>
          <w:sz w:val="24"/>
          <w:lang w:val="sk-SK"/>
        </w:rPr>
        <w:t>.</w:t>
      </w:r>
    </w:p>
  </w:footnote>
  <w:footnote w:id="3">
    <w:p w14:paraId="49AFE8BE" w14:textId="1FB981FE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 xml:space="preserve">Ú. v. EÚ L 433 I, 22.12.2020, s. </w:t>
      </w:r>
      <w:r w:rsidRPr="00E648E5">
        <w:rPr>
          <w:sz w:val="24"/>
          <w:lang w:val="sk-SK"/>
        </w:rPr>
        <w:t xml:space="preserve">28, ELI: </w:t>
      </w:r>
      <w:hyperlink r:id="rId3" w:history="1">
        <w:r w:rsidRPr="00E648E5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E648E5">
        <w:rPr>
          <w:sz w:val="24"/>
          <w:lang w:val="sk-SK"/>
        </w:rPr>
        <w:t>.</w:t>
      </w:r>
    </w:p>
  </w:footnote>
  <w:footnote w:id="4">
    <w:p w14:paraId="7C80995C" w14:textId="2266EC4D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 xml:space="preserve">Ú. v. EÚ L 231, 30.6.2021, s. </w:t>
      </w:r>
      <w:r w:rsidRPr="00E648E5">
        <w:rPr>
          <w:sz w:val="24"/>
          <w:lang w:val="sk-SK"/>
        </w:rPr>
        <w:t xml:space="preserve">60, ELI: </w:t>
      </w:r>
      <w:hyperlink r:id="rId4" w:history="1">
        <w:r w:rsidRPr="00E648E5">
          <w:rPr>
            <w:rStyle w:val="Hyperlink"/>
            <w:sz w:val="24"/>
            <w:lang w:val="sk-SK"/>
          </w:rPr>
          <w:t>http://data.europa.eu/eli/reg/2021/1058/oj</w:t>
        </w:r>
      </w:hyperlink>
      <w:r w:rsidRPr="00E648E5">
        <w:rPr>
          <w:sz w:val="24"/>
          <w:lang w:val="sk-SK"/>
        </w:rPr>
        <w:t>.</w:t>
      </w:r>
    </w:p>
  </w:footnote>
  <w:footnote w:id="5">
    <w:p w14:paraId="6C88648B" w14:textId="235550CA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 xml:space="preserve">Ú. v. EÚ L 231, 30.6.2021, s. </w:t>
      </w:r>
      <w:r w:rsidRPr="00E648E5">
        <w:rPr>
          <w:sz w:val="24"/>
          <w:lang w:val="sk-SK"/>
        </w:rPr>
        <w:t xml:space="preserve">21, ELI: </w:t>
      </w:r>
      <w:hyperlink r:id="rId5" w:history="1">
        <w:r w:rsidRPr="00E648E5">
          <w:rPr>
            <w:rStyle w:val="Hyperlink"/>
            <w:sz w:val="24"/>
            <w:lang w:val="sk-SK"/>
          </w:rPr>
          <w:t>http://data.europa.eu/eli/reg/2021/1057/oj</w:t>
        </w:r>
      </w:hyperlink>
      <w:r w:rsidRPr="00E648E5">
        <w:rPr>
          <w:sz w:val="24"/>
          <w:lang w:val="sk-SK"/>
        </w:rPr>
        <w:t>.</w:t>
      </w:r>
    </w:p>
  </w:footnote>
  <w:footnote w:id="6">
    <w:p w14:paraId="478607BB" w14:textId="48E440B5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 xml:space="preserve">Ú. v. EÚ L 435, 6.12.2021, s. </w:t>
      </w:r>
      <w:r w:rsidRPr="00E648E5">
        <w:rPr>
          <w:sz w:val="24"/>
          <w:lang w:val="sk-SK"/>
        </w:rPr>
        <w:t xml:space="preserve">1, ELI: </w:t>
      </w:r>
      <w:hyperlink r:id="rId6" w:history="1">
        <w:r w:rsidRPr="00E648E5">
          <w:rPr>
            <w:rStyle w:val="Hyperlink"/>
            <w:sz w:val="24"/>
            <w:lang w:val="sk-SK"/>
          </w:rPr>
          <w:t>http://data.europa.eu/eli/reg/2021/2115/oj</w:t>
        </w:r>
      </w:hyperlink>
      <w:r w:rsidRPr="00E648E5">
        <w:rPr>
          <w:rStyle w:val="Hyperlink"/>
          <w:sz w:val="24"/>
          <w:lang w:val="sk-SK"/>
        </w:rPr>
        <w:t>.</w:t>
      </w:r>
      <w:r w:rsidRPr="00E648E5">
        <w:rPr>
          <w:sz w:val="24"/>
          <w:lang w:val="sk-SK"/>
        </w:rPr>
        <w:t xml:space="preserve"> </w:t>
      </w:r>
    </w:p>
  </w:footnote>
  <w:footnote w:id="7">
    <w:p w14:paraId="7BE365AD" w14:textId="6848B48A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>Prijaté texty, P9_TA(2024)0082.</w:t>
      </w:r>
    </w:p>
  </w:footnote>
  <w:footnote w:id="8">
    <w:p w14:paraId="118B6133" w14:textId="0AC5EDAD" w:rsidR="00AF109C" w:rsidRPr="00E648E5" w:rsidRDefault="00AF109C" w:rsidP="00AF109C">
      <w:pPr>
        <w:pStyle w:val="FootnoteText"/>
        <w:ind w:left="567" w:hanging="567"/>
        <w:rPr>
          <w:sz w:val="24"/>
          <w:szCs w:val="24"/>
          <w:lang w:val="hr-HR"/>
        </w:rPr>
      </w:pPr>
      <w:r w:rsidRPr="00E648E5">
        <w:rPr>
          <w:rStyle w:val="FootnoteReference"/>
          <w:sz w:val="24"/>
          <w:szCs w:val="24"/>
        </w:rPr>
        <w:footnoteRef/>
      </w:r>
      <w:r w:rsidRPr="00E648E5">
        <w:rPr>
          <w:sz w:val="24"/>
          <w:szCs w:val="24"/>
          <w:lang w:val="sk-SK"/>
        </w:rPr>
        <w:t xml:space="preserve"> </w:t>
      </w:r>
      <w:r w:rsidRPr="00E648E5">
        <w:rPr>
          <w:sz w:val="24"/>
          <w:szCs w:val="24"/>
          <w:lang w:val="hr-HR"/>
        </w:rPr>
        <w:tab/>
      </w:r>
      <w:r w:rsidRPr="00E648E5">
        <w:rPr>
          <w:sz w:val="24"/>
          <w:lang w:val="sk-SK"/>
        </w:rPr>
        <w:t xml:space="preserve">Ú. v. </w:t>
      </w:r>
      <w:r w:rsidRPr="00E648E5">
        <w:rPr>
          <w:sz w:val="24"/>
          <w:lang w:val="sk-SK"/>
        </w:rPr>
        <w:t xml:space="preserve">EÚ </w:t>
      </w:r>
      <w:r w:rsidRPr="00E648E5">
        <w:rPr>
          <w:sz w:val="24"/>
          <w:szCs w:val="24"/>
          <w:lang w:val="hr-HR"/>
        </w:rPr>
        <w:t xml:space="preserve">L, 2024/3236, 23.12.2024, ELI: </w:t>
      </w:r>
      <w:hyperlink r:id="rId7" w:history="1">
        <w:r w:rsidRPr="00E648E5">
          <w:rPr>
            <w:rStyle w:val="Hyperlink"/>
            <w:sz w:val="24"/>
            <w:szCs w:val="24"/>
            <w:lang w:val="sk-SK"/>
          </w:rPr>
          <w:t>http://data.europa.eu/eli/reg/2024/3236/oj</w:t>
        </w:r>
      </w:hyperlink>
      <w:r w:rsidRPr="00E648E5">
        <w:rPr>
          <w:sz w:val="24"/>
          <w:szCs w:val="24"/>
          <w:lang w:val="hr-HR"/>
        </w:rPr>
        <w:t>.</w:t>
      </w:r>
    </w:p>
  </w:footnote>
  <w:footnote w:id="9">
    <w:p w14:paraId="3E3D6FEC" w14:textId="6127C0CA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hyperlink r:id="rId8" w:history="1">
        <w:r w:rsidRPr="00E648E5">
          <w:rPr>
            <w:rStyle w:val="Hyperlink"/>
            <w:sz w:val="24"/>
            <w:lang w:val="sk-SK"/>
          </w:rPr>
          <w:t>https://www.eea.europa.eu/publications/european-climate-risk-assessment</w:t>
        </w:r>
      </w:hyperlink>
      <w:r w:rsidRPr="00E648E5">
        <w:rPr>
          <w:sz w:val="24"/>
          <w:lang w:val="sk-SK"/>
        </w:rPr>
        <w:t xml:space="preserve"> </w:t>
      </w:r>
    </w:p>
  </w:footnote>
  <w:footnote w:id="10">
    <w:p w14:paraId="55FB736B" w14:textId="4496B99E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 xml:space="preserve">Služba monitorovania zmeny klímy programu </w:t>
      </w:r>
      <w:proofErr w:type="spellStart"/>
      <w:r w:rsidRPr="00E648E5">
        <w:rPr>
          <w:sz w:val="24"/>
          <w:lang w:val="sk-SK"/>
        </w:rPr>
        <w:t>Copernicus</w:t>
      </w:r>
      <w:proofErr w:type="spellEnd"/>
      <w:r w:rsidRPr="00E648E5">
        <w:rPr>
          <w:sz w:val="24"/>
          <w:lang w:val="sk-SK"/>
        </w:rPr>
        <w:t xml:space="preserve"> (C3S) a Svetová meteorologická organizácia (WMO), 2025: Stav klímy v Európe v roku 2024, climate.copernicus.eu/ESOTC/2024, doi.org/10.24381/14j9-s541.</w:t>
      </w:r>
    </w:p>
  </w:footnote>
  <w:footnote w:id="11">
    <w:p w14:paraId="2A87C30A" w14:textId="09239AED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Pr="00E648E5">
        <w:rPr>
          <w:sz w:val="24"/>
          <w:lang w:val="sk-SK"/>
        </w:rPr>
        <w:t>Nariadenie Európskeho parlamentu a Rady (EÚ) 2021/241 z 12. februára 2021, ktorým sa zriaďuje Mechanizmus na podporu obnovy a odolnosti (Ú. v. EÚ L 57, 18.2.2021, s. </w:t>
      </w:r>
      <w:r w:rsidRPr="00E648E5">
        <w:rPr>
          <w:sz w:val="24"/>
          <w:lang w:val="sk-SK"/>
        </w:rPr>
        <w:t xml:space="preserve">17, </w:t>
      </w:r>
      <w:r w:rsidRPr="00E648E5">
        <w:rPr>
          <w:color w:val="333333"/>
          <w:sz w:val="24"/>
          <w:shd w:val="clear" w:color="auto" w:fill="FFFFFF"/>
          <w:lang w:val="sk-SK"/>
        </w:rPr>
        <w:t>ELI: </w:t>
      </w:r>
      <w:hyperlink r:id="rId9" w:tooltip="Umožňuje prístup k tomuto dokumentu prostredníctvom identifikátora URI používaného v rámci ELI." w:history="1">
        <w:r w:rsidRPr="00E648E5">
          <w:rPr>
            <w:color w:val="23527C"/>
            <w:sz w:val="24"/>
            <w:u w:val="single"/>
            <w:shd w:val="clear" w:color="auto" w:fill="FFFFFF"/>
            <w:lang w:val="sk-SK"/>
          </w:rPr>
          <w:t>http://data.europa.eu/eli/reg/2021/241/oj</w:t>
        </w:r>
      </w:hyperlink>
      <w:r w:rsidRPr="00E648E5">
        <w:rPr>
          <w:sz w:val="24"/>
          <w:lang w:val="sk-SK"/>
        </w:rPr>
        <w:t>).</w:t>
      </w:r>
    </w:p>
  </w:footnote>
  <w:footnote w:id="12">
    <w:p w14:paraId="2865F9D1" w14:textId="6D5152FF" w:rsidR="00535252" w:rsidRPr="00E648E5" w:rsidRDefault="00535252" w:rsidP="00761557">
      <w:pPr>
        <w:pStyle w:val="FootnoteText"/>
        <w:ind w:left="567" w:hanging="567"/>
        <w:rPr>
          <w:sz w:val="24"/>
          <w:lang w:val="sk-SK"/>
        </w:rPr>
      </w:pPr>
      <w:r w:rsidRPr="00E648E5">
        <w:rPr>
          <w:rStyle w:val="FootnoteReference"/>
          <w:sz w:val="24"/>
          <w:lang w:val="sk-SK"/>
        </w:rPr>
        <w:footnoteRef/>
      </w:r>
      <w:r w:rsidR="00761557" w:rsidRPr="00E648E5">
        <w:rPr>
          <w:sz w:val="24"/>
          <w:lang w:val="sk-SK"/>
        </w:rPr>
        <w:t xml:space="preserve"> </w:t>
      </w:r>
      <w:r w:rsidR="00761557" w:rsidRPr="00E648E5">
        <w:rPr>
          <w:sz w:val="24"/>
          <w:lang w:val="sk-SK"/>
        </w:rPr>
        <w:tab/>
      </w:r>
      <w:r w:rsidR="000A19C2" w:rsidRPr="00E648E5">
        <w:rPr>
          <w:sz w:val="24"/>
          <w:lang w:val="sk-SK"/>
        </w:rPr>
        <w:t>Nariadenie Európskeho parlamentu a Rady (EÚ) 2024/3242 z 19. decembra 2024, ktorým sa mení nariadenie (EÚ) 2020/2220, pokiaľ ide o osobitné opatrenia v rámci Európskeho poľnohospodárskeho fondu pre rozvoj vidieka na poskytovanie dodatočnej pomoci členským štátom zasiahnutým prírodnými katastrofami (</w:t>
      </w:r>
      <w:r w:rsidRPr="00E648E5">
        <w:rPr>
          <w:sz w:val="24"/>
          <w:lang w:val="sk-SK"/>
        </w:rPr>
        <w:t xml:space="preserve">Ú. v. </w:t>
      </w:r>
      <w:r w:rsidRPr="00E648E5">
        <w:rPr>
          <w:sz w:val="24"/>
          <w:lang w:val="sk-SK"/>
        </w:rPr>
        <w:t xml:space="preserve">EÚ L, 2024/3242, 23.12.2024, ELI: </w:t>
      </w:r>
      <w:hyperlink r:id="rId10" w:history="1">
        <w:r w:rsidRPr="00E648E5">
          <w:rPr>
            <w:rStyle w:val="Hyperlink"/>
            <w:sz w:val="24"/>
            <w:lang w:val="sk-SK"/>
          </w:rPr>
          <w:t>http://data.europa.eu/eli/reg/2024/3242/oj</w:t>
        </w:r>
      </w:hyperlink>
      <w:r w:rsidR="000A19C2" w:rsidRPr="00E648E5">
        <w:rPr>
          <w:sz w:val="24"/>
          <w:lang w:val="sk-SK"/>
        </w:rPr>
        <w:t>)</w:t>
      </w:r>
      <w:r w:rsidR="00EC2569" w:rsidRPr="00E648E5">
        <w:rPr>
          <w:sz w:val="24"/>
          <w:lang w:val="sk-SK"/>
        </w:rPr>
        <w:t>.</w:t>
      </w:r>
      <w:r w:rsidRPr="00E648E5">
        <w:rPr>
          <w:sz w:val="24"/>
          <w:lang w:val="sk-S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367B7" w14:textId="77777777" w:rsidR="00064002" w:rsidRPr="007615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5F64" w14:textId="77777777" w:rsidR="00064002" w:rsidRPr="007615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BCF43" w14:textId="77777777" w:rsidR="00064002" w:rsidRPr="007615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44135427">
    <w:abstractNumId w:val="9"/>
  </w:num>
  <w:num w:numId="2" w16cid:durableId="94176785">
    <w:abstractNumId w:val="9"/>
  </w:num>
  <w:num w:numId="3" w16cid:durableId="94790320">
    <w:abstractNumId w:val="7"/>
  </w:num>
  <w:num w:numId="4" w16cid:durableId="1514225105">
    <w:abstractNumId w:val="7"/>
  </w:num>
  <w:num w:numId="5" w16cid:durableId="293298329">
    <w:abstractNumId w:val="6"/>
  </w:num>
  <w:num w:numId="6" w16cid:durableId="337584839">
    <w:abstractNumId w:val="6"/>
  </w:num>
  <w:num w:numId="7" w16cid:durableId="1987582389">
    <w:abstractNumId w:val="5"/>
  </w:num>
  <w:num w:numId="8" w16cid:durableId="362095080">
    <w:abstractNumId w:val="5"/>
  </w:num>
  <w:num w:numId="9" w16cid:durableId="540166299">
    <w:abstractNumId w:val="4"/>
  </w:num>
  <w:num w:numId="10" w16cid:durableId="1975013941">
    <w:abstractNumId w:val="4"/>
  </w:num>
  <w:num w:numId="11" w16cid:durableId="344870856">
    <w:abstractNumId w:val="8"/>
  </w:num>
  <w:num w:numId="12" w16cid:durableId="801726017">
    <w:abstractNumId w:val="8"/>
  </w:num>
  <w:num w:numId="13" w16cid:durableId="474759599">
    <w:abstractNumId w:val="3"/>
  </w:num>
  <w:num w:numId="14" w16cid:durableId="1308242810">
    <w:abstractNumId w:val="3"/>
  </w:num>
  <w:num w:numId="15" w16cid:durableId="1166440134">
    <w:abstractNumId w:val="2"/>
  </w:num>
  <w:num w:numId="16" w16cid:durableId="1603416815">
    <w:abstractNumId w:val="2"/>
  </w:num>
  <w:num w:numId="17" w16cid:durableId="1341657936">
    <w:abstractNumId w:val="1"/>
  </w:num>
  <w:num w:numId="18" w16cid:durableId="1314602260">
    <w:abstractNumId w:val="1"/>
  </w:num>
  <w:num w:numId="19" w16cid:durableId="47148828">
    <w:abstractNumId w:val="0"/>
  </w:num>
  <w:num w:numId="20" w16cid:durableId="890116557">
    <w:abstractNumId w:val="0"/>
  </w:num>
  <w:num w:numId="21" w16cid:durableId="372535708">
    <w:abstractNumId w:val="9"/>
  </w:num>
  <w:num w:numId="22" w16cid:durableId="913009717">
    <w:abstractNumId w:val="7"/>
  </w:num>
  <w:num w:numId="23" w16cid:durableId="1947272380">
    <w:abstractNumId w:val="6"/>
  </w:num>
  <w:num w:numId="24" w16cid:durableId="2036690794">
    <w:abstractNumId w:val="5"/>
  </w:num>
  <w:num w:numId="25" w16cid:durableId="1042092877">
    <w:abstractNumId w:val="4"/>
  </w:num>
  <w:num w:numId="26" w16cid:durableId="1115711022">
    <w:abstractNumId w:val="8"/>
  </w:num>
  <w:num w:numId="27" w16cid:durableId="1879928050">
    <w:abstractNumId w:val="3"/>
  </w:num>
  <w:num w:numId="28" w16cid:durableId="41907749">
    <w:abstractNumId w:val="2"/>
  </w:num>
  <w:num w:numId="29" w16cid:durableId="1956398314">
    <w:abstractNumId w:val="1"/>
  </w:num>
  <w:num w:numId="30" w16cid:durableId="527328576">
    <w:abstractNumId w:val="0"/>
  </w:num>
  <w:num w:numId="31" w16cid:durableId="655186862">
    <w:abstractNumId w:val="9"/>
  </w:num>
  <w:num w:numId="32" w16cid:durableId="1454329755">
    <w:abstractNumId w:val="7"/>
  </w:num>
  <w:num w:numId="33" w16cid:durableId="817721232">
    <w:abstractNumId w:val="6"/>
  </w:num>
  <w:num w:numId="34" w16cid:durableId="1952973555">
    <w:abstractNumId w:val="5"/>
  </w:num>
  <w:num w:numId="35" w16cid:durableId="1453398708">
    <w:abstractNumId w:val="4"/>
  </w:num>
  <w:num w:numId="36" w16cid:durableId="1341394733">
    <w:abstractNumId w:val="8"/>
  </w:num>
  <w:num w:numId="37" w16cid:durableId="5132173">
    <w:abstractNumId w:val="3"/>
  </w:num>
  <w:num w:numId="38" w16cid:durableId="1524974931">
    <w:abstractNumId w:val="2"/>
  </w:num>
  <w:num w:numId="39" w16cid:durableId="25831701">
    <w:abstractNumId w:val="1"/>
  </w:num>
  <w:num w:numId="40" w16cid:durableId="167214516">
    <w:abstractNumId w:val="0"/>
  </w:num>
  <w:num w:numId="41" w16cid:durableId="719402773">
    <w:abstractNumId w:val="10"/>
  </w:num>
  <w:num w:numId="42" w16cid:durableId="2026981624">
    <w:abstractNumId w:val="10"/>
  </w:num>
  <w:num w:numId="43" w16cid:durableId="1151021315">
    <w:abstractNumId w:val="10"/>
  </w:num>
  <w:num w:numId="44" w16cid:durableId="350685312">
    <w:abstractNumId w:val="12"/>
  </w:num>
  <w:num w:numId="45" w16cid:durableId="5684611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3774753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4/2025"/>
    <w:docVar w:name="dvlangue" w:val="SK"/>
    <w:docVar w:name="dvnumam" w:val="0"/>
    <w:docVar w:name="dvpe" w:val="774.284"/>
    <w:docVar w:name="dvrapporteur" w:val="Spravodajca: "/>
    <w:docVar w:name="dvtitre" w:val="Uznesenie Európskeho parlamentu z xx. júla 2025 o návrhu rozhodnutia Európskeho parlamentu a Rady o mobilizácii Fondu solidarity Európskej únie na účely poskytnutia pomoci Rakúsku, Poľsku, Česku, Slovensku a Moldavsku v súvislosti s povodňami, ku ktorým došlo v septembri 2024, a Bosne a Hercegovine v súvislosti s povodňami, ku ktorým došlo v októbri 2024(COM(2025)0250 – C10-0102/2025 – 2025/0138(BUD))"/>
  </w:docVars>
  <w:rsids>
    <w:rsidRoot w:val="00F06504"/>
    <w:rsid w:val="00002272"/>
    <w:rsid w:val="00064002"/>
    <w:rsid w:val="000677B9"/>
    <w:rsid w:val="000831BA"/>
    <w:rsid w:val="000A19C2"/>
    <w:rsid w:val="000A42CC"/>
    <w:rsid w:val="000E7DD9"/>
    <w:rsid w:val="0010095E"/>
    <w:rsid w:val="00125B37"/>
    <w:rsid w:val="00187494"/>
    <w:rsid w:val="001F32AE"/>
    <w:rsid w:val="002177DD"/>
    <w:rsid w:val="002767FF"/>
    <w:rsid w:val="002B18FE"/>
    <w:rsid w:val="002B5493"/>
    <w:rsid w:val="003076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252"/>
    <w:rsid w:val="00545827"/>
    <w:rsid w:val="00560270"/>
    <w:rsid w:val="005C2568"/>
    <w:rsid w:val="005F1B17"/>
    <w:rsid w:val="006037C0"/>
    <w:rsid w:val="006631B6"/>
    <w:rsid w:val="00680577"/>
    <w:rsid w:val="006F74FA"/>
    <w:rsid w:val="00702716"/>
    <w:rsid w:val="00731ADD"/>
    <w:rsid w:val="00734777"/>
    <w:rsid w:val="00747932"/>
    <w:rsid w:val="00751A4A"/>
    <w:rsid w:val="00756632"/>
    <w:rsid w:val="00761557"/>
    <w:rsid w:val="00762C74"/>
    <w:rsid w:val="00786EC0"/>
    <w:rsid w:val="007906A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2D8"/>
    <w:rsid w:val="00914993"/>
    <w:rsid w:val="00930C23"/>
    <w:rsid w:val="0093193B"/>
    <w:rsid w:val="009509D8"/>
    <w:rsid w:val="00950B64"/>
    <w:rsid w:val="00981893"/>
    <w:rsid w:val="009E4FE1"/>
    <w:rsid w:val="00A15B3D"/>
    <w:rsid w:val="00A1687D"/>
    <w:rsid w:val="00A43E52"/>
    <w:rsid w:val="00A4678D"/>
    <w:rsid w:val="00A50CA5"/>
    <w:rsid w:val="00A778C7"/>
    <w:rsid w:val="00AB441E"/>
    <w:rsid w:val="00AB6293"/>
    <w:rsid w:val="00AE0928"/>
    <w:rsid w:val="00AF109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751"/>
    <w:rsid w:val="00D058B8"/>
    <w:rsid w:val="00D50C64"/>
    <w:rsid w:val="00D56C11"/>
    <w:rsid w:val="00D834A0"/>
    <w:rsid w:val="00D872DF"/>
    <w:rsid w:val="00D91E21"/>
    <w:rsid w:val="00DA7FCD"/>
    <w:rsid w:val="00DF5ACC"/>
    <w:rsid w:val="00E21786"/>
    <w:rsid w:val="00E248C5"/>
    <w:rsid w:val="00E365E1"/>
    <w:rsid w:val="00E648E5"/>
    <w:rsid w:val="00E820A4"/>
    <w:rsid w:val="00EB006A"/>
    <w:rsid w:val="00EB4772"/>
    <w:rsid w:val="00EC2569"/>
    <w:rsid w:val="00ED169E"/>
    <w:rsid w:val="00ED4235"/>
    <w:rsid w:val="00F04346"/>
    <w:rsid w:val="00F06504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B0B0F"/>
  <w15:chartTrackingRefBased/>
  <w15:docId w15:val="{466718C3-7F0E-4849-81AE-00F3E42F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352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5352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3525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352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5252"/>
    <w:rPr>
      <w:sz w:val="24"/>
      <w:lang w:val="sk-SK"/>
    </w:rPr>
  </w:style>
  <w:style w:type="paragraph" w:customStyle="1" w:styleId="NormalBold24a">
    <w:name w:val="NormalBold24a"/>
    <w:basedOn w:val="Normal"/>
    <w:rsid w:val="00535252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5352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35252"/>
    <w:pPr>
      <w:spacing w:before="480" w:after="240"/>
    </w:pPr>
  </w:style>
  <w:style w:type="character" w:styleId="Hyperlink">
    <w:name w:val="Hyperlink"/>
    <w:basedOn w:val="DefaultParagraphFont"/>
    <w:uiPriority w:val="99"/>
    <w:rsid w:val="0053525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35252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53525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3525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3525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3525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3525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3525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Point0number">
    <w:name w:val="Point 0 (number)"/>
    <w:basedOn w:val="Normal"/>
    <w:rsid w:val="00535252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535252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535252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535252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535252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535252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535252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535252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535252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535252"/>
    <w:pPr>
      <w:widowControl/>
      <w:numPr>
        <w:numId w:val="46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535252"/>
    <w:rPr>
      <w:sz w:val="24"/>
      <w:lang w:val="sk-SK"/>
    </w:rPr>
  </w:style>
  <w:style w:type="paragraph" w:styleId="Footer">
    <w:name w:val="footer"/>
    <w:basedOn w:val="Normal"/>
    <w:link w:val="FooterChar"/>
    <w:rsid w:val="009149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14993"/>
    <w:rPr>
      <w:sz w:val="24"/>
      <w:lang w:val="sk-SK"/>
    </w:rPr>
  </w:style>
  <w:style w:type="paragraph" w:styleId="Revision">
    <w:name w:val="Revision"/>
    <w:hidden/>
    <w:uiPriority w:val="99"/>
    <w:semiHidden/>
    <w:rsid w:val="00914993"/>
    <w:rPr>
      <w:sz w:val="24"/>
      <w:lang w:val="sk-S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9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A19C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CF27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2751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a.europa.eu/publications/european-climate-risk-assessment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reg/2024/3236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1/2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01C2-CF78-4B2B-B7EC-335FFA941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1625</Words>
  <Characters>9832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2025-10-21T14:12:00Z</dcterms:created>
  <dcterms:modified xsi:type="dcterms:W3CDTF">2025-10-21T14:12:00Z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P10_TA(2025)0152_</vt:lpwstr>
  </property>
  <property fmtid="{D5CDD505-2E9C-101B-9397-08002B2CF9AE}" pid="4" name="&lt;Type&gt;">
    <vt:lpwstr>RR</vt:lpwstr>
  </property>
</Properties>
</file>