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81309" w14:paraId="087C151F" w14:textId="77777777" w:rsidTr="0010095E">
        <w:trPr>
          <w:trHeight w:hRule="exact" w:val="1418"/>
        </w:trPr>
        <w:tc>
          <w:tcPr>
            <w:tcW w:w="6804" w:type="dxa"/>
            <w:shd w:val="clear" w:color="auto" w:fill="auto"/>
            <w:vAlign w:val="center"/>
          </w:tcPr>
          <w:p w14:paraId="653FC803" w14:textId="77777777" w:rsidR="00751A4A" w:rsidRPr="00181309" w:rsidRDefault="00D748F6" w:rsidP="0010095E">
            <w:pPr>
              <w:pStyle w:val="EPName"/>
            </w:pPr>
            <w:r w:rsidRPr="00181309">
              <w:t>European Parliament</w:t>
            </w:r>
          </w:p>
          <w:p w14:paraId="5AE9179F" w14:textId="77777777" w:rsidR="00751A4A" w:rsidRPr="00181309" w:rsidRDefault="005F1B17" w:rsidP="005F1B17">
            <w:pPr>
              <w:pStyle w:val="EPTerm"/>
              <w:rPr>
                <w:rStyle w:val="HideTWBExt"/>
                <w:noProof w:val="0"/>
                <w:vanish w:val="0"/>
                <w:color w:val="auto"/>
              </w:rPr>
            </w:pPr>
            <w:r w:rsidRPr="00181309">
              <w:t>2024</w:t>
            </w:r>
            <w:r w:rsidR="00817416" w:rsidRPr="00181309">
              <w:t>-202</w:t>
            </w:r>
            <w:r w:rsidRPr="00181309">
              <w:t>9</w:t>
            </w:r>
          </w:p>
        </w:tc>
        <w:tc>
          <w:tcPr>
            <w:tcW w:w="2268" w:type="dxa"/>
            <w:shd w:val="clear" w:color="auto" w:fill="auto"/>
          </w:tcPr>
          <w:p w14:paraId="3B3C0441" w14:textId="77777777" w:rsidR="00751A4A" w:rsidRPr="00181309" w:rsidRDefault="00187494" w:rsidP="0010095E">
            <w:pPr>
              <w:pStyle w:val="EPLogo"/>
            </w:pPr>
            <w:r w:rsidRPr="00181309">
              <w:rPr>
                <w:noProof/>
              </w:rPr>
              <w:drawing>
                <wp:inline distT="0" distB="0" distL="0" distR="0" wp14:anchorId="28475748" wp14:editId="53EC3A8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B430222" w14:textId="77777777" w:rsidR="00D058B8" w:rsidRPr="00181309" w:rsidRDefault="00D058B8" w:rsidP="004C5D52">
      <w:pPr>
        <w:pStyle w:val="LineTop"/>
      </w:pPr>
    </w:p>
    <w:p w14:paraId="74B58AD8" w14:textId="77777777" w:rsidR="00680577" w:rsidRPr="00181309" w:rsidRDefault="00D748F6" w:rsidP="00680577">
      <w:pPr>
        <w:pStyle w:val="EPBodyTA1"/>
      </w:pPr>
      <w:r w:rsidRPr="00181309">
        <w:t>TEXTS ADOPTED</w:t>
      </w:r>
    </w:p>
    <w:p w14:paraId="739C7F05" w14:textId="77777777" w:rsidR="00D058B8" w:rsidRPr="00181309" w:rsidRDefault="00D058B8" w:rsidP="00D058B8">
      <w:pPr>
        <w:pStyle w:val="LineBottom"/>
      </w:pPr>
    </w:p>
    <w:p w14:paraId="55C1DB13" w14:textId="576A8EF6" w:rsidR="00D748F6" w:rsidRPr="00181309" w:rsidRDefault="00D748F6" w:rsidP="00D748F6">
      <w:pPr>
        <w:pStyle w:val="ATHeading1"/>
      </w:pPr>
      <w:bookmarkStart w:id="0" w:name="TANumber"/>
      <w:r w:rsidRPr="00181309">
        <w:t>P10_</w:t>
      </w:r>
      <w:proofErr w:type="gramStart"/>
      <w:r w:rsidRPr="00181309">
        <w:t>TA(</w:t>
      </w:r>
      <w:proofErr w:type="gramEnd"/>
      <w:r w:rsidRPr="00181309">
        <w:t>2025)0</w:t>
      </w:r>
      <w:bookmarkEnd w:id="0"/>
      <w:r w:rsidR="009571FC" w:rsidRPr="00181309">
        <w:t>153</w:t>
      </w:r>
    </w:p>
    <w:p w14:paraId="08FE5647" w14:textId="77777777" w:rsidR="00D748F6" w:rsidRPr="00181309" w:rsidRDefault="00D748F6" w:rsidP="00D748F6">
      <w:pPr>
        <w:pStyle w:val="ATHeading2"/>
      </w:pPr>
      <w:bookmarkStart w:id="1" w:name="title"/>
      <w:r w:rsidRPr="00181309">
        <w:t>Mobilisation of the European Globalisation Adjustment Fund: Application EGF/2025/000 TA 2025 - Technical assistance at the initiative of the Commission</w:t>
      </w:r>
      <w:bookmarkEnd w:id="1"/>
    </w:p>
    <w:p w14:paraId="20408443" w14:textId="77777777" w:rsidR="00D748F6" w:rsidRPr="00181309" w:rsidRDefault="00D748F6" w:rsidP="00D748F6">
      <w:pPr>
        <w:rPr>
          <w:i/>
          <w:vanish/>
        </w:rPr>
      </w:pPr>
      <w:r w:rsidRPr="00181309">
        <w:rPr>
          <w:i/>
        </w:rPr>
        <w:fldChar w:fldCharType="begin"/>
      </w:r>
      <w:r w:rsidRPr="00181309">
        <w:rPr>
          <w:i/>
        </w:rPr>
        <w:instrText xml:space="preserve"> TC"(</w:instrText>
      </w:r>
      <w:bookmarkStart w:id="2" w:name="DocNumber"/>
      <w:r w:rsidRPr="00181309">
        <w:rPr>
          <w:i/>
        </w:rPr>
        <w:instrText>A10-0115/2025</w:instrText>
      </w:r>
      <w:bookmarkEnd w:id="2"/>
      <w:r w:rsidRPr="00181309">
        <w:rPr>
          <w:i/>
        </w:rPr>
        <w:instrText xml:space="preserve"> - Rapporteur: Jean-Marc Germain)"\l3 \n&gt; \* MERGEFORMAT </w:instrText>
      </w:r>
      <w:r w:rsidRPr="00181309">
        <w:rPr>
          <w:i/>
        </w:rPr>
        <w:fldChar w:fldCharType="end"/>
      </w:r>
    </w:p>
    <w:p w14:paraId="661EC718" w14:textId="77777777" w:rsidR="00D748F6" w:rsidRPr="00181309" w:rsidRDefault="00D748F6" w:rsidP="00D748F6">
      <w:pPr>
        <w:rPr>
          <w:vanish/>
        </w:rPr>
      </w:pPr>
      <w:bookmarkStart w:id="3" w:name="Commission"/>
      <w:r w:rsidRPr="00181309">
        <w:rPr>
          <w:vanish/>
        </w:rPr>
        <w:t>Committee on Budgets</w:t>
      </w:r>
      <w:bookmarkEnd w:id="3"/>
    </w:p>
    <w:p w14:paraId="45C8CBDE" w14:textId="77777777" w:rsidR="00D748F6" w:rsidRPr="00181309" w:rsidRDefault="00D748F6" w:rsidP="00D748F6">
      <w:pPr>
        <w:rPr>
          <w:vanish/>
        </w:rPr>
      </w:pPr>
      <w:bookmarkStart w:id="4" w:name="PE"/>
      <w:r w:rsidRPr="00181309">
        <w:rPr>
          <w:vanish/>
        </w:rPr>
        <w:t>PE774.309</w:t>
      </w:r>
      <w:bookmarkEnd w:id="4"/>
    </w:p>
    <w:p w14:paraId="4341EFEC" w14:textId="77777777" w:rsidR="00D748F6" w:rsidRPr="00181309" w:rsidRDefault="00D748F6" w:rsidP="00D748F6">
      <w:pPr>
        <w:pStyle w:val="ATHeading3"/>
      </w:pPr>
      <w:bookmarkStart w:id="5" w:name="Sujet"/>
      <w:r w:rsidRPr="00181309">
        <w:t>European Parliament resolution of 9 July 2025 on the proposal for a decision of the European Parliament and of the Council on the mobilisation of the European Globalisation Adjustment Fund for Displaced Workers - EGF/2025/000 TA 2025 - Technical assistance at the initiative of the Commission</w:t>
      </w:r>
      <w:bookmarkEnd w:id="5"/>
      <w:r w:rsidRPr="00181309">
        <w:t xml:space="preserve"> </w:t>
      </w:r>
      <w:bookmarkStart w:id="6" w:name="References"/>
      <w:r w:rsidRPr="00181309">
        <w:t>(COM(2025)0680 – C10-0103/2025 – 2025/0135(BUD))</w:t>
      </w:r>
      <w:bookmarkEnd w:id="6"/>
    </w:p>
    <w:p w14:paraId="539DF644" w14:textId="77777777" w:rsidR="00ED54E8" w:rsidRPr="00181309" w:rsidRDefault="00ED54E8" w:rsidP="00ED54E8">
      <w:pPr>
        <w:pStyle w:val="EPComma"/>
        <w:rPr>
          <w:noProof/>
        </w:rPr>
      </w:pPr>
      <w:r w:rsidRPr="00181309">
        <w:rPr>
          <w:i/>
          <w:noProof/>
        </w:rPr>
        <w:t>The European Parliament</w:t>
      </w:r>
      <w:r w:rsidRPr="00181309">
        <w:rPr>
          <w:noProof/>
        </w:rPr>
        <w:t>,</w:t>
      </w:r>
    </w:p>
    <w:p w14:paraId="6DFD7E1E" w14:textId="77777777" w:rsidR="00ED54E8" w:rsidRPr="00181309" w:rsidRDefault="00ED54E8" w:rsidP="003C54CF">
      <w:pPr>
        <w:pStyle w:val="NormalHanging12a"/>
        <w:widowControl/>
        <w:rPr>
          <w:noProof/>
        </w:rPr>
      </w:pPr>
      <w:r w:rsidRPr="00181309">
        <w:rPr>
          <w:noProof/>
        </w:rPr>
        <w:t>–</w:t>
      </w:r>
      <w:r w:rsidRPr="00181309">
        <w:rPr>
          <w:noProof/>
        </w:rPr>
        <w:tab/>
        <w:t>having regard to the Commission proposal to the European Parliament and the Council (</w:t>
      </w:r>
      <w:proofErr w:type="gramStart"/>
      <w:r w:rsidRPr="00181309">
        <w:rPr>
          <w:noProof/>
        </w:rPr>
        <w:t>COM</w:t>
      </w:r>
      <w:r w:rsidRPr="00181309">
        <w:t>(</w:t>
      </w:r>
      <w:proofErr w:type="gramEnd"/>
      <w:r w:rsidRPr="00181309">
        <w:t>2025)0680</w:t>
      </w:r>
      <w:r w:rsidRPr="00181309">
        <w:rPr>
          <w:noProof/>
        </w:rPr>
        <w:t xml:space="preserve"> </w:t>
      </w:r>
      <w:r w:rsidRPr="00181309">
        <w:t>–</w:t>
      </w:r>
      <w:r w:rsidRPr="00181309">
        <w:rPr>
          <w:noProof/>
        </w:rPr>
        <w:t xml:space="preserve"> </w:t>
      </w:r>
      <w:r w:rsidRPr="00181309">
        <w:t>C10</w:t>
      </w:r>
      <w:r w:rsidRPr="00181309">
        <w:noBreakHyphen/>
        <w:t>0103/2025</w:t>
      </w:r>
      <w:r w:rsidRPr="00181309">
        <w:rPr>
          <w:noProof/>
        </w:rPr>
        <w:t>),</w:t>
      </w:r>
    </w:p>
    <w:p w14:paraId="30DC48EC" w14:textId="1C3DB86A" w:rsidR="00ED54E8" w:rsidRPr="00181309" w:rsidRDefault="00ED54E8" w:rsidP="003C54CF">
      <w:pPr>
        <w:pStyle w:val="NormalHanging12a"/>
        <w:widowControl/>
        <w:rPr>
          <w:noProof/>
        </w:rPr>
      </w:pPr>
      <w:r w:rsidRPr="00181309">
        <w:rPr>
          <w:noProof/>
        </w:rPr>
        <w:t>–</w:t>
      </w:r>
      <w:r w:rsidRPr="00181309">
        <w:rPr>
          <w:noProof/>
        </w:rPr>
        <w:tab/>
      </w:r>
      <w:r w:rsidRPr="00181309">
        <w:t>having regard to Regulation (EU) 2021/691 of the European Parliament and of the Council of 28 April 2021 on the European Globalisation Adjustment Fund for Displaced Workers (EGF) and repealing Regulation</w:t>
      </w:r>
      <w:r w:rsidR="00DC1811" w:rsidRPr="00181309">
        <w:t xml:space="preserve"> </w:t>
      </w:r>
      <w:r w:rsidRPr="00181309">
        <w:t xml:space="preserve">(EU) </w:t>
      </w:r>
      <w:r w:rsidR="008A30D7" w:rsidRPr="00181309">
        <w:t xml:space="preserve">No </w:t>
      </w:r>
      <w:r w:rsidRPr="00181309">
        <w:t>1309/2013</w:t>
      </w:r>
      <w:r w:rsidRPr="00181309">
        <w:rPr>
          <w:rStyle w:val="FootnoteReference"/>
        </w:rPr>
        <w:footnoteReference w:id="1"/>
      </w:r>
      <w:r w:rsidRPr="00181309">
        <w:t xml:space="preserve"> (“EGF Regulation”),</w:t>
      </w:r>
    </w:p>
    <w:p w14:paraId="0DE661AD" w14:textId="06D86AFE" w:rsidR="00ED54E8" w:rsidRPr="00181309" w:rsidRDefault="00ED54E8" w:rsidP="003C54CF">
      <w:pPr>
        <w:widowControl/>
        <w:spacing w:after="240"/>
        <w:ind w:left="567" w:hanging="567"/>
        <w:rPr>
          <w:noProof/>
        </w:rPr>
      </w:pPr>
      <w:r w:rsidRPr="00181309">
        <w:rPr>
          <w:noProof/>
        </w:rPr>
        <w:t>–</w:t>
      </w:r>
      <w:r w:rsidRPr="00181309">
        <w:rPr>
          <w:noProof/>
        </w:rPr>
        <w:tab/>
      </w:r>
      <w:r w:rsidRPr="00181309">
        <w:rPr>
          <w:snapToGrid w:val="0"/>
        </w:rPr>
        <w:t>having regard to Council Regulation (EU, Euratom)</w:t>
      </w:r>
      <w:r w:rsidR="008A30D7">
        <w:rPr>
          <w:snapToGrid w:val="0"/>
        </w:rPr>
        <w:t xml:space="preserve"> </w:t>
      </w:r>
      <w:r w:rsidRPr="00181309">
        <w:rPr>
          <w:snapToGrid w:val="0"/>
        </w:rPr>
        <w:t>2020/2093 of 17 December 2020 laying down the multiannual financial framework for the years 2021-2027</w:t>
      </w:r>
      <w:r w:rsidRPr="00181309">
        <w:rPr>
          <w:rStyle w:val="FootnoteReference"/>
          <w:snapToGrid w:val="0"/>
        </w:rPr>
        <w:footnoteReference w:id="2"/>
      </w:r>
      <w:r w:rsidRPr="00181309">
        <w:rPr>
          <w:snapToGrid w:val="0"/>
        </w:rPr>
        <w:t xml:space="preserve">, </w:t>
      </w:r>
      <w:r w:rsidRPr="00181309">
        <w:rPr>
          <w:snapToGrid w:val="0"/>
          <w:color w:val="000000"/>
          <w:bdr w:val="none" w:sz="0" w:space="0" w:color="auto" w:frame="1"/>
        </w:rPr>
        <w:t xml:space="preserve">as amended by Regulation (EU, Euratom) </w:t>
      </w:r>
      <w:r w:rsidRPr="00181309">
        <w:rPr>
          <w:snapToGrid w:val="0"/>
          <w:bdr w:val="none" w:sz="0" w:space="0" w:color="auto" w:frame="1"/>
        </w:rPr>
        <w:t>2024/765</w:t>
      </w:r>
      <w:r w:rsidRPr="00181309">
        <w:rPr>
          <w:rStyle w:val="FootnoteReference"/>
          <w:snapToGrid w:val="0"/>
          <w:bdr w:val="none" w:sz="0" w:space="0" w:color="auto" w:frame="1"/>
        </w:rPr>
        <w:footnoteReference w:id="3"/>
      </w:r>
      <w:r w:rsidRPr="00181309">
        <w:rPr>
          <w:snapToGrid w:val="0"/>
          <w:bdr w:val="none" w:sz="0" w:space="0" w:color="auto" w:frame="1"/>
        </w:rPr>
        <w:t xml:space="preserve">, </w:t>
      </w:r>
      <w:r w:rsidRPr="00181309">
        <w:rPr>
          <w:snapToGrid w:val="0"/>
        </w:rPr>
        <w:t xml:space="preserve">and </w:t>
      </w:r>
      <w:proofErr w:type="gramStart"/>
      <w:r w:rsidRPr="00181309">
        <w:rPr>
          <w:snapToGrid w:val="0"/>
        </w:rPr>
        <w:t>in particular Article</w:t>
      </w:r>
      <w:proofErr w:type="gramEnd"/>
      <w:r w:rsidRPr="00181309">
        <w:rPr>
          <w:snapToGrid w:val="0"/>
        </w:rPr>
        <w:t> 8 thereof</w:t>
      </w:r>
      <w:r w:rsidRPr="00181309">
        <w:rPr>
          <w:noProof/>
        </w:rPr>
        <w:t>,</w:t>
      </w:r>
    </w:p>
    <w:p w14:paraId="5A3DD874" w14:textId="77777777" w:rsidR="00ED54E8" w:rsidRPr="00181309" w:rsidRDefault="00ED54E8" w:rsidP="003C54CF">
      <w:pPr>
        <w:widowControl/>
        <w:spacing w:after="240"/>
        <w:ind w:left="567" w:hanging="567"/>
      </w:pPr>
      <w:r w:rsidRPr="00181309">
        <w:rPr>
          <w:noProof/>
        </w:rPr>
        <w:t>–</w:t>
      </w:r>
      <w:r w:rsidRPr="00181309">
        <w:rPr>
          <w:noProof/>
        </w:rPr>
        <w:tab/>
      </w:r>
      <w:r w:rsidRPr="00181309">
        <w:t>having regard to the Interinstitutional Agreement of 16 December 2020 between the European Parliament, the Council of the European Union and the European Commission on budgetary discipline, on cooperation in budgetary matters and on sound financial management, as well as on new own resources, including a roadmap towards the introduction of new own resources</w:t>
      </w:r>
      <w:r w:rsidRPr="00181309">
        <w:rPr>
          <w:rStyle w:val="FootnoteReference"/>
        </w:rPr>
        <w:footnoteReference w:id="4"/>
      </w:r>
      <w:r w:rsidRPr="00181309">
        <w:t>, and in particular point 9 thereof,</w:t>
      </w:r>
    </w:p>
    <w:p w14:paraId="11A5B33C" w14:textId="77777777" w:rsidR="00ED54E8" w:rsidRPr="00181309" w:rsidRDefault="00ED54E8" w:rsidP="003C54CF">
      <w:pPr>
        <w:pStyle w:val="Visa"/>
        <w:widowControl/>
        <w:tabs>
          <w:tab w:val="clear" w:pos="357"/>
        </w:tabs>
        <w:ind w:left="567" w:hanging="567"/>
      </w:pPr>
      <w:r w:rsidRPr="00181309">
        <w:lastRenderedPageBreak/>
        <w:t>–</w:t>
      </w:r>
      <w:r w:rsidRPr="00181309">
        <w:tab/>
      </w:r>
      <w:r w:rsidRPr="00181309">
        <w:rPr>
          <w:snapToGrid w:val="0"/>
        </w:rPr>
        <w:t>having regard to the report of the Committee on Budgets (A10-0115/2025),</w:t>
      </w:r>
      <w:r w:rsidRPr="00181309">
        <w:rPr>
          <w:szCs w:val="24"/>
        </w:rPr>
        <w:t xml:space="preserve"> </w:t>
      </w:r>
    </w:p>
    <w:p w14:paraId="1CD9B727" w14:textId="77777777" w:rsidR="00ED54E8" w:rsidRPr="00181309" w:rsidRDefault="00ED54E8" w:rsidP="003C54CF">
      <w:pPr>
        <w:widowControl/>
        <w:spacing w:after="240"/>
        <w:ind w:left="567" w:hanging="567"/>
      </w:pPr>
      <w:r w:rsidRPr="00181309">
        <w:rPr>
          <w:noProof/>
        </w:rPr>
        <w:t>A.</w:t>
      </w:r>
      <w:r w:rsidRPr="00181309">
        <w:tab/>
        <w:t>whereas the Union has set up legislative and budgetary instruments to provide additional support to workers who are suffering from the consequences of globalisation and of technological and environmental changes, such as changes in world trade patterns, trade disputes, significant changes in the trade relations of the Union or the composition of the internal market and financial or economic crises, as well as the transition to a low-carbon economy, or as a consequence of digitisation or automation;</w:t>
      </w:r>
    </w:p>
    <w:p w14:paraId="6754090A" w14:textId="77777777" w:rsidR="00ED54E8" w:rsidRPr="00181309" w:rsidRDefault="00ED54E8" w:rsidP="003C54CF">
      <w:pPr>
        <w:widowControl/>
        <w:spacing w:after="240"/>
        <w:ind w:left="567" w:hanging="567"/>
      </w:pPr>
      <w:r w:rsidRPr="00181309">
        <w:t>B.</w:t>
      </w:r>
      <w:r w:rsidRPr="00181309">
        <w:tab/>
        <w:t>whereas the Union’s assistance to displaced workers should be primarily directed at active labour market policy measures and personalised services that aim to reintegrate beneficiaries rapidly into decent and sustainable employment, while preparing them for a greener and more digital European economy, having due regard to the Interinstitutional Agreement of 16 December 2020 in respect of the adoption of decisions to mobilise the European Globalisation Adjustment Fund for Displaced Workers (EGF);</w:t>
      </w:r>
    </w:p>
    <w:p w14:paraId="1DEBB57A" w14:textId="77777777" w:rsidR="00ED54E8" w:rsidRPr="00181309" w:rsidRDefault="00ED54E8" w:rsidP="003C54CF">
      <w:pPr>
        <w:widowControl/>
        <w:spacing w:after="240"/>
        <w:ind w:left="567" w:hanging="567"/>
        <w:jc w:val="both"/>
      </w:pPr>
      <w:r w:rsidRPr="00181309">
        <w:t>C.</w:t>
      </w:r>
      <w:r w:rsidRPr="00181309">
        <w:tab/>
        <w:t>whereas the Union had first extended the scope of the EGF to provide financial support in case of any major restructuring event, and thus covering economic effects of the COVID-19 crisis;</w:t>
      </w:r>
    </w:p>
    <w:p w14:paraId="769DD1EC" w14:textId="77777777" w:rsidR="00ED54E8" w:rsidRPr="00181309" w:rsidRDefault="00ED54E8" w:rsidP="003C54CF">
      <w:pPr>
        <w:widowControl/>
        <w:spacing w:after="240"/>
        <w:ind w:left="567" w:hanging="567"/>
        <w:rPr>
          <w:color w:val="000000"/>
          <w:bdr w:val="none" w:sz="0" w:space="0" w:color="auto" w:frame="1"/>
        </w:rPr>
      </w:pPr>
      <w:r w:rsidRPr="00181309">
        <w:t>D.</w:t>
      </w:r>
      <w:r w:rsidRPr="00181309">
        <w:tab/>
        <w:t>whereas the adoption of the new EGF Regulation in 2021 further expanded the scope of the EGF to major restructuring events caused by the transition to a low-carbon economy or as a consequence of digitisation or automation, while also reducing the required threshold for the activation of the EGF from 500 dismissed workers to 200;</w:t>
      </w:r>
    </w:p>
    <w:p w14:paraId="1F8B4B50" w14:textId="77777777" w:rsidR="00ED54E8" w:rsidRPr="00181309" w:rsidRDefault="00ED54E8" w:rsidP="003C54CF">
      <w:pPr>
        <w:widowControl/>
        <w:spacing w:after="240"/>
        <w:ind w:left="567" w:hanging="567"/>
        <w:rPr>
          <w:color w:val="000000"/>
          <w:bdr w:val="none" w:sz="0" w:space="0" w:color="auto" w:frame="1"/>
        </w:rPr>
      </w:pPr>
      <w:r w:rsidRPr="00181309">
        <w:rPr>
          <w:color w:val="000000"/>
          <w:bdr w:val="none" w:sz="0" w:space="0" w:color="auto" w:frame="1"/>
        </w:rPr>
        <w:t>E.</w:t>
      </w:r>
      <w:r w:rsidRPr="00181309">
        <w:rPr>
          <w:color w:val="000000"/>
          <w:bdr w:val="none" w:sz="0" w:space="0" w:color="auto" w:frame="1"/>
        </w:rPr>
        <w:tab/>
        <w:t>whereas the MFF revision reduces the maximum annual amount of the EGF from EUR 186 million to EUR 30 million (in 2018 prices), as laid down in Article 8 of Council Regulation (EU, Euratom) 2020/2093 as amended by Regulation (EU, Euratom) 2024</w:t>
      </w:r>
      <w:r w:rsidRPr="00181309">
        <w:rPr>
          <w:bdr w:val="none" w:sz="0" w:space="0" w:color="auto" w:frame="1"/>
        </w:rPr>
        <w:t>/765</w:t>
      </w:r>
      <w:r w:rsidRPr="00181309">
        <w:rPr>
          <w:color w:val="000000"/>
          <w:bdr w:val="none" w:sz="0" w:space="0" w:color="auto" w:frame="1"/>
        </w:rPr>
        <w:t xml:space="preserve">; whereas all institutions need to ensure that, despite these cuts, workers made redundant can count on Union solidarity via support of the </w:t>
      </w:r>
      <w:proofErr w:type="gramStart"/>
      <w:r w:rsidRPr="00181309">
        <w:rPr>
          <w:color w:val="000000"/>
          <w:bdr w:val="none" w:sz="0" w:space="0" w:color="auto" w:frame="1"/>
        </w:rPr>
        <w:t>EGF;</w:t>
      </w:r>
      <w:proofErr w:type="gramEnd"/>
    </w:p>
    <w:p w14:paraId="3DD50A37" w14:textId="77777777" w:rsidR="00ED54E8" w:rsidRPr="00181309" w:rsidRDefault="00ED54E8" w:rsidP="003C54CF">
      <w:pPr>
        <w:widowControl/>
        <w:spacing w:after="240"/>
        <w:ind w:left="567" w:hanging="567"/>
        <w:rPr>
          <w:color w:val="000000"/>
          <w:bdr w:val="none" w:sz="0" w:space="0" w:color="auto" w:frame="1"/>
        </w:rPr>
      </w:pPr>
      <w:r w:rsidRPr="00181309">
        <w:rPr>
          <w:color w:val="000000"/>
          <w:bdr w:val="none" w:sz="0" w:space="0" w:color="auto" w:frame="1"/>
        </w:rPr>
        <w:t>F.</w:t>
      </w:r>
      <w:r w:rsidRPr="00181309">
        <w:rPr>
          <w:color w:val="000000"/>
          <w:bdr w:val="none" w:sz="0" w:space="0" w:color="auto" w:frame="1"/>
        </w:rPr>
        <w:tab/>
        <w:t>whereas Article 11(1) of the EGF Regulation provides that up to 0,5 % of that maximum amount</w:t>
      </w:r>
      <w:r w:rsidRPr="00181309">
        <w:t xml:space="preserve"> </w:t>
      </w:r>
      <w:r w:rsidRPr="00181309">
        <w:rPr>
          <w:color w:val="000000"/>
          <w:bdr w:val="none" w:sz="0" w:space="0" w:color="auto" w:frame="1"/>
        </w:rPr>
        <w:t xml:space="preserve">can be made available for technical assistance at the initiative of the </w:t>
      </w:r>
      <w:proofErr w:type="gramStart"/>
      <w:r w:rsidRPr="00181309">
        <w:rPr>
          <w:color w:val="000000"/>
          <w:bdr w:val="none" w:sz="0" w:space="0" w:color="auto" w:frame="1"/>
        </w:rPr>
        <w:t>Commission;</w:t>
      </w:r>
      <w:proofErr w:type="gramEnd"/>
    </w:p>
    <w:p w14:paraId="30F5A4C4" w14:textId="77777777" w:rsidR="00ED54E8" w:rsidRPr="00181309" w:rsidRDefault="00ED54E8" w:rsidP="003C54CF">
      <w:pPr>
        <w:widowControl/>
        <w:spacing w:after="240"/>
        <w:ind w:left="567" w:hanging="567"/>
        <w:rPr>
          <w:color w:val="000000"/>
          <w:bdr w:val="none" w:sz="0" w:space="0" w:color="auto" w:frame="1"/>
          <w:lang w:eastAsia="en-US"/>
        </w:rPr>
      </w:pPr>
      <w:r w:rsidRPr="00181309">
        <w:rPr>
          <w:color w:val="000000"/>
          <w:bdr w:val="none" w:sz="0" w:space="0" w:color="auto" w:frame="1"/>
        </w:rPr>
        <w:t>G.</w:t>
      </w:r>
      <w:r w:rsidRPr="00181309">
        <w:rPr>
          <w:color w:val="000000"/>
          <w:bdr w:val="none" w:sz="0" w:space="0" w:color="auto" w:frame="1"/>
        </w:rPr>
        <w:tab/>
        <w:t xml:space="preserve">whereas technical assistance may consist of technical and administrative expenditure for the implementation of the EGF, such as preparatory, monitoring, control, audit and evaluation activities, as well as data gathering, including in relation to corporate information technology systems, communication activities and those enhancing the EGF’s visibility as a fund or with regard to specific projects and other technical assistance </w:t>
      </w:r>
      <w:proofErr w:type="gramStart"/>
      <w:r w:rsidRPr="00181309">
        <w:rPr>
          <w:color w:val="000000"/>
          <w:bdr w:val="none" w:sz="0" w:space="0" w:color="auto" w:frame="1"/>
        </w:rPr>
        <w:t>measures;</w:t>
      </w:r>
      <w:proofErr w:type="gramEnd"/>
    </w:p>
    <w:p w14:paraId="5ABEC34D" w14:textId="5B0A0829" w:rsidR="00ED54E8" w:rsidRPr="00181309" w:rsidRDefault="00ED54E8" w:rsidP="003C54CF">
      <w:pPr>
        <w:pStyle w:val="NormalHanging12a"/>
        <w:widowControl/>
        <w:rPr>
          <w:snapToGrid w:val="0"/>
          <w:color w:val="000000"/>
          <w:bdr w:val="none" w:sz="0" w:space="0" w:color="auto" w:frame="1"/>
        </w:rPr>
      </w:pPr>
      <w:r w:rsidRPr="00181309">
        <w:rPr>
          <w:snapToGrid w:val="0"/>
          <w:color w:val="000000"/>
          <w:bdr w:val="none" w:sz="0" w:space="0" w:color="auto" w:frame="1"/>
        </w:rPr>
        <w:t>H.</w:t>
      </w:r>
      <w:r w:rsidRPr="00181309">
        <w:rPr>
          <w:snapToGrid w:val="0"/>
          <w:color w:val="000000"/>
          <w:bdr w:val="none" w:sz="0" w:space="0" w:color="auto" w:frame="1"/>
        </w:rPr>
        <w:tab/>
        <w:t xml:space="preserve">whereas the proposed amount of EUR 170 000 corresponds to </w:t>
      </w:r>
      <w:r w:rsidRPr="00181309">
        <w:rPr>
          <w:snapToGrid w:val="0"/>
          <w:bdr w:val="none" w:sz="0" w:space="0" w:color="auto" w:frame="1"/>
        </w:rPr>
        <w:t xml:space="preserve">approximately </w:t>
      </w:r>
      <w:r w:rsidRPr="00181309">
        <w:rPr>
          <w:snapToGrid w:val="0"/>
        </w:rPr>
        <w:t>0,49</w:t>
      </w:r>
      <w:r w:rsidR="007D66FC" w:rsidRPr="00181309">
        <w:rPr>
          <w:snapToGrid w:val="0"/>
        </w:rPr>
        <w:t> </w:t>
      </w:r>
      <w:r w:rsidRPr="00181309">
        <w:rPr>
          <w:snapToGrid w:val="0"/>
        </w:rPr>
        <w:t>%</w:t>
      </w:r>
      <w:r w:rsidRPr="00181309">
        <w:rPr>
          <w:snapToGrid w:val="0"/>
          <w:bdr w:val="none" w:sz="0" w:space="0" w:color="auto" w:frame="1"/>
        </w:rPr>
        <w:t xml:space="preserve"> </w:t>
      </w:r>
      <w:r w:rsidRPr="00181309">
        <w:rPr>
          <w:snapToGrid w:val="0"/>
          <w:color w:val="000000"/>
          <w:bdr w:val="none" w:sz="0" w:space="0" w:color="auto" w:frame="1"/>
        </w:rPr>
        <w:t xml:space="preserve">of the maximum annual budget available for the EGF in </w:t>
      </w:r>
      <w:proofErr w:type="gramStart"/>
      <w:r w:rsidRPr="00181309">
        <w:rPr>
          <w:snapToGrid w:val="0"/>
          <w:color w:val="000000"/>
          <w:bdr w:val="none" w:sz="0" w:space="0" w:color="auto" w:frame="1"/>
        </w:rPr>
        <w:t>2025;</w:t>
      </w:r>
      <w:proofErr w:type="gramEnd"/>
    </w:p>
    <w:p w14:paraId="6357417A" w14:textId="77777777" w:rsidR="00ED54E8" w:rsidRPr="00181309" w:rsidRDefault="00ED54E8" w:rsidP="003C54CF">
      <w:pPr>
        <w:widowControl/>
        <w:spacing w:after="240"/>
        <w:ind w:left="567" w:hanging="567"/>
        <w:rPr>
          <w:bdr w:val="none" w:sz="0" w:space="0" w:color="auto" w:frame="1"/>
        </w:rPr>
      </w:pPr>
      <w:r w:rsidRPr="00181309">
        <w:rPr>
          <w:bdr w:val="none" w:sz="0" w:space="0" w:color="auto" w:frame="1"/>
        </w:rPr>
        <w:t>1.</w:t>
      </w:r>
      <w:r w:rsidRPr="00181309">
        <w:rPr>
          <w:bdr w:val="none" w:sz="0" w:space="0" w:color="auto" w:frame="1"/>
        </w:rPr>
        <w:tab/>
        <w:t xml:space="preserve">Agrees with the </w:t>
      </w:r>
      <w:r w:rsidRPr="00181309">
        <w:rPr>
          <w:rFonts w:eastAsia="Calibri"/>
          <w:szCs w:val="24"/>
          <w:bdr w:val="none" w:sz="0" w:space="0" w:color="auto" w:frame="1"/>
        </w:rPr>
        <w:t>mobilisation of EUR 170 000 and</w:t>
      </w:r>
      <w:r w:rsidRPr="00181309">
        <w:rPr>
          <w:bdr w:val="none" w:sz="0" w:space="0" w:color="auto" w:frame="1"/>
        </w:rPr>
        <w:t xml:space="preserve"> the measures proposed by the Commission to be financed as technical assistance in accordance with Article 11(1) and (4) as well as with Article 12(2), (3) and (4) of the EGF Regulation;</w:t>
      </w:r>
    </w:p>
    <w:p w14:paraId="2577E3BA" w14:textId="77777777" w:rsidR="00ED54E8" w:rsidRPr="00181309" w:rsidRDefault="00ED54E8" w:rsidP="003C54CF">
      <w:pPr>
        <w:widowControl/>
        <w:spacing w:after="240"/>
        <w:ind w:left="567" w:hanging="567"/>
        <w:rPr>
          <w:lang w:eastAsia="en-US"/>
        </w:rPr>
      </w:pPr>
      <w:r w:rsidRPr="00181309">
        <w:t>2.</w:t>
      </w:r>
      <w:r w:rsidRPr="00181309">
        <w:tab/>
        <w:t xml:space="preserve">Welcomes the continued work on the standardised procedures for EGF applications and management using the functionalities of the electronic data exchange system (Shared </w:t>
      </w:r>
      <w:r w:rsidRPr="00181309">
        <w:lastRenderedPageBreak/>
        <w:t>Fund Management Common System - SFC), which allows for the simplification and faster processing of applications, and better reporting;</w:t>
      </w:r>
    </w:p>
    <w:p w14:paraId="03681A76" w14:textId="2AE7EBC1" w:rsidR="00ED54E8" w:rsidRPr="00181309" w:rsidRDefault="00ED54E8" w:rsidP="003C54CF">
      <w:pPr>
        <w:widowControl/>
        <w:spacing w:after="240"/>
        <w:ind w:left="567" w:hanging="567"/>
      </w:pPr>
      <w:r w:rsidRPr="00181309">
        <w:t>3.</w:t>
      </w:r>
      <w:r w:rsidRPr="00181309">
        <w:tab/>
        <w:t>Takes note that the Commission will use the available budget under the administrative support for holding meetings of the Expert Group of Contact Persons of the EGF (two members from each Member State) and one seminar with the participation of EGF implementing bodies and social partners in order to promote networking among Member States; calls on the Commission to continue to invite Parliament systematically to these meetings and seminars, in accordance with the relevant provisions of the Framework Agreement on relations between Parliament and the Commission;</w:t>
      </w:r>
    </w:p>
    <w:p w14:paraId="4BCBC3B5" w14:textId="77777777" w:rsidR="00ED54E8" w:rsidRPr="00181309" w:rsidRDefault="00ED54E8" w:rsidP="003C54CF">
      <w:pPr>
        <w:widowControl/>
        <w:spacing w:after="240"/>
        <w:ind w:left="567" w:hanging="567"/>
      </w:pPr>
      <w:r w:rsidRPr="00181309">
        <w:t>4.</w:t>
      </w:r>
      <w:r w:rsidRPr="00181309">
        <w:tab/>
        <w:t>Calls on the Commission to adapt the best practices which were developed during the times of the COVID-19 pandemic, in particular measures that can help to accelerate an inclusive green and digital transition and support core priorities of the Union, such as gender equality;</w:t>
      </w:r>
    </w:p>
    <w:p w14:paraId="631FE259" w14:textId="77777777" w:rsidR="00ED54E8" w:rsidRPr="00181309" w:rsidRDefault="00ED54E8" w:rsidP="003C54CF">
      <w:pPr>
        <w:widowControl/>
        <w:spacing w:after="240"/>
        <w:ind w:left="567" w:hanging="567"/>
      </w:pPr>
      <w:r w:rsidRPr="00181309">
        <w:t>5.</w:t>
      </w:r>
      <w:r w:rsidRPr="00181309">
        <w:tab/>
        <w:t xml:space="preserve">Underlines the need to further strengthen the general awareness and the visibility of the EGF; points to the fact that such goal can be pursued by featuring the EGF in various Commission publications and audio-visual activities as provided for in Article 11(1) of the EGF Regulation; </w:t>
      </w:r>
      <w:r w:rsidRPr="00181309">
        <w:rPr>
          <w:bdr w:val="none" w:sz="0" w:space="0" w:color="auto" w:frame="1"/>
        </w:rPr>
        <w:t>welcomes in this context the maintenance of the dedicated website for the EGF and calls on the Commission to regularly update and expand it, in order to increase the visibility of the European solidarity demonstrated by the EGF to the general public and increase the transparency of Union action;</w:t>
      </w:r>
    </w:p>
    <w:p w14:paraId="593B6A3D" w14:textId="77777777" w:rsidR="00ED54E8" w:rsidRPr="00181309" w:rsidRDefault="00ED54E8" w:rsidP="003C54CF">
      <w:pPr>
        <w:widowControl/>
        <w:spacing w:after="240"/>
        <w:ind w:left="567" w:hanging="567"/>
      </w:pPr>
      <w:r w:rsidRPr="00181309">
        <w:t>6.</w:t>
      </w:r>
      <w:r w:rsidRPr="00181309">
        <w:tab/>
        <w:t xml:space="preserve">Reminds applicant Member States of their key role in widely publicising the actions funded by EGF to the targeted beneficiaries, local and regional authorities, social partners, the media and the general public, as set out in Article 12 of the EGF Regulation; calls on the Commission to systemically check the compliance of Member States with the EGF Regulation, in particular Article </w:t>
      </w:r>
      <w:proofErr w:type="gramStart"/>
      <w:r w:rsidRPr="00181309">
        <w:t>12(1);</w:t>
      </w:r>
      <w:proofErr w:type="gramEnd"/>
    </w:p>
    <w:p w14:paraId="5767944E" w14:textId="77777777" w:rsidR="00ED54E8" w:rsidRPr="00181309" w:rsidRDefault="00ED54E8" w:rsidP="003C54CF">
      <w:pPr>
        <w:widowControl/>
        <w:spacing w:after="240"/>
        <w:ind w:left="567" w:hanging="567"/>
      </w:pPr>
      <w:r w:rsidRPr="00181309">
        <w:t>7.</w:t>
      </w:r>
      <w:r w:rsidRPr="00181309">
        <w:tab/>
        <w:t xml:space="preserve">Approves the decision annexed to this </w:t>
      </w:r>
      <w:proofErr w:type="gramStart"/>
      <w:r w:rsidRPr="00181309">
        <w:t>resolution;</w:t>
      </w:r>
      <w:proofErr w:type="gramEnd"/>
    </w:p>
    <w:p w14:paraId="3BB14EA0" w14:textId="77777777" w:rsidR="00ED54E8" w:rsidRPr="00181309" w:rsidRDefault="00ED54E8" w:rsidP="003C54CF">
      <w:pPr>
        <w:widowControl/>
        <w:spacing w:after="240"/>
        <w:ind w:left="567" w:hanging="567"/>
      </w:pPr>
      <w:r w:rsidRPr="00181309">
        <w:t>8.</w:t>
      </w:r>
      <w:r w:rsidRPr="00181309">
        <w:tab/>
        <w:t xml:space="preserve">Instructs its President to sign the decision with the President of the Council and arrange for its publication in the </w:t>
      </w:r>
      <w:r w:rsidRPr="00181309">
        <w:rPr>
          <w:i/>
        </w:rPr>
        <w:t xml:space="preserve">Official Journal of the European </w:t>
      </w:r>
      <w:proofErr w:type="gramStart"/>
      <w:r w:rsidRPr="00181309">
        <w:rPr>
          <w:i/>
        </w:rPr>
        <w:t>Union</w:t>
      </w:r>
      <w:r w:rsidRPr="00181309">
        <w:t>;</w:t>
      </w:r>
      <w:proofErr w:type="gramEnd"/>
    </w:p>
    <w:p w14:paraId="1C22253F" w14:textId="77777777" w:rsidR="00ED54E8" w:rsidRPr="00181309" w:rsidRDefault="00ED54E8" w:rsidP="003C54CF">
      <w:pPr>
        <w:widowControl/>
        <w:spacing w:after="240"/>
        <w:ind w:left="567" w:hanging="567"/>
      </w:pPr>
      <w:r w:rsidRPr="00181309">
        <w:t>9.</w:t>
      </w:r>
      <w:r w:rsidRPr="00181309">
        <w:tab/>
        <w:t>Instructs its President to forward this resolution, including its annex, to the Council and the Commission.</w:t>
      </w:r>
    </w:p>
    <w:p w14:paraId="64FBA28C" w14:textId="77777777" w:rsidR="00ED54E8" w:rsidRPr="00181309" w:rsidRDefault="00ED54E8" w:rsidP="00ED54E8">
      <w:pPr>
        <w:rPr>
          <w:noProof/>
        </w:rPr>
      </w:pPr>
    </w:p>
    <w:p w14:paraId="2497CBB3" w14:textId="77777777" w:rsidR="00ED54E8" w:rsidRPr="00181309" w:rsidRDefault="00ED54E8" w:rsidP="00ED54E8">
      <w:pPr>
        <w:pStyle w:val="PageHeading"/>
        <w:rPr>
          <w:noProof/>
        </w:rPr>
        <w:sectPr w:rsidR="00ED54E8" w:rsidRPr="00181309" w:rsidSect="004E06C9">
          <w:footerReference w:type="even" r:id="rId12"/>
          <w:footerReference w:type="first" r:id="rId13"/>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717D1E3C" w14:textId="7981CA5D" w:rsidR="00AE20F0" w:rsidRPr="00181309" w:rsidRDefault="00ED54E8" w:rsidP="00ED54E8">
      <w:pPr>
        <w:pStyle w:val="PageHeading"/>
        <w:rPr>
          <w:rFonts w:ascii="Times New Roman" w:hAnsi="Times New Roman" w:cs="Times New Roman"/>
          <w:noProof/>
        </w:rPr>
      </w:pPr>
      <w:bookmarkStart w:id="7" w:name="_Toc201757221"/>
      <w:r w:rsidRPr="00181309">
        <w:rPr>
          <w:rFonts w:ascii="Times New Roman" w:hAnsi="Times New Roman" w:cs="Times New Roman"/>
          <w:noProof/>
        </w:rPr>
        <w:lastRenderedPageBreak/>
        <w:t xml:space="preserve">ANNEX </w:t>
      </w:r>
    </w:p>
    <w:p w14:paraId="6E6E48A6" w14:textId="029A38AE" w:rsidR="00ED54E8" w:rsidRPr="00181309" w:rsidRDefault="00ED54E8" w:rsidP="00ED54E8">
      <w:pPr>
        <w:pStyle w:val="PageHeading"/>
        <w:rPr>
          <w:rFonts w:ascii="Times New Roman" w:hAnsi="Times New Roman" w:cs="Times New Roman"/>
          <w:noProof/>
        </w:rPr>
      </w:pPr>
      <w:r w:rsidRPr="00181309">
        <w:rPr>
          <w:rFonts w:ascii="Times New Roman" w:hAnsi="Times New Roman" w:cs="Times New Roman"/>
          <w:noProof/>
        </w:rPr>
        <w:t>DECISION OF THE EUROPEAN PARLIAMENT AND OF THE COUNCIL</w:t>
      </w:r>
      <w:bookmarkEnd w:id="7"/>
    </w:p>
    <w:p w14:paraId="17E5F21B" w14:textId="77777777" w:rsidR="00ED54E8" w:rsidRPr="00181309" w:rsidRDefault="00ED54E8" w:rsidP="00ED54E8">
      <w:pPr>
        <w:pStyle w:val="Titreobjet"/>
        <w:widowControl/>
        <w:spacing w:before="360" w:after="360"/>
        <w:ind w:left="0"/>
        <w:jc w:val="center"/>
        <w:rPr>
          <w:rFonts w:eastAsiaTheme="minorHAnsi"/>
          <w:b/>
          <w:noProof/>
          <w:szCs w:val="22"/>
        </w:rPr>
      </w:pPr>
      <w:r w:rsidRPr="00181309">
        <w:rPr>
          <w:rFonts w:eastAsiaTheme="minorHAnsi"/>
          <w:b/>
          <w:noProof/>
          <w:szCs w:val="22"/>
        </w:rPr>
        <w:t>on the mobilisation of the European Globalisation Adjustment Fund for Displaced Workers (EGF/2025/000 TA 2025 - Technical assistance at the initiative of the Commission)</w:t>
      </w:r>
    </w:p>
    <w:p w14:paraId="05EE5451" w14:textId="3709076E" w:rsidR="00AE20F0" w:rsidRPr="00AE20F0" w:rsidRDefault="00AE20F0" w:rsidP="00AE20F0">
      <w:pPr>
        <w:widowControl/>
        <w:spacing w:before="240"/>
        <w:ind w:right="1088"/>
        <w:jc w:val="both"/>
        <w:rPr>
          <w:rFonts w:eastAsia="Calibri"/>
          <w:szCs w:val="24"/>
          <w:lang w:eastAsia="en-US"/>
        </w:rPr>
      </w:pPr>
      <w:r w:rsidRPr="00181309">
        <w:rPr>
          <w:rFonts w:eastAsia="Calibri"/>
          <w:i/>
          <w:iCs/>
          <w:szCs w:val="24"/>
          <w:lang w:eastAsia="en-US"/>
        </w:rPr>
        <w:t>(The text of this annex is not reproduced here since it corresponds to the final act, Decision (EU) 2025/1524.)</w:t>
      </w:r>
    </w:p>
    <w:p w14:paraId="7F48D604" w14:textId="77777777" w:rsidR="00E365E1" w:rsidRPr="004E06C9" w:rsidRDefault="00E365E1" w:rsidP="00D748F6"/>
    <w:sectPr w:rsidR="00E365E1" w:rsidRPr="004E06C9" w:rsidSect="004E06C9">
      <w:headerReference w:type="even" r:id="rId14"/>
      <w:headerReference w:type="default" r:id="rId15"/>
      <w:footerReference w:type="even" r:id="rId16"/>
      <w:footerReference w:type="default" r:id="rId17"/>
      <w:headerReference w:type="first" r:id="rId18"/>
      <w:footerReference w:type="first" r:id="rId19"/>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600CC" w14:textId="77777777" w:rsidR="00D748F6" w:rsidRPr="004E06C9" w:rsidRDefault="00D748F6">
      <w:r w:rsidRPr="004E06C9">
        <w:separator/>
      </w:r>
    </w:p>
  </w:endnote>
  <w:endnote w:type="continuationSeparator" w:id="0">
    <w:p w14:paraId="4680CC26" w14:textId="77777777" w:rsidR="00D748F6" w:rsidRPr="004E06C9" w:rsidRDefault="00D748F6">
      <w:r w:rsidRPr="004E06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58461" w14:textId="77777777" w:rsidR="00ED54E8" w:rsidRPr="004E06C9" w:rsidRDefault="00ED54E8" w:rsidP="00A9204C">
    <w:pPr>
      <w:pStyle w:val="EPFooter"/>
    </w:pPr>
    <w:r w:rsidRPr="004E06C9">
      <w:t>PE</w:t>
    </w:r>
    <w:r w:rsidRPr="004E06C9">
      <w:rPr>
        <w:rStyle w:val="HideTWBExt"/>
      </w:rPr>
      <w:t>&lt;</w:t>
    </w:r>
    <w:proofErr w:type="spellStart"/>
    <w:r w:rsidRPr="004E06C9">
      <w:rPr>
        <w:rStyle w:val="HideTWBExt"/>
      </w:rPr>
      <w:t>NoPE</w:t>
    </w:r>
    <w:proofErr w:type="spellEnd"/>
    <w:r w:rsidRPr="004E06C9">
      <w:rPr>
        <w:rStyle w:val="HideTWBExt"/>
      </w:rPr>
      <w:t>&gt;</w:t>
    </w:r>
    <w:r w:rsidRPr="004E06C9">
      <w:t>774.309</w:t>
    </w:r>
    <w:r w:rsidRPr="004E06C9">
      <w:rPr>
        <w:rStyle w:val="HideTWBExt"/>
      </w:rPr>
      <w:t>&lt;/</w:t>
    </w:r>
    <w:proofErr w:type="spellStart"/>
    <w:r w:rsidRPr="004E06C9">
      <w:rPr>
        <w:rStyle w:val="HideTWBExt"/>
      </w:rPr>
      <w:t>NoPE</w:t>
    </w:r>
    <w:proofErr w:type="spellEnd"/>
    <w:r w:rsidRPr="004E06C9">
      <w:rPr>
        <w:rStyle w:val="HideTWBExt"/>
      </w:rPr>
      <w:t>&gt;&lt;Version&gt;</w:t>
    </w:r>
    <w:r w:rsidRPr="004E06C9">
      <w:t>v02-00</w:t>
    </w:r>
    <w:r w:rsidRPr="004E06C9">
      <w:rPr>
        <w:rStyle w:val="HideTWBExt"/>
      </w:rPr>
      <w:t>&lt;/Version&gt;</w:t>
    </w:r>
    <w:r w:rsidRPr="004E06C9">
      <w:tab/>
    </w:r>
    <w:r w:rsidRPr="004E06C9">
      <w:fldChar w:fldCharType="begin"/>
    </w:r>
    <w:r w:rsidRPr="004E06C9">
      <w:instrText xml:space="preserve"> PAGE  \* MERGEFORMAT </w:instrText>
    </w:r>
    <w:r w:rsidRPr="004E06C9">
      <w:fldChar w:fldCharType="separate"/>
    </w:r>
    <w:r w:rsidRPr="004E06C9">
      <w:rPr>
        <w:noProof/>
      </w:rPr>
      <w:t>2</w:t>
    </w:r>
    <w:r w:rsidRPr="004E06C9">
      <w:fldChar w:fldCharType="end"/>
    </w:r>
    <w:r w:rsidRPr="004E06C9">
      <w:t>/</w:t>
    </w:r>
    <w:r w:rsidR="008A30D7">
      <w:fldChar w:fldCharType="begin"/>
    </w:r>
    <w:r w:rsidR="008A30D7">
      <w:instrText xml:space="preserve"> NUMPAGES  \* MERGEFORMAT </w:instrText>
    </w:r>
    <w:r w:rsidR="008A30D7">
      <w:fldChar w:fldCharType="separate"/>
    </w:r>
    <w:r w:rsidRPr="004E06C9">
      <w:rPr>
        <w:noProof/>
      </w:rPr>
      <w:t>2</w:t>
    </w:r>
    <w:r w:rsidR="008A30D7">
      <w:rPr>
        <w:noProof/>
      </w:rPr>
      <w:fldChar w:fldCharType="end"/>
    </w:r>
    <w:r w:rsidRPr="004E06C9">
      <w:tab/>
    </w:r>
    <w:r w:rsidRPr="004E06C9">
      <w:rPr>
        <w:rStyle w:val="HideTWBExt"/>
      </w:rPr>
      <w:t>&lt;PathFdR&gt;</w:t>
    </w:r>
    <w:r w:rsidRPr="004E06C9">
      <w:t>RR\1323805EN.docx</w:t>
    </w:r>
    <w:r w:rsidRPr="004E06C9">
      <w:rPr>
        <w:rStyle w:val="HideTWBExt"/>
      </w:rPr>
      <w:t>&lt;/</w:t>
    </w:r>
    <w:proofErr w:type="spellStart"/>
    <w:r w:rsidRPr="004E06C9">
      <w:rPr>
        <w:rStyle w:val="HideTWBExt"/>
      </w:rPr>
      <w:t>PathFdR</w:t>
    </w:r>
    <w:proofErr w:type="spellEnd"/>
    <w:r w:rsidRPr="004E06C9">
      <w:rPr>
        <w:rStyle w:val="HideTWBExt"/>
      </w:rPr>
      <w:t>&gt;</w:t>
    </w:r>
  </w:p>
  <w:p w14:paraId="12445103" w14:textId="77777777" w:rsidR="00ED54E8" w:rsidRPr="004E06C9" w:rsidRDefault="00ED54E8" w:rsidP="00A9204C">
    <w:pPr>
      <w:pStyle w:val="EPFooter2"/>
    </w:pPr>
    <w:r w:rsidRPr="004E06C9">
      <w:t>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B2E70" w14:textId="77777777" w:rsidR="00ED54E8" w:rsidRPr="004E06C9" w:rsidRDefault="00ED54E8" w:rsidP="00A9204C">
    <w:pPr>
      <w:pStyle w:val="EPFooter"/>
    </w:pPr>
    <w:r w:rsidRPr="004E06C9">
      <w:rPr>
        <w:rStyle w:val="HideTWBExt"/>
      </w:rPr>
      <w:t>&lt;PathFdR&gt;</w:t>
    </w:r>
    <w:r w:rsidRPr="004E06C9">
      <w:t>RR\1323805EN.docx</w:t>
    </w:r>
    <w:r w:rsidRPr="004E06C9">
      <w:rPr>
        <w:rStyle w:val="HideTWBExt"/>
      </w:rPr>
      <w:t>&lt;/</w:t>
    </w:r>
    <w:proofErr w:type="spellStart"/>
    <w:r w:rsidRPr="004E06C9">
      <w:rPr>
        <w:rStyle w:val="HideTWBExt"/>
      </w:rPr>
      <w:t>PathFdR</w:t>
    </w:r>
    <w:proofErr w:type="spellEnd"/>
    <w:r w:rsidRPr="004E06C9">
      <w:rPr>
        <w:rStyle w:val="HideTWBExt"/>
      </w:rPr>
      <w:t>&gt;</w:t>
    </w:r>
    <w:r w:rsidRPr="004E06C9">
      <w:tab/>
    </w:r>
    <w:r w:rsidRPr="004E06C9">
      <w:tab/>
      <w:t>PE</w:t>
    </w:r>
    <w:r w:rsidRPr="004E06C9">
      <w:rPr>
        <w:rStyle w:val="HideTWBExt"/>
      </w:rPr>
      <w:t>&lt;</w:t>
    </w:r>
    <w:proofErr w:type="spellStart"/>
    <w:r w:rsidRPr="004E06C9">
      <w:rPr>
        <w:rStyle w:val="HideTWBExt"/>
      </w:rPr>
      <w:t>NoPE</w:t>
    </w:r>
    <w:proofErr w:type="spellEnd"/>
    <w:r w:rsidRPr="004E06C9">
      <w:rPr>
        <w:rStyle w:val="HideTWBExt"/>
      </w:rPr>
      <w:t>&gt;</w:t>
    </w:r>
    <w:r w:rsidRPr="004E06C9">
      <w:t>774.309</w:t>
    </w:r>
    <w:r w:rsidRPr="004E06C9">
      <w:rPr>
        <w:rStyle w:val="HideTWBExt"/>
      </w:rPr>
      <w:t>&lt;/</w:t>
    </w:r>
    <w:proofErr w:type="spellStart"/>
    <w:r w:rsidRPr="004E06C9">
      <w:rPr>
        <w:rStyle w:val="HideTWBExt"/>
      </w:rPr>
      <w:t>NoPE</w:t>
    </w:r>
    <w:proofErr w:type="spellEnd"/>
    <w:r w:rsidRPr="004E06C9">
      <w:rPr>
        <w:rStyle w:val="HideTWBExt"/>
      </w:rPr>
      <w:t>&gt;&lt;Version&gt;</w:t>
    </w:r>
    <w:r w:rsidRPr="004E06C9">
      <w:t>v02-00</w:t>
    </w:r>
    <w:r w:rsidRPr="004E06C9">
      <w:rPr>
        <w:rStyle w:val="HideTWBExt"/>
      </w:rPr>
      <w:t>&lt;/Version&gt;</w:t>
    </w:r>
  </w:p>
  <w:p w14:paraId="3FE12E91" w14:textId="77777777" w:rsidR="00ED54E8" w:rsidRPr="004E06C9" w:rsidRDefault="00ED54E8" w:rsidP="00A9204C">
    <w:pPr>
      <w:pStyle w:val="EPFooter2"/>
    </w:pPr>
    <w:r w:rsidRPr="004E06C9">
      <w:t>EN</w:t>
    </w:r>
    <w:r w:rsidRPr="004E06C9">
      <w:tab/>
    </w:r>
    <w:r w:rsidRPr="004E06C9">
      <w:rPr>
        <w:b w:val="0"/>
        <w:i/>
        <w:color w:val="C0C0C0"/>
        <w:sz w:val="22"/>
      </w:rPr>
      <w:t>United in diversity</w:t>
    </w:r>
    <w:r w:rsidRPr="004E06C9">
      <w:tab/>
      <w: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10715" w14:textId="77777777" w:rsidR="00064002" w:rsidRPr="004E06C9" w:rsidRDefault="0006400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A7E52" w14:textId="77777777" w:rsidR="00064002" w:rsidRPr="004E06C9" w:rsidRDefault="0006400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582D8" w14:textId="77777777" w:rsidR="00064002" w:rsidRPr="004E06C9"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25607" w14:textId="77777777" w:rsidR="00D748F6" w:rsidRPr="004E06C9" w:rsidRDefault="00D748F6">
      <w:r w:rsidRPr="004E06C9">
        <w:separator/>
      </w:r>
    </w:p>
  </w:footnote>
  <w:footnote w:type="continuationSeparator" w:id="0">
    <w:p w14:paraId="793382B4" w14:textId="77777777" w:rsidR="00D748F6" w:rsidRPr="004E06C9" w:rsidRDefault="00D748F6">
      <w:r w:rsidRPr="004E06C9">
        <w:continuationSeparator/>
      </w:r>
    </w:p>
  </w:footnote>
  <w:footnote w:id="1">
    <w:p w14:paraId="2C11B17C" w14:textId="77777777" w:rsidR="00ED54E8" w:rsidRPr="00073286" w:rsidRDefault="00ED54E8" w:rsidP="004E06C9">
      <w:pPr>
        <w:pStyle w:val="FootnoteText"/>
        <w:ind w:left="567" w:hanging="567"/>
        <w:rPr>
          <w:sz w:val="24"/>
          <w:szCs w:val="24"/>
          <w:lang w:val="fi-FI"/>
        </w:rPr>
      </w:pPr>
      <w:r w:rsidRPr="00073286">
        <w:rPr>
          <w:rStyle w:val="FootnoteReference"/>
          <w:sz w:val="24"/>
          <w:szCs w:val="24"/>
          <w:lang w:val="en-GB"/>
        </w:rPr>
        <w:footnoteRef/>
      </w:r>
      <w:r w:rsidR="004E06C9" w:rsidRPr="00073286">
        <w:rPr>
          <w:sz w:val="24"/>
          <w:szCs w:val="24"/>
          <w:lang w:val="fi-FI"/>
        </w:rPr>
        <w:t xml:space="preserve"> </w:t>
      </w:r>
      <w:r w:rsidR="004E06C9" w:rsidRPr="00073286">
        <w:rPr>
          <w:sz w:val="24"/>
          <w:szCs w:val="24"/>
          <w:lang w:val="fi-FI"/>
        </w:rPr>
        <w:tab/>
      </w:r>
      <w:r w:rsidRPr="00073286">
        <w:rPr>
          <w:sz w:val="24"/>
          <w:szCs w:val="24"/>
          <w:lang w:val="fi-FI"/>
        </w:rPr>
        <w:t xml:space="preserve">OJ L 153, 3.5.2021, p. 48, ELI: </w:t>
      </w:r>
      <w:hyperlink r:id="rId1" w:history="1">
        <w:r w:rsidRPr="00073286">
          <w:rPr>
            <w:rStyle w:val="Hyperlink"/>
            <w:sz w:val="24"/>
            <w:szCs w:val="24"/>
            <w:lang w:val="fi-FI"/>
          </w:rPr>
          <w:t>http://data.europa.eu/eli/reg/2021/691/oj</w:t>
        </w:r>
      </w:hyperlink>
      <w:r w:rsidRPr="00073286">
        <w:rPr>
          <w:sz w:val="24"/>
          <w:szCs w:val="24"/>
          <w:lang w:val="fi-FI"/>
        </w:rPr>
        <w:t>.</w:t>
      </w:r>
    </w:p>
  </w:footnote>
  <w:footnote w:id="2">
    <w:p w14:paraId="3DD2B37F" w14:textId="77777777" w:rsidR="00ED54E8" w:rsidRPr="00073286" w:rsidRDefault="00ED54E8" w:rsidP="004E06C9">
      <w:pPr>
        <w:ind w:left="567" w:hanging="567"/>
        <w:rPr>
          <w:szCs w:val="24"/>
          <w:lang w:val="fi-FI" w:eastAsia="en-US"/>
        </w:rPr>
      </w:pPr>
      <w:r w:rsidRPr="00073286">
        <w:rPr>
          <w:rStyle w:val="FootnoteReference"/>
          <w:szCs w:val="24"/>
        </w:rPr>
        <w:footnoteRef/>
      </w:r>
      <w:r w:rsidR="004E06C9" w:rsidRPr="00073286">
        <w:rPr>
          <w:szCs w:val="24"/>
          <w:lang w:val="fi-FI"/>
        </w:rPr>
        <w:t xml:space="preserve"> </w:t>
      </w:r>
      <w:r w:rsidR="004E06C9" w:rsidRPr="00073286">
        <w:rPr>
          <w:szCs w:val="24"/>
          <w:lang w:val="fi-FI"/>
        </w:rPr>
        <w:tab/>
      </w:r>
      <w:r w:rsidRPr="00073286">
        <w:rPr>
          <w:szCs w:val="24"/>
          <w:lang w:val="fi-FI"/>
        </w:rPr>
        <w:t xml:space="preserve">OJ L 433 I, 22.12.2020, p. 11, ELI: </w:t>
      </w:r>
      <w:r w:rsidR="008A30D7">
        <w:fldChar w:fldCharType="begin"/>
      </w:r>
      <w:r w:rsidR="008A30D7" w:rsidRPr="008A30D7">
        <w:rPr>
          <w:lang w:val="fi-FI"/>
        </w:rPr>
        <w:instrText>HYPERLINK "http://data.europa.eu/eli/reg/2020/2093/oj"</w:instrText>
      </w:r>
      <w:r w:rsidR="008A30D7">
        <w:fldChar w:fldCharType="separate"/>
      </w:r>
      <w:r w:rsidRPr="00073286">
        <w:rPr>
          <w:rStyle w:val="Hyperlink"/>
          <w:szCs w:val="24"/>
          <w:lang w:val="fi-FI"/>
        </w:rPr>
        <w:t>http://data.europa.eu/eli/reg/2020/2093/oj</w:t>
      </w:r>
      <w:r w:rsidR="008A30D7">
        <w:rPr>
          <w:rStyle w:val="Hyperlink"/>
          <w:szCs w:val="24"/>
          <w:lang w:val="fi-FI"/>
        </w:rPr>
        <w:fldChar w:fldCharType="end"/>
      </w:r>
      <w:r w:rsidRPr="00073286">
        <w:rPr>
          <w:szCs w:val="24"/>
          <w:lang w:val="fi-FI"/>
        </w:rPr>
        <w:t>.</w:t>
      </w:r>
    </w:p>
  </w:footnote>
  <w:footnote w:id="3">
    <w:p w14:paraId="573CD39F" w14:textId="77777777" w:rsidR="00ED54E8" w:rsidRPr="00073286" w:rsidRDefault="00ED54E8" w:rsidP="004E06C9">
      <w:pPr>
        <w:ind w:left="567" w:hanging="567"/>
        <w:rPr>
          <w:szCs w:val="24"/>
          <w:lang w:val="fi-FI"/>
        </w:rPr>
      </w:pPr>
      <w:r w:rsidRPr="00073286">
        <w:rPr>
          <w:rStyle w:val="FootnoteReference"/>
          <w:szCs w:val="24"/>
        </w:rPr>
        <w:footnoteRef/>
      </w:r>
      <w:r w:rsidR="004E06C9" w:rsidRPr="00073286">
        <w:rPr>
          <w:szCs w:val="24"/>
          <w:lang w:val="fi-FI"/>
        </w:rPr>
        <w:t xml:space="preserve"> </w:t>
      </w:r>
      <w:r w:rsidR="004E06C9" w:rsidRPr="00073286">
        <w:rPr>
          <w:szCs w:val="24"/>
          <w:lang w:val="fi-FI"/>
        </w:rPr>
        <w:tab/>
      </w:r>
      <w:r w:rsidRPr="00073286">
        <w:rPr>
          <w:szCs w:val="24"/>
          <w:lang w:val="fi-FI"/>
        </w:rPr>
        <w:t xml:space="preserve">OJ L, 2024/765, 29.2.2024, ELI: </w:t>
      </w:r>
      <w:r w:rsidR="008A30D7">
        <w:fldChar w:fldCharType="begin"/>
      </w:r>
      <w:r w:rsidR="008A30D7" w:rsidRPr="008A30D7">
        <w:rPr>
          <w:lang w:val="fi-FI"/>
        </w:rPr>
        <w:instrText>HYPERLINK "https://eur-lex.europa.eu/eli/reg/2024/765/oj"</w:instrText>
      </w:r>
      <w:r w:rsidR="008A30D7">
        <w:fldChar w:fldCharType="separate"/>
      </w:r>
      <w:r w:rsidRPr="00073286">
        <w:rPr>
          <w:rStyle w:val="Hyperlink"/>
          <w:szCs w:val="24"/>
          <w:lang w:val="fi-FI"/>
        </w:rPr>
        <w:t>https://eur-lex.europa.eu/eli/reg/2024/765/oj</w:t>
      </w:r>
      <w:r w:rsidR="008A30D7">
        <w:rPr>
          <w:rStyle w:val="Hyperlink"/>
          <w:szCs w:val="24"/>
          <w:lang w:val="fi-FI"/>
        </w:rPr>
        <w:fldChar w:fldCharType="end"/>
      </w:r>
      <w:r w:rsidRPr="00073286">
        <w:rPr>
          <w:szCs w:val="24"/>
          <w:lang w:val="fi-FI"/>
        </w:rPr>
        <w:t>.</w:t>
      </w:r>
    </w:p>
  </w:footnote>
  <w:footnote w:id="4">
    <w:p w14:paraId="538F5559" w14:textId="77777777" w:rsidR="00ED54E8" w:rsidRPr="00073286" w:rsidRDefault="00ED54E8" w:rsidP="004E06C9">
      <w:pPr>
        <w:pStyle w:val="FootnoteText"/>
        <w:ind w:left="567" w:hanging="567"/>
        <w:rPr>
          <w:sz w:val="24"/>
          <w:szCs w:val="24"/>
          <w:lang w:val="fi-FI" w:eastAsia="en-US"/>
        </w:rPr>
      </w:pPr>
      <w:r w:rsidRPr="00073286">
        <w:rPr>
          <w:rStyle w:val="FootnoteReference"/>
          <w:sz w:val="24"/>
          <w:szCs w:val="24"/>
          <w:lang w:val="en-GB"/>
        </w:rPr>
        <w:footnoteRef/>
      </w:r>
      <w:r w:rsidR="004E06C9" w:rsidRPr="00073286">
        <w:rPr>
          <w:sz w:val="24"/>
          <w:szCs w:val="24"/>
          <w:lang w:val="fi-FI"/>
        </w:rPr>
        <w:t xml:space="preserve"> </w:t>
      </w:r>
      <w:r w:rsidR="004E06C9" w:rsidRPr="00073286">
        <w:rPr>
          <w:sz w:val="24"/>
          <w:szCs w:val="24"/>
          <w:lang w:val="fi-FI"/>
        </w:rPr>
        <w:tab/>
      </w:r>
      <w:r w:rsidRPr="00073286">
        <w:rPr>
          <w:sz w:val="24"/>
          <w:szCs w:val="24"/>
          <w:lang w:val="fi-FI"/>
        </w:rPr>
        <w:t xml:space="preserve">OJ L 433 I, 22.12.2020, p. 28, ELI: </w:t>
      </w:r>
      <w:hyperlink r:id="rId2" w:history="1">
        <w:r w:rsidRPr="00073286">
          <w:rPr>
            <w:rStyle w:val="Hyperlink"/>
            <w:sz w:val="24"/>
            <w:szCs w:val="24"/>
            <w:lang w:val="fi-FI"/>
          </w:rPr>
          <w:t>http://data.europa.eu/eli/agree_interinstit/2020/1222/oj</w:t>
        </w:r>
      </w:hyperlink>
      <w:r w:rsidRPr="00073286">
        <w:rPr>
          <w:sz w:val="24"/>
          <w:szCs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01719" w14:textId="77777777" w:rsidR="00064002" w:rsidRPr="004E06C9"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4C746" w14:textId="77777777" w:rsidR="00064002" w:rsidRPr="004E06C9"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FBA81" w14:textId="77777777" w:rsidR="00064002" w:rsidRPr="004E06C9"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352541341">
    <w:abstractNumId w:val="9"/>
  </w:num>
  <w:num w:numId="2" w16cid:durableId="713501940">
    <w:abstractNumId w:val="9"/>
  </w:num>
  <w:num w:numId="3" w16cid:durableId="2012904309">
    <w:abstractNumId w:val="7"/>
  </w:num>
  <w:num w:numId="4" w16cid:durableId="1794404191">
    <w:abstractNumId w:val="7"/>
  </w:num>
  <w:num w:numId="5" w16cid:durableId="1160121728">
    <w:abstractNumId w:val="6"/>
  </w:num>
  <w:num w:numId="6" w16cid:durableId="691108155">
    <w:abstractNumId w:val="6"/>
  </w:num>
  <w:num w:numId="7" w16cid:durableId="2010019811">
    <w:abstractNumId w:val="5"/>
  </w:num>
  <w:num w:numId="8" w16cid:durableId="1929070739">
    <w:abstractNumId w:val="5"/>
  </w:num>
  <w:num w:numId="9" w16cid:durableId="1874923913">
    <w:abstractNumId w:val="4"/>
  </w:num>
  <w:num w:numId="10" w16cid:durableId="819493072">
    <w:abstractNumId w:val="4"/>
  </w:num>
  <w:num w:numId="11" w16cid:durableId="156044323">
    <w:abstractNumId w:val="8"/>
  </w:num>
  <w:num w:numId="12" w16cid:durableId="1648706232">
    <w:abstractNumId w:val="8"/>
  </w:num>
  <w:num w:numId="13" w16cid:durableId="1183546002">
    <w:abstractNumId w:val="3"/>
  </w:num>
  <w:num w:numId="14" w16cid:durableId="1807353311">
    <w:abstractNumId w:val="3"/>
  </w:num>
  <w:num w:numId="15" w16cid:durableId="1089741383">
    <w:abstractNumId w:val="2"/>
  </w:num>
  <w:num w:numId="16" w16cid:durableId="12997213">
    <w:abstractNumId w:val="2"/>
  </w:num>
  <w:num w:numId="17" w16cid:durableId="833953414">
    <w:abstractNumId w:val="1"/>
  </w:num>
  <w:num w:numId="18" w16cid:durableId="1211303056">
    <w:abstractNumId w:val="1"/>
  </w:num>
  <w:num w:numId="19" w16cid:durableId="148832341">
    <w:abstractNumId w:val="0"/>
  </w:num>
  <w:num w:numId="20" w16cid:durableId="238637836">
    <w:abstractNumId w:val="0"/>
  </w:num>
  <w:num w:numId="21" w16cid:durableId="844857320">
    <w:abstractNumId w:val="9"/>
  </w:num>
  <w:num w:numId="22" w16cid:durableId="1477725606">
    <w:abstractNumId w:val="7"/>
  </w:num>
  <w:num w:numId="23" w16cid:durableId="1437097790">
    <w:abstractNumId w:val="6"/>
  </w:num>
  <w:num w:numId="24" w16cid:durableId="964045836">
    <w:abstractNumId w:val="5"/>
  </w:num>
  <w:num w:numId="25" w16cid:durableId="1372463104">
    <w:abstractNumId w:val="4"/>
  </w:num>
  <w:num w:numId="26" w16cid:durableId="1922256137">
    <w:abstractNumId w:val="8"/>
  </w:num>
  <w:num w:numId="27" w16cid:durableId="1267231739">
    <w:abstractNumId w:val="3"/>
  </w:num>
  <w:num w:numId="28" w16cid:durableId="702250522">
    <w:abstractNumId w:val="2"/>
  </w:num>
  <w:num w:numId="29" w16cid:durableId="1297375365">
    <w:abstractNumId w:val="1"/>
  </w:num>
  <w:num w:numId="30" w16cid:durableId="156070639">
    <w:abstractNumId w:val="0"/>
  </w:num>
  <w:num w:numId="31" w16cid:durableId="245067845">
    <w:abstractNumId w:val="9"/>
  </w:num>
  <w:num w:numId="32" w16cid:durableId="502017029">
    <w:abstractNumId w:val="7"/>
  </w:num>
  <w:num w:numId="33" w16cid:durableId="1827697642">
    <w:abstractNumId w:val="6"/>
  </w:num>
  <w:num w:numId="34" w16cid:durableId="774401722">
    <w:abstractNumId w:val="5"/>
  </w:num>
  <w:num w:numId="35" w16cid:durableId="709110528">
    <w:abstractNumId w:val="4"/>
  </w:num>
  <w:num w:numId="36" w16cid:durableId="1771513195">
    <w:abstractNumId w:val="8"/>
  </w:num>
  <w:num w:numId="37" w16cid:durableId="2042515715">
    <w:abstractNumId w:val="3"/>
  </w:num>
  <w:num w:numId="38" w16cid:durableId="195851521">
    <w:abstractNumId w:val="2"/>
  </w:num>
  <w:num w:numId="39" w16cid:durableId="2078556026">
    <w:abstractNumId w:val="1"/>
  </w:num>
  <w:num w:numId="40" w16cid:durableId="157884445">
    <w:abstractNumId w:val="0"/>
  </w:num>
  <w:num w:numId="41" w16cid:durableId="1872257432">
    <w:abstractNumId w:val="10"/>
  </w:num>
  <w:num w:numId="42" w16cid:durableId="129174508">
    <w:abstractNumId w:val="10"/>
  </w:num>
  <w:num w:numId="43" w16cid:durableId="180362897">
    <w:abstractNumId w:val="10"/>
  </w:num>
  <w:num w:numId="44" w16cid:durableId="8773512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docse" w:val="A10-0115/2025"/>
    <w:docVar w:name="dvlangue" w:val="EN"/>
    <w:docVar w:name="dvnumam" w:val="0"/>
    <w:docVar w:name="dvpe" w:val="774.309"/>
    <w:docVar w:name="dvrapporteur" w:val="Rapporteur: "/>
    <w:docVar w:name="dvtitre" w:val="European Parliament resolution of 9 July 2025 on the proposal for a decision of the European Parliament and of the Council on the mobilisation of the European Globalisation Adjustment Fund for Displaced Workers - EGF/2025/000 TA 2025 - Technical assistance at the initiative of the Commission(COM(2025)0680 – C10-0103/2025 – 2025/0135(BUD))"/>
  </w:docVars>
  <w:rsids>
    <w:rsidRoot w:val="00D748F6"/>
    <w:rsid w:val="00002272"/>
    <w:rsid w:val="00064002"/>
    <w:rsid w:val="000677B9"/>
    <w:rsid w:val="00073286"/>
    <w:rsid w:val="000831BA"/>
    <w:rsid w:val="000A42CC"/>
    <w:rsid w:val="000C19C8"/>
    <w:rsid w:val="000E7DD9"/>
    <w:rsid w:val="0010095E"/>
    <w:rsid w:val="00125B37"/>
    <w:rsid w:val="0015699C"/>
    <w:rsid w:val="00181309"/>
    <w:rsid w:val="00187494"/>
    <w:rsid w:val="001F32AE"/>
    <w:rsid w:val="002767FF"/>
    <w:rsid w:val="002B18FE"/>
    <w:rsid w:val="002B5493"/>
    <w:rsid w:val="00343214"/>
    <w:rsid w:val="00361C00"/>
    <w:rsid w:val="00395FA1"/>
    <w:rsid w:val="003C4339"/>
    <w:rsid w:val="003C54CF"/>
    <w:rsid w:val="003E15D4"/>
    <w:rsid w:val="00411CCE"/>
    <w:rsid w:val="0041666E"/>
    <w:rsid w:val="00421060"/>
    <w:rsid w:val="004502A6"/>
    <w:rsid w:val="00471C19"/>
    <w:rsid w:val="004867E3"/>
    <w:rsid w:val="00494A28"/>
    <w:rsid w:val="004C0004"/>
    <w:rsid w:val="004C5D52"/>
    <w:rsid w:val="004E06C9"/>
    <w:rsid w:val="004E6C24"/>
    <w:rsid w:val="0050519A"/>
    <w:rsid w:val="005072A1"/>
    <w:rsid w:val="00514517"/>
    <w:rsid w:val="00545827"/>
    <w:rsid w:val="00560270"/>
    <w:rsid w:val="005C2568"/>
    <w:rsid w:val="005F1B17"/>
    <w:rsid w:val="006037C0"/>
    <w:rsid w:val="006631B6"/>
    <w:rsid w:val="00680577"/>
    <w:rsid w:val="006A33E3"/>
    <w:rsid w:val="006F74FA"/>
    <w:rsid w:val="0072478F"/>
    <w:rsid w:val="00731ADD"/>
    <w:rsid w:val="00734777"/>
    <w:rsid w:val="00747932"/>
    <w:rsid w:val="00751A4A"/>
    <w:rsid w:val="00756632"/>
    <w:rsid w:val="00762C74"/>
    <w:rsid w:val="007838AB"/>
    <w:rsid w:val="00786EC0"/>
    <w:rsid w:val="007A487E"/>
    <w:rsid w:val="007D1690"/>
    <w:rsid w:val="007D66FC"/>
    <w:rsid w:val="007E22AD"/>
    <w:rsid w:val="00817416"/>
    <w:rsid w:val="00842779"/>
    <w:rsid w:val="00865F67"/>
    <w:rsid w:val="00881A7B"/>
    <w:rsid w:val="008840E5"/>
    <w:rsid w:val="00887B3E"/>
    <w:rsid w:val="008A30D7"/>
    <w:rsid w:val="008C2AC6"/>
    <w:rsid w:val="00930C23"/>
    <w:rsid w:val="0093193B"/>
    <w:rsid w:val="009509D8"/>
    <w:rsid w:val="00950B64"/>
    <w:rsid w:val="009571FC"/>
    <w:rsid w:val="00981893"/>
    <w:rsid w:val="00A1687D"/>
    <w:rsid w:val="00A43E52"/>
    <w:rsid w:val="00A4678D"/>
    <w:rsid w:val="00A533C9"/>
    <w:rsid w:val="00A778C7"/>
    <w:rsid w:val="00AB441E"/>
    <w:rsid w:val="00AB6293"/>
    <w:rsid w:val="00AE0928"/>
    <w:rsid w:val="00AE20F0"/>
    <w:rsid w:val="00AF3B82"/>
    <w:rsid w:val="00B12E95"/>
    <w:rsid w:val="00B22876"/>
    <w:rsid w:val="00B558F0"/>
    <w:rsid w:val="00BD48FE"/>
    <w:rsid w:val="00BD7BD8"/>
    <w:rsid w:val="00BE6ADC"/>
    <w:rsid w:val="00C05BFE"/>
    <w:rsid w:val="00C12129"/>
    <w:rsid w:val="00C23CD4"/>
    <w:rsid w:val="00C61C0C"/>
    <w:rsid w:val="00C941CB"/>
    <w:rsid w:val="00CC2357"/>
    <w:rsid w:val="00CF071A"/>
    <w:rsid w:val="00D058B8"/>
    <w:rsid w:val="00D56C11"/>
    <w:rsid w:val="00D748F6"/>
    <w:rsid w:val="00D834A0"/>
    <w:rsid w:val="00D872DF"/>
    <w:rsid w:val="00D91E21"/>
    <w:rsid w:val="00DA7FCD"/>
    <w:rsid w:val="00DC1811"/>
    <w:rsid w:val="00E365E1"/>
    <w:rsid w:val="00E820A4"/>
    <w:rsid w:val="00EB006A"/>
    <w:rsid w:val="00EB4772"/>
    <w:rsid w:val="00ED169E"/>
    <w:rsid w:val="00ED4235"/>
    <w:rsid w:val="00ED54E8"/>
    <w:rsid w:val="00F04346"/>
    <w:rsid w:val="00F075DC"/>
    <w:rsid w:val="00F149E9"/>
    <w:rsid w:val="00F449A6"/>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6A6545"/>
  <w15:chartTrackingRefBased/>
  <w15:docId w15:val="{7474BFF3-88D6-4FD4-8841-7E3489A9D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Footnote symbol,Footnote,16 Point,Superscript 6 Point,Footnote Reference Number,Footnote Reference_LVL6,Footnote Reference_LVL61,Footnote Reference_LVL62,Footnote Reference_LVL63"/>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ED54E8"/>
    <w:pPr>
      <w:widowControl/>
      <w:tabs>
        <w:tab w:val="center" w:pos="4535"/>
        <w:tab w:val="right" w:pos="9921"/>
      </w:tabs>
      <w:ind w:left="-850" w:right="-850"/>
    </w:pPr>
    <w:rPr>
      <w:rFonts w:ascii="Arial" w:hAnsi="Arial" w:cs="Arial"/>
      <w:b/>
      <w:sz w:val="48"/>
    </w:rPr>
  </w:style>
  <w:style w:type="paragraph" w:customStyle="1" w:styleId="PageHeading">
    <w:name w:val="PageHeading"/>
    <w:basedOn w:val="Normal"/>
    <w:rsid w:val="00ED54E8"/>
    <w:pPr>
      <w:keepNext/>
      <w:spacing w:after="480"/>
      <w:jc w:val="center"/>
    </w:pPr>
    <w:rPr>
      <w:rFonts w:ascii="Arial" w:hAnsi="Arial" w:cs="Arial"/>
      <w:b/>
    </w:rPr>
  </w:style>
  <w:style w:type="paragraph" w:customStyle="1" w:styleId="NormalHanging12a">
    <w:name w:val="NormalHanging12a"/>
    <w:basedOn w:val="Normal"/>
    <w:rsid w:val="00ED54E8"/>
    <w:pPr>
      <w:spacing w:after="240"/>
      <w:ind w:left="567" w:hanging="567"/>
    </w:pPr>
  </w:style>
  <w:style w:type="paragraph" w:styleId="Header">
    <w:name w:val="header"/>
    <w:basedOn w:val="Normal"/>
    <w:link w:val="HeaderChar"/>
    <w:rsid w:val="00ED54E8"/>
    <w:pPr>
      <w:tabs>
        <w:tab w:val="center" w:pos="4513"/>
        <w:tab w:val="right" w:pos="9026"/>
      </w:tabs>
    </w:pPr>
  </w:style>
  <w:style w:type="character" w:customStyle="1" w:styleId="HeaderChar">
    <w:name w:val="Header Char"/>
    <w:basedOn w:val="DefaultParagraphFont"/>
    <w:link w:val="Header"/>
    <w:rsid w:val="00ED54E8"/>
    <w:rPr>
      <w:sz w:val="24"/>
    </w:rPr>
  </w:style>
  <w:style w:type="paragraph" w:customStyle="1" w:styleId="EPFooter">
    <w:name w:val="EPFooter"/>
    <w:basedOn w:val="Normal"/>
    <w:rsid w:val="00ED54E8"/>
    <w:pPr>
      <w:tabs>
        <w:tab w:val="center" w:pos="4535"/>
        <w:tab w:val="right" w:pos="9071"/>
      </w:tabs>
      <w:spacing w:before="240" w:after="240"/>
    </w:pPr>
    <w:rPr>
      <w:color w:val="010000"/>
      <w:sz w:val="22"/>
    </w:rPr>
  </w:style>
  <w:style w:type="paragraph" w:customStyle="1" w:styleId="EPComma">
    <w:name w:val="EPComma"/>
    <w:basedOn w:val="Normal"/>
    <w:rsid w:val="00ED54E8"/>
    <w:pPr>
      <w:spacing w:before="480" w:after="240"/>
    </w:pPr>
  </w:style>
  <w:style w:type="character" w:styleId="Hyperlink">
    <w:name w:val="Hyperlink"/>
    <w:basedOn w:val="DefaultParagraphFont"/>
    <w:rsid w:val="00ED54E8"/>
    <w:rPr>
      <w:color w:val="0563C1" w:themeColor="hyperlink"/>
      <w:u w:val="single"/>
    </w:rPr>
  </w:style>
  <w:style w:type="paragraph" w:customStyle="1" w:styleId="Visa">
    <w:name w:val="Visa"/>
    <w:basedOn w:val="Normal"/>
    <w:rsid w:val="00ED54E8"/>
    <w:pPr>
      <w:tabs>
        <w:tab w:val="left" w:pos="357"/>
      </w:tabs>
      <w:snapToGrid w:val="0"/>
      <w:spacing w:after="240"/>
      <w:ind w:left="357" w:hanging="357"/>
    </w:pPr>
    <w:rPr>
      <w:lang w:eastAsia="en-US"/>
    </w:rPr>
  </w:style>
  <w:style w:type="paragraph" w:customStyle="1" w:styleId="Institutionquiagit">
    <w:name w:val="Institution qui agit"/>
    <w:basedOn w:val="Normal"/>
    <w:next w:val="Normal"/>
    <w:rsid w:val="00ED54E8"/>
    <w:pPr>
      <w:keepNext/>
      <w:snapToGrid w:val="0"/>
      <w:spacing w:after="240"/>
    </w:pPr>
    <w:rPr>
      <w:i/>
      <w:lang w:eastAsia="en-US"/>
    </w:rPr>
  </w:style>
  <w:style w:type="paragraph" w:customStyle="1" w:styleId="Titreobjet">
    <w:name w:val="Titre objet"/>
    <w:basedOn w:val="Normal"/>
    <w:next w:val="Normal"/>
    <w:rsid w:val="00ED54E8"/>
    <w:pPr>
      <w:snapToGrid w:val="0"/>
      <w:ind w:left="1418"/>
    </w:pPr>
    <w:rPr>
      <w:lang w:eastAsia="en-US"/>
    </w:rPr>
  </w:style>
  <w:style w:type="paragraph" w:customStyle="1" w:styleId="Fait">
    <w:name w:val="Fait à"/>
    <w:basedOn w:val="Normal"/>
    <w:next w:val="Normal"/>
    <w:rsid w:val="00ED54E8"/>
    <w:pPr>
      <w:keepNext/>
      <w:widowControl/>
      <w:snapToGrid w:val="0"/>
      <w:spacing w:before="120"/>
      <w:jc w:val="both"/>
    </w:pPr>
    <w:rPr>
      <w:szCs w:val="24"/>
    </w:rPr>
  </w:style>
  <w:style w:type="paragraph" w:customStyle="1" w:styleId="Titrearticle">
    <w:name w:val="Titre article"/>
    <w:basedOn w:val="Normal"/>
    <w:next w:val="Normal"/>
    <w:rsid w:val="00ED54E8"/>
    <w:pPr>
      <w:keepNext/>
      <w:widowControl/>
      <w:snapToGrid w:val="0"/>
      <w:spacing w:before="360" w:after="120"/>
      <w:jc w:val="center"/>
    </w:pPr>
    <w:rPr>
      <w:i/>
      <w:iCs/>
      <w:szCs w:val="24"/>
    </w:rPr>
  </w:style>
  <w:style w:type="paragraph" w:customStyle="1" w:styleId="Formuledadoption">
    <w:name w:val="Formule d'adoption"/>
    <w:basedOn w:val="Normal"/>
    <w:next w:val="Titrearticle"/>
    <w:rsid w:val="00ED54E8"/>
    <w:pPr>
      <w:keepNext/>
      <w:widowControl/>
      <w:snapToGrid w:val="0"/>
      <w:spacing w:before="120" w:after="120"/>
      <w:jc w:val="both"/>
    </w:pPr>
    <w:rPr>
      <w:szCs w:val="24"/>
    </w:rPr>
  </w:style>
  <w:style w:type="paragraph" w:customStyle="1" w:styleId="ManualConsidrant">
    <w:name w:val="Manual Considérant"/>
    <w:basedOn w:val="Normal"/>
    <w:rsid w:val="00ED54E8"/>
    <w:pPr>
      <w:widowControl/>
      <w:snapToGrid w:val="0"/>
      <w:spacing w:before="120" w:after="120"/>
      <w:ind w:left="709" w:hanging="709"/>
      <w:jc w:val="both"/>
    </w:pPr>
    <w:rPr>
      <w:szCs w:val="24"/>
    </w:rPr>
  </w:style>
  <w:style w:type="paragraph" w:customStyle="1" w:styleId="Personnequisigne">
    <w:name w:val="Personne qui signe"/>
    <w:basedOn w:val="Normal"/>
    <w:next w:val="Institutionquisigne"/>
    <w:rsid w:val="00ED54E8"/>
    <w:pPr>
      <w:widowControl/>
      <w:tabs>
        <w:tab w:val="left" w:pos="4252"/>
      </w:tabs>
    </w:pPr>
    <w:rPr>
      <w:rFonts w:eastAsiaTheme="minorHAnsi"/>
      <w:i/>
      <w:szCs w:val="22"/>
      <w:lang w:eastAsia="en-US"/>
    </w:rPr>
  </w:style>
  <w:style w:type="paragraph" w:customStyle="1" w:styleId="Institutionquisigne">
    <w:name w:val="Institution qui signe"/>
    <w:basedOn w:val="Normal"/>
    <w:next w:val="Personnequisigne"/>
    <w:rsid w:val="00ED54E8"/>
    <w:pPr>
      <w:keepNext/>
      <w:widowControl/>
      <w:tabs>
        <w:tab w:val="left" w:pos="4252"/>
      </w:tabs>
      <w:spacing w:before="720"/>
      <w:jc w:val="both"/>
    </w:pPr>
    <w:rPr>
      <w:rFonts w:eastAsiaTheme="minorHAnsi"/>
      <w:i/>
      <w:szCs w:val="22"/>
      <w:lang w:eastAsia="en-US"/>
    </w:rPr>
  </w:style>
  <w:style w:type="paragraph" w:styleId="Footer">
    <w:name w:val="footer"/>
    <w:basedOn w:val="Normal"/>
    <w:link w:val="FooterChar"/>
    <w:rsid w:val="003C54CF"/>
    <w:pPr>
      <w:tabs>
        <w:tab w:val="center" w:pos="4513"/>
        <w:tab w:val="right" w:pos="9026"/>
      </w:tabs>
    </w:pPr>
  </w:style>
  <w:style w:type="character" w:customStyle="1" w:styleId="FooterChar">
    <w:name w:val="Footer Char"/>
    <w:basedOn w:val="DefaultParagraphFont"/>
    <w:link w:val="Footer"/>
    <w:rsid w:val="003C54CF"/>
    <w:rPr>
      <w:sz w:val="24"/>
    </w:rPr>
  </w:style>
  <w:style w:type="paragraph" w:styleId="BalloonText">
    <w:name w:val="Balloon Text"/>
    <w:basedOn w:val="Normal"/>
    <w:link w:val="BalloonTextChar"/>
    <w:rsid w:val="007D66FC"/>
    <w:rPr>
      <w:rFonts w:ascii="Segoe UI" w:hAnsi="Segoe UI" w:cs="Segoe UI"/>
      <w:sz w:val="18"/>
      <w:szCs w:val="18"/>
    </w:rPr>
  </w:style>
  <w:style w:type="character" w:customStyle="1" w:styleId="BalloonTextChar">
    <w:name w:val="Balloon Text Char"/>
    <w:basedOn w:val="DefaultParagraphFont"/>
    <w:link w:val="BalloonText"/>
    <w:rsid w:val="007D66FC"/>
    <w:rPr>
      <w:rFonts w:ascii="Segoe UI" w:hAnsi="Segoe UI" w:cs="Segoe UI"/>
      <w:sz w:val="18"/>
      <w:szCs w:val="18"/>
    </w:rPr>
  </w:style>
  <w:style w:type="character" w:styleId="CommentReference">
    <w:name w:val="annotation reference"/>
    <w:basedOn w:val="DefaultParagraphFont"/>
    <w:rsid w:val="00A533C9"/>
    <w:rPr>
      <w:sz w:val="16"/>
      <w:szCs w:val="16"/>
    </w:rPr>
  </w:style>
  <w:style w:type="paragraph" w:styleId="CommentText">
    <w:name w:val="annotation text"/>
    <w:basedOn w:val="Normal"/>
    <w:link w:val="CommentTextChar"/>
    <w:rsid w:val="00A533C9"/>
    <w:rPr>
      <w:sz w:val="20"/>
    </w:rPr>
  </w:style>
  <w:style w:type="character" w:customStyle="1" w:styleId="CommentTextChar">
    <w:name w:val="Comment Text Char"/>
    <w:basedOn w:val="DefaultParagraphFont"/>
    <w:link w:val="CommentText"/>
    <w:rsid w:val="00A533C9"/>
  </w:style>
  <w:style w:type="paragraph" w:styleId="CommentSubject">
    <w:name w:val="annotation subject"/>
    <w:basedOn w:val="CommentText"/>
    <w:next w:val="CommentText"/>
    <w:link w:val="CommentSubjectChar"/>
    <w:rsid w:val="00A533C9"/>
    <w:rPr>
      <w:b/>
      <w:bCs/>
    </w:rPr>
  </w:style>
  <w:style w:type="character" w:customStyle="1" w:styleId="CommentSubjectChar">
    <w:name w:val="Comment Subject Char"/>
    <w:basedOn w:val="CommentTextChar"/>
    <w:link w:val="CommentSubject"/>
    <w:rsid w:val="00A533C9"/>
    <w:rPr>
      <w:b/>
      <w:bCs/>
    </w:rPr>
  </w:style>
  <w:style w:type="character" w:styleId="FollowedHyperlink">
    <w:name w:val="FollowedHyperlink"/>
    <w:basedOn w:val="DefaultParagraphFont"/>
    <w:rsid w:val="00DC1811"/>
    <w:rPr>
      <w:color w:val="954F72" w:themeColor="followedHyperlink"/>
      <w:u w:val="single"/>
    </w:rPr>
  </w:style>
  <w:style w:type="paragraph" w:styleId="Revision">
    <w:name w:val="Revision"/>
    <w:hidden/>
    <w:uiPriority w:val="99"/>
    <w:semiHidden/>
    <w:rsid w:val="0072478F"/>
    <w:rPr>
      <w:sz w:val="24"/>
    </w:rPr>
  </w:style>
  <w:style w:type="character" w:styleId="UnresolvedMention">
    <w:name w:val="Unresolved Mention"/>
    <w:basedOn w:val="DefaultParagraphFont"/>
    <w:uiPriority w:val="99"/>
    <w:semiHidden/>
    <w:unhideWhenUsed/>
    <w:rsid w:val="00AE20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agree_interinstit/2020/1222/oj" TargetMode="External"/><Relationship Id="rId1" Type="http://schemas.openxmlformats.org/officeDocument/2006/relationships/hyperlink" Target="http://data.europa.eu/eli/reg/2021/691/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9E3BDEB9E2C641AB20B9B5ECEF7390" ma:contentTypeVersion="0" ma:contentTypeDescription="Create a new document." ma:contentTypeScope="" ma:versionID="614626fc44473ceb56e0ec5e422035a9">
  <xsd:schema xmlns:xsd="http://www.w3.org/2001/XMLSchema" xmlns:xs="http://www.w3.org/2001/XMLSchema" xmlns:p="http://schemas.microsoft.com/office/2006/metadata/properties" targetNamespace="http://schemas.microsoft.com/office/2006/metadata/properties" ma:root="true" ma:fieldsID="ec3262b18ef56d63b19324dc522ec8a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C43DCE-CA77-4655-8AC0-0A9B5B4531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F2D2E6C-46C1-418A-97F9-B4686496BA75}">
  <ds:schemaRefs>
    <ds:schemaRef ds:uri="http://schemas.openxmlformats.org/officeDocument/2006/bibliography"/>
  </ds:schemaRefs>
</ds:datastoreItem>
</file>

<file path=customXml/itemProps3.xml><?xml version="1.0" encoding="utf-8"?>
<ds:datastoreItem xmlns:ds="http://schemas.openxmlformats.org/officeDocument/2006/customXml" ds:itemID="{77E38577-27A3-4CBC-9E4E-26D11180D655}">
  <ds:schemaRefs>
    <ds:schemaRef ds:uri="http://schemas.microsoft.com/sharepoint/v3/contenttype/forms"/>
  </ds:schemaRefs>
</ds:datastoreItem>
</file>

<file path=customXml/itemProps4.xml><?xml version="1.0" encoding="utf-8"?>
<ds:datastoreItem xmlns:ds="http://schemas.openxmlformats.org/officeDocument/2006/customXml" ds:itemID="{630D33FE-FF1A-4C55-A25E-49637AA9993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1140</Words>
  <Characters>6375</Characters>
  <Application>Microsoft Office Word</Application>
  <DocSecurity>0</DocSecurity>
  <Lines>98</Lines>
  <Paragraphs>24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VENNARD Ronan</cp:lastModifiedBy>
  <cp:revision>2</cp:revision>
  <cp:lastPrinted>2004-11-19T15:42:00Z</cp:lastPrinted>
  <dcterms:created xsi:type="dcterms:W3CDTF">2025-10-21T13:37:00Z</dcterms:created>
  <dcterms:modified xsi:type="dcterms:W3CDTF">2025-10-21T13:37:00Z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P10_TA(2025)0153_</vt:lpwstr>
  </property>
  <property fmtid="{D5CDD505-2E9C-101B-9397-08002B2CF9AE}" pid="4" name="&lt;Type&gt;">
    <vt:lpwstr>RR</vt:lpwstr>
  </property>
  <property fmtid="{D5CDD505-2E9C-101B-9397-08002B2CF9AE}" pid="5" name="ContentTypeId">
    <vt:lpwstr>0x010100899E3BDEB9E2C641AB20B9B5ECEF7390</vt:lpwstr>
  </property>
</Properties>
</file>