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E83" w14:paraId="335E0099" w14:textId="77777777" w:rsidTr="0010095E">
        <w:trPr>
          <w:trHeight w:hRule="exact" w:val="1418"/>
        </w:trPr>
        <w:tc>
          <w:tcPr>
            <w:tcW w:w="6804" w:type="dxa"/>
            <w:shd w:val="clear" w:color="auto" w:fill="auto"/>
            <w:vAlign w:val="center"/>
          </w:tcPr>
          <w:p w14:paraId="7A160302" w14:textId="77777777" w:rsidR="00751A4A" w:rsidRPr="00C44E83" w:rsidRDefault="000524A8" w:rsidP="0010095E">
            <w:pPr>
              <w:pStyle w:val="EPName"/>
            </w:pPr>
            <w:r w:rsidRPr="00C44E83">
              <w:t>Europos Parlamentas</w:t>
            </w:r>
          </w:p>
          <w:p w14:paraId="397E6D72" w14:textId="77777777" w:rsidR="00751A4A" w:rsidRPr="00C44E83" w:rsidRDefault="005F1B17" w:rsidP="005F1B17">
            <w:pPr>
              <w:pStyle w:val="EPTerm"/>
              <w:rPr>
                <w:rStyle w:val="HideTWBExt"/>
                <w:noProof w:val="0"/>
                <w:vanish w:val="0"/>
                <w:color w:val="auto"/>
              </w:rPr>
            </w:pPr>
            <w:r w:rsidRPr="00C44E83">
              <w:t>2024</w:t>
            </w:r>
            <w:r w:rsidR="00817416" w:rsidRPr="00C44E83">
              <w:t>-202</w:t>
            </w:r>
            <w:r w:rsidRPr="00C44E83">
              <w:t>9</w:t>
            </w:r>
          </w:p>
        </w:tc>
        <w:tc>
          <w:tcPr>
            <w:tcW w:w="2268" w:type="dxa"/>
            <w:shd w:val="clear" w:color="auto" w:fill="auto"/>
          </w:tcPr>
          <w:p w14:paraId="423982DC" w14:textId="77777777" w:rsidR="00751A4A" w:rsidRPr="00C44E83" w:rsidRDefault="00187494" w:rsidP="0010095E">
            <w:pPr>
              <w:pStyle w:val="EPLogo"/>
            </w:pPr>
            <w:r w:rsidRPr="00C44E83">
              <w:rPr>
                <w:noProof/>
                <w:lang w:val="pl-PL" w:eastAsia="pl-PL"/>
              </w:rPr>
              <w:drawing>
                <wp:inline distT="0" distB="0" distL="0" distR="0" wp14:anchorId="340A384F" wp14:editId="071F03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49BCC8" w14:textId="77777777" w:rsidR="00D058B8" w:rsidRPr="00C44E83" w:rsidRDefault="00D058B8" w:rsidP="004C5D52">
      <w:pPr>
        <w:pStyle w:val="LineTop"/>
      </w:pPr>
    </w:p>
    <w:p w14:paraId="7FDC1E44" w14:textId="77777777" w:rsidR="00680577" w:rsidRPr="00C44E83" w:rsidRDefault="000524A8" w:rsidP="00680577">
      <w:pPr>
        <w:pStyle w:val="EPBodyTA1"/>
      </w:pPr>
      <w:r w:rsidRPr="00C44E83">
        <w:t>PRIIMTI TEKSTAI</w:t>
      </w:r>
    </w:p>
    <w:p w14:paraId="3A822032" w14:textId="77777777" w:rsidR="00D058B8" w:rsidRPr="00C44E83" w:rsidRDefault="00D058B8" w:rsidP="00D058B8">
      <w:pPr>
        <w:pStyle w:val="LineBottom"/>
      </w:pPr>
    </w:p>
    <w:p w14:paraId="2D1A03FE" w14:textId="77777777" w:rsidR="000524A8" w:rsidRPr="00C44E83" w:rsidRDefault="000524A8" w:rsidP="000524A8">
      <w:pPr>
        <w:pStyle w:val="ATHeading1"/>
      </w:pPr>
      <w:bookmarkStart w:id="0" w:name="TANumber"/>
      <w:r w:rsidRPr="00C44E83">
        <w:t>P10_TA(2025)0</w:t>
      </w:r>
      <w:r w:rsidR="00C1026B">
        <w:t>15</w:t>
      </w:r>
      <w:r w:rsidR="00577F75">
        <w:t>3</w:t>
      </w:r>
      <w:bookmarkEnd w:id="0"/>
    </w:p>
    <w:p w14:paraId="5A17FB57" w14:textId="77777777" w:rsidR="000524A8" w:rsidRPr="00C44E83" w:rsidRDefault="000524A8" w:rsidP="000524A8">
      <w:pPr>
        <w:pStyle w:val="ATHeading2"/>
      </w:pPr>
      <w:bookmarkStart w:id="1" w:name="title"/>
      <w:r w:rsidRPr="00C44E83">
        <w:t xml:space="preserve">Europos prisitaikymo prie globalizacijos padarinių fondo lėšų mobilizavimas: paraiška EGF/2025/000 TA 2025 </w:t>
      </w:r>
      <w:r w:rsidR="002B3609">
        <w:t>–</w:t>
      </w:r>
      <w:r w:rsidR="002B3609" w:rsidRPr="00C44E83">
        <w:t xml:space="preserve"> </w:t>
      </w:r>
      <w:r w:rsidRPr="00C44E83">
        <w:t>Komisijos iniciatyva teikiama techninė parama</w:t>
      </w:r>
      <w:bookmarkEnd w:id="1"/>
    </w:p>
    <w:p w14:paraId="6512312A" w14:textId="77777777" w:rsidR="000524A8" w:rsidRPr="00C44E83" w:rsidRDefault="000524A8" w:rsidP="000524A8">
      <w:pPr>
        <w:rPr>
          <w:i/>
          <w:vanish/>
        </w:rPr>
      </w:pPr>
      <w:r w:rsidRPr="00C44E83">
        <w:rPr>
          <w:i/>
        </w:rPr>
        <w:fldChar w:fldCharType="begin"/>
      </w:r>
      <w:r w:rsidRPr="00C44E83">
        <w:rPr>
          <w:i/>
        </w:rPr>
        <w:instrText xml:space="preserve"> TC"(</w:instrText>
      </w:r>
      <w:bookmarkStart w:id="2" w:name="DocNumber"/>
      <w:r w:rsidRPr="00C44E83">
        <w:rPr>
          <w:i/>
        </w:rPr>
        <w:instrText>A10-0115/2025</w:instrText>
      </w:r>
      <w:bookmarkEnd w:id="2"/>
      <w:r w:rsidRPr="00C44E83">
        <w:rPr>
          <w:i/>
        </w:rPr>
        <w:instrText xml:space="preserve"> - Pranešėjas: Jean-Marc Germain)"\l3 \n&gt; \* MERGEFORMAT </w:instrText>
      </w:r>
      <w:r w:rsidRPr="00C44E83">
        <w:rPr>
          <w:i/>
        </w:rPr>
        <w:fldChar w:fldCharType="end"/>
      </w:r>
    </w:p>
    <w:p w14:paraId="05F4FC11" w14:textId="77777777" w:rsidR="000524A8" w:rsidRPr="00C44E83" w:rsidRDefault="000524A8" w:rsidP="000524A8">
      <w:pPr>
        <w:rPr>
          <w:vanish/>
        </w:rPr>
      </w:pPr>
      <w:bookmarkStart w:id="3" w:name="Commission"/>
      <w:r w:rsidRPr="00C44E83">
        <w:rPr>
          <w:vanish/>
        </w:rPr>
        <w:t>Biudžeto komitetas</w:t>
      </w:r>
      <w:bookmarkEnd w:id="3"/>
    </w:p>
    <w:p w14:paraId="2276C98E" w14:textId="77777777" w:rsidR="000524A8" w:rsidRPr="00C44E83" w:rsidRDefault="000524A8" w:rsidP="000524A8">
      <w:pPr>
        <w:rPr>
          <w:vanish/>
        </w:rPr>
      </w:pPr>
      <w:bookmarkStart w:id="4" w:name="PE"/>
      <w:r w:rsidRPr="00C44E83">
        <w:rPr>
          <w:vanish/>
        </w:rPr>
        <w:t>PE774.309</w:t>
      </w:r>
      <w:bookmarkEnd w:id="4"/>
    </w:p>
    <w:p w14:paraId="421F1AF6" w14:textId="77777777" w:rsidR="000524A8" w:rsidRPr="00C44E83" w:rsidRDefault="002B3609" w:rsidP="000524A8">
      <w:pPr>
        <w:pStyle w:val="ATHeading3"/>
      </w:pPr>
      <w:bookmarkStart w:id="5" w:name="Sujet"/>
      <w:r>
        <w:t xml:space="preserve">2025 m. liepos 9 d. </w:t>
      </w:r>
      <w:r w:rsidR="000524A8" w:rsidRPr="00C44E83">
        <w:t xml:space="preserve">Europos Parlamento </w:t>
      </w:r>
      <w:r>
        <w:t>rezoliucija</w:t>
      </w:r>
      <w:r w:rsidR="000524A8" w:rsidRPr="00C44E83">
        <w:t xml:space="preserve"> dėl pasiūlymo dėl Europos Parlamento ir Tarybos sprendimo dėl Europos prisitaikymo prie globalizacijos padarinių fondo atleistiems darbuotojams lėšų mobilizavimo (EGF/2025/000 TA 2025 – Komisijos iniciatyva teikiama techninė parama)</w:t>
      </w:r>
      <w:bookmarkEnd w:id="5"/>
      <w:r w:rsidR="000524A8" w:rsidRPr="00C44E83">
        <w:t xml:space="preserve"> </w:t>
      </w:r>
      <w:bookmarkStart w:id="6" w:name="References"/>
      <w:r w:rsidR="000524A8" w:rsidRPr="00C44E83">
        <w:t>(COM(2025)0680 – C10-0103/2025 – 2025/0135(BUD))</w:t>
      </w:r>
      <w:bookmarkEnd w:id="6"/>
    </w:p>
    <w:p w14:paraId="3E5A290F" w14:textId="77777777" w:rsidR="00663100" w:rsidRPr="005B70C1" w:rsidRDefault="00663100" w:rsidP="00663100">
      <w:pPr>
        <w:pStyle w:val="EPComma"/>
        <w:rPr>
          <w:noProof/>
          <w:szCs w:val="24"/>
        </w:rPr>
      </w:pPr>
      <w:r w:rsidRPr="005B70C1">
        <w:rPr>
          <w:i/>
          <w:szCs w:val="24"/>
        </w:rPr>
        <w:t>Europos Parlamentas</w:t>
      </w:r>
      <w:r w:rsidRPr="005B70C1">
        <w:rPr>
          <w:szCs w:val="24"/>
        </w:rPr>
        <w:t>,</w:t>
      </w:r>
    </w:p>
    <w:p w14:paraId="23E5E830" w14:textId="77777777" w:rsidR="00663100" w:rsidRPr="005B70C1" w:rsidRDefault="00663100" w:rsidP="00663100">
      <w:pPr>
        <w:pStyle w:val="NormalHanging12a"/>
        <w:rPr>
          <w:noProof/>
          <w:szCs w:val="24"/>
        </w:rPr>
      </w:pPr>
      <w:r w:rsidRPr="005B70C1">
        <w:rPr>
          <w:szCs w:val="24"/>
        </w:rPr>
        <w:t>–</w:t>
      </w:r>
      <w:r w:rsidRPr="005B70C1">
        <w:rPr>
          <w:szCs w:val="24"/>
        </w:rPr>
        <w:tab/>
        <w:t>atsižvelgdamas į Komisijos pasiūlymą Europos Parlamentui ir Tarybai (COM(2025)0680 – C10-0103/2025),</w:t>
      </w:r>
    </w:p>
    <w:p w14:paraId="460934B5" w14:textId="77777777" w:rsidR="00663100" w:rsidRPr="005B70C1" w:rsidRDefault="00663100" w:rsidP="00663100">
      <w:pPr>
        <w:pStyle w:val="NormalHanging12a"/>
        <w:rPr>
          <w:noProof/>
          <w:szCs w:val="24"/>
        </w:rPr>
      </w:pPr>
      <w:r w:rsidRPr="005B70C1">
        <w:rPr>
          <w:szCs w:val="24"/>
        </w:rPr>
        <w:t>–</w:t>
      </w:r>
      <w:r w:rsidRPr="005B70C1">
        <w:rPr>
          <w:szCs w:val="24"/>
        </w:rPr>
        <w:tab/>
        <w:t>atsižvelgdamas į 2021 m. balandžio 28 d. Europos Parlamento ir Tarybos reglamentą (ES) 2021/691 dėl Europos prisitaikymo prie globalizacijos padarinių fondo atleistiems darbuotojams (EGF), kuriuo panaikinamas Reglamentas (ES) Nr. 1309/2013</w:t>
      </w:r>
      <w:r w:rsidRPr="005B70C1">
        <w:rPr>
          <w:rStyle w:val="FootnoteReference"/>
          <w:szCs w:val="24"/>
        </w:rPr>
        <w:footnoteReference w:id="1"/>
      </w:r>
      <w:r w:rsidRPr="005B70C1">
        <w:rPr>
          <w:szCs w:val="24"/>
        </w:rPr>
        <w:t xml:space="preserve"> (toliau – EGF reglamentas),</w:t>
      </w:r>
    </w:p>
    <w:p w14:paraId="6A37D13A" w14:textId="77777777" w:rsidR="00663100" w:rsidRPr="005B70C1" w:rsidRDefault="00663100" w:rsidP="00AC4D2F">
      <w:pPr>
        <w:pStyle w:val="NormalHanging12a"/>
        <w:rPr>
          <w:noProof/>
          <w:szCs w:val="24"/>
        </w:rPr>
      </w:pPr>
      <w:r w:rsidRPr="005B70C1">
        <w:rPr>
          <w:szCs w:val="24"/>
        </w:rPr>
        <w:t>–</w:t>
      </w:r>
      <w:r w:rsidRPr="005B70C1">
        <w:rPr>
          <w:szCs w:val="24"/>
        </w:rPr>
        <w:tab/>
        <w:t>atsižvelgdamas į 2020 m. gruodžio 17 d. Tarybos reglamentą (ES, Euratomas) 2020/2093, kuriuo nustatoma 2021–2027 m. daugiametė finansinė programa</w:t>
      </w:r>
      <w:r w:rsidRPr="005B70C1">
        <w:rPr>
          <w:rStyle w:val="FootnoteReference"/>
          <w:snapToGrid w:val="0"/>
          <w:szCs w:val="24"/>
        </w:rPr>
        <w:footnoteReference w:id="2"/>
      </w:r>
      <w:r w:rsidRPr="005B70C1">
        <w:rPr>
          <w:szCs w:val="24"/>
        </w:rPr>
        <w:t>, su pakeitimais, padarytais Reglamentu (ES, Euratomas) 2024/765</w:t>
      </w:r>
      <w:r w:rsidRPr="005B70C1">
        <w:rPr>
          <w:rStyle w:val="FootnoteReference"/>
          <w:snapToGrid w:val="0"/>
          <w:szCs w:val="24"/>
          <w:bdr w:val="none" w:sz="0" w:space="0" w:color="auto" w:frame="1"/>
        </w:rPr>
        <w:footnoteReference w:id="3"/>
      </w:r>
      <w:r w:rsidRPr="005B70C1">
        <w:rPr>
          <w:szCs w:val="24"/>
        </w:rPr>
        <w:t>, ypač į jo 8 straipsnį</w:t>
      </w:r>
      <w:r w:rsidR="00AC4D2F" w:rsidRPr="005B70C1">
        <w:rPr>
          <w:szCs w:val="24"/>
        </w:rPr>
        <w:t>,</w:t>
      </w:r>
    </w:p>
    <w:p w14:paraId="7A62973A" w14:textId="77777777" w:rsidR="00663100" w:rsidRPr="005B70C1" w:rsidRDefault="00663100" w:rsidP="00AC4D2F">
      <w:pPr>
        <w:pStyle w:val="EPFooter"/>
        <w:tabs>
          <w:tab w:val="clear" w:pos="4535"/>
          <w:tab w:val="clear" w:pos="9071"/>
        </w:tabs>
        <w:spacing w:before="0"/>
        <w:ind w:left="567" w:hanging="567"/>
        <w:rPr>
          <w:sz w:val="24"/>
          <w:szCs w:val="24"/>
        </w:rPr>
      </w:pPr>
      <w:r w:rsidRPr="005B70C1">
        <w:rPr>
          <w:sz w:val="24"/>
          <w:szCs w:val="24"/>
        </w:rPr>
        <w:t>–</w:t>
      </w:r>
      <w:r w:rsidRPr="005B70C1">
        <w:rPr>
          <w:sz w:val="24"/>
          <w:szCs w:val="24"/>
        </w:rPr>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5B70C1">
        <w:rPr>
          <w:rStyle w:val="FootnoteReference"/>
          <w:sz w:val="24"/>
          <w:szCs w:val="24"/>
        </w:rPr>
        <w:footnoteReference w:id="4"/>
      </w:r>
      <w:r w:rsidRPr="005B70C1">
        <w:rPr>
          <w:sz w:val="24"/>
          <w:szCs w:val="24"/>
        </w:rPr>
        <w:t>, ypač į jo 9 punktą</w:t>
      </w:r>
      <w:r w:rsidR="002B3609" w:rsidRPr="005B70C1">
        <w:rPr>
          <w:sz w:val="24"/>
          <w:szCs w:val="24"/>
        </w:rPr>
        <w:t>,</w:t>
      </w:r>
    </w:p>
    <w:p w14:paraId="33508142" w14:textId="77777777" w:rsidR="00663100" w:rsidRPr="005B70C1" w:rsidRDefault="00663100" w:rsidP="00AC4D2F">
      <w:pPr>
        <w:tabs>
          <w:tab w:val="left" w:pos="567"/>
        </w:tabs>
        <w:snapToGrid w:val="0"/>
        <w:spacing w:after="240"/>
        <w:ind w:left="567" w:hanging="567"/>
        <w:rPr>
          <w:noProof/>
          <w:szCs w:val="24"/>
        </w:rPr>
      </w:pPr>
      <w:r w:rsidRPr="005B70C1">
        <w:rPr>
          <w:szCs w:val="24"/>
        </w:rPr>
        <w:t>–</w:t>
      </w:r>
      <w:r w:rsidRPr="005B70C1">
        <w:rPr>
          <w:szCs w:val="24"/>
        </w:rPr>
        <w:tab/>
      </w:r>
      <w:r w:rsidRPr="005B70C1">
        <w:rPr>
          <w:snapToGrid w:val="0"/>
          <w:szCs w:val="24"/>
        </w:rPr>
        <w:t>atsižvelgdamas į Biudžeto komiteto pranešimą (A10-0115/2025),</w:t>
      </w:r>
      <w:r w:rsidRPr="005B70C1">
        <w:rPr>
          <w:szCs w:val="24"/>
        </w:rPr>
        <w:t xml:space="preserve"> </w:t>
      </w:r>
    </w:p>
    <w:p w14:paraId="327B9E1D" w14:textId="77777777" w:rsidR="00663100" w:rsidRPr="005B70C1" w:rsidRDefault="00663100" w:rsidP="00AC4D2F">
      <w:pPr>
        <w:tabs>
          <w:tab w:val="left" w:pos="567"/>
        </w:tabs>
        <w:spacing w:after="240"/>
        <w:ind w:left="567" w:hanging="567"/>
        <w:rPr>
          <w:szCs w:val="24"/>
        </w:rPr>
      </w:pPr>
      <w:r w:rsidRPr="005B70C1">
        <w:rPr>
          <w:szCs w:val="24"/>
        </w:rPr>
        <w:t>A.</w:t>
      </w:r>
      <w:r w:rsidRPr="005B70C1">
        <w:rPr>
          <w:szCs w:val="24"/>
        </w:rPr>
        <w:tab/>
        <w:t xml:space="preserve">kadangi Sąjunga nustatė teisėkūros ir biudžetines priemones siekdama teikti papildomą paramą darbuotojams, nukentėjusiems dėl globalizacijos ir technologinių padarinių bei </w:t>
      </w:r>
      <w:r w:rsidRPr="005B70C1">
        <w:rPr>
          <w:szCs w:val="24"/>
        </w:rPr>
        <w:lastRenderedPageBreak/>
        <w:t>aplinkos pokyčių, pvz., pasaulio prekybos sistemos pokyčių, ginčų dėl prekybos, svarbių pasikeitimų Sąjungos prekybos santykiuose ar vidaus rinkos struktūroje, dėl finansų ar ekonomikos krizių, taip pat perėjimo prie mažo anglies dioksido pėdsako ekonomikos arba dėl skaitmeninimo ar automatizavimo padarinių;</w:t>
      </w:r>
    </w:p>
    <w:p w14:paraId="4B6D8FE8" w14:textId="77777777" w:rsidR="00663100" w:rsidRPr="005B70C1" w:rsidRDefault="00663100" w:rsidP="00AC4D2F">
      <w:pPr>
        <w:tabs>
          <w:tab w:val="left" w:pos="567"/>
        </w:tabs>
        <w:spacing w:after="240"/>
        <w:ind w:left="567" w:hanging="567"/>
        <w:rPr>
          <w:szCs w:val="24"/>
        </w:rPr>
      </w:pPr>
      <w:r w:rsidRPr="005B70C1">
        <w:rPr>
          <w:szCs w:val="24"/>
        </w:rPr>
        <w:t>B.</w:t>
      </w:r>
      <w:r w:rsidRPr="005B70C1">
        <w:rPr>
          <w:szCs w:val="24"/>
        </w:rPr>
        <w:tab/>
        <w:t xml:space="preserve">kadangi Sąjungos pagalba atleistiems darbuotojams visų pirma turėtų sutelkta į aktyvias darbo rinkos politikos priemones ir prie individualių poreikių pritaikytas paslaugas, kuriomis siekiama greitai </w:t>
      </w:r>
      <w:proofErr w:type="spellStart"/>
      <w:r w:rsidRPr="005B70C1">
        <w:rPr>
          <w:szCs w:val="24"/>
        </w:rPr>
        <w:t>reintegruoti</w:t>
      </w:r>
      <w:proofErr w:type="spellEnd"/>
      <w:r w:rsidRPr="005B70C1">
        <w:rPr>
          <w:szCs w:val="24"/>
        </w:rPr>
        <w:t xml:space="preserve"> paramos gavėjus padedant jiems susirasti deramas ir tvarias darbo vietas, kartu juos rengiant žalesnei ir labiau skaitmeninei Europos ekonomikai, tinkamai atsižvelgiant į 2020 m. gruodžio 16 d. tarpinstitucinį susitarimą dėl sprendimų mobilizuoti Europos prisitaikymo prie globalizacijos padarinių fondo atleistiems darbuotojams (EGF) lėšas priėmimo;</w:t>
      </w:r>
    </w:p>
    <w:p w14:paraId="45369B29" w14:textId="77777777" w:rsidR="00663100" w:rsidRPr="005B70C1" w:rsidRDefault="00663100" w:rsidP="002B3609">
      <w:pPr>
        <w:spacing w:after="240"/>
        <w:ind w:left="567" w:hanging="567"/>
        <w:jc w:val="both"/>
        <w:rPr>
          <w:szCs w:val="24"/>
        </w:rPr>
      </w:pPr>
      <w:r w:rsidRPr="005B70C1">
        <w:rPr>
          <w:szCs w:val="24"/>
        </w:rPr>
        <w:t>C.</w:t>
      </w:r>
      <w:r w:rsidRPr="005B70C1">
        <w:rPr>
          <w:szCs w:val="24"/>
        </w:rPr>
        <w:tab/>
        <w:t>kadangi Sąjunga visų pirma išplėtė EGF taikymo sritį, kad galėtų teikti finansinę paramą didelio masto restruktūrizavimo atveju, taigi ji apima ir COVID-19 krizės ekonominių padarinių atvejus;</w:t>
      </w:r>
    </w:p>
    <w:p w14:paraId="5AEB529A" w14:textId="77777777" w:rsidR="00663100" w:rsidRPr="005B70C1" w:rsidRDefault="00663100" w:rsidP="00B26858">
      <w:pPr>
        <w:spacing w:after="240"/>
        <w:ind w:left="567" w:hanging="567"/>
        <w:rPr>
          <w:color w:val="000000"/>
          <w:szCs w:val="24"/>
          <w:bdr w:val="none" w:sz="0" w:space="0" w:color="auto" w:frame="1"/>
        </w:rPr>
      </w:pPr>
      <w:r w:rsidRPr="005B70C1">
        <w:rPr>
          <w:szCs w:val="24"/>
        </w:rPr>
        <w:t>D.</w:t>
      </w:r>
      <w:r w:rsidRPr="005B70C1">
        <w:rPr>
          <w:szCs w:val="24"/>
        </w:rPr>
        <w:tab/>
        <w:t>kadangi 2021 m. priėmus naująjį EGF reglamentą EGF taikymo sritis dar labiau išplėsta, kad apimtų svarbius restruktūrizavimo atvejus, kuriuos lėmė perėjimas prie mažo anglies dioksido kiekio technologijų ekonomikos arba skaitmeninimas ar automatizavimas, kartu nuo 500 iki 200 atleistų darbuotojų sumažinta ir EGF lėšų panaudojimui reikalinga riba;</w:t>
      </w:r>
    </w:p>
    <w:p w14:paraId="10CCCE91" w14:textId="77777777" w:rsidR="00663100" w:rsidRPr="005B70C1" w:rsidRDefault="00663100">
      <w:pPr>
        <w:spacing w:after="240"/>
        <w:ind w:left="567" w:hanging="567"/>
        <w:rPr>
          <w:color w:val="000000"/>
          <w:szCs w:val="24"/>
          <w:bdr w:val="none" w:sz="0" w:space="0" w:color="auto" w:frame="1"/>
        </w:rPr>
      </w:pPr>
      <w:r w:rsidRPr="005B70C1">
        <w:rPr>
          <w:color w:val="000000"/>
          <w:szCs w:val="24"/>
          <w:bdr w:val="none" w:sz="0" w:space="0" w:color="auto" w:frame="1"/>
        </w:rPr>
        <w:t>E.</w:t>
      </w:r>
      <w:r w:rsidRPr="005B70C1">
        <w:rPr>
          <w:color w:val="000000"/>
          <w:szCs w:val="24"/>
          <w:bdr w:val="none" w:sz="0" w:space="0" w:color="auto" w:frame="1"/>
        </w:rPr>
        <w:tab/>
      </w:r>
      <w:r w:rsidRPr="005B70C1">
        <w:rPr>
          <w:szCs w:val="24"/>
          <w:bdr w:val="none" w:sz="0" w:space="0" w:color="auto" w:frame="1"/>
        </w:rPr>
        <w:t>kadangi tikslinant DFP didžiausia metinė EGF suma sumažinta nuo 186 mln. EUR iki 30 mln. EUR (2018 m. kainomis), kaip nustatyta Tarybos reglamento (ES, Euratomas) 2020/2093, su pakeitimais, padarytais Reglamentu (ES, Euratomas) 2024/765, 8 straipsnyje;</w:t>
      </w:r>
      <w:r w:rsidRPr="005B70C1">
        <w:rPr>
          <w:color w:val="000000"/>
          <w:szCs w:val="24"/>
          <w:bdr w:val="none" w:sz="0" w:space="0" w:color="auto" w:frame="1"/>
        </w:rPr>
        <w:t xml:space="preserve"> kadangi visos institucijos turi užtikrinti, kad, nepaisant šio sumažinimo, atleisti darbuotojai galėtų pasikliauti Sąjungos solidarumu, išreiškiamu teikiant EGF paramą;</w:t>
      </w:r>
    </w:p>
    <w:p w14:paraId="1C1D4461" w14:textId="77777777" w:rsidR="00663100" w:rsidRPr="005B70C1" w:rsidRDefault="00663100">
      <w:pPr>
        <w:spacing w:after="240"/>
        <w:ind w:left="567" w:hanging="567"/>
        <w:rPr>
          <w:color w:val="000000"/>
          <w:szCs w:val="24"/>
          <w:bdr w:val="none" w:sz="0" w:space="0" w:color="auto" w:frame="1"/>
        </w:rPr>
      </w:pPr>
      <w:r w:rsidRPr="005B70C1">
        <w:rPr>
          <w:color w:val="000000"/>
          <w:szCs w:val="24"/>
          <w:bdr w:val="none" w:sz="0" w:space="0" w:color="auto" w:frame="1"/>
        </w:rPr>
        <w:t>F.</w:t>
      </w:r>
      <w:r w:rsidRPr="005B70C1">
        <w:rPr>
          <w:color w:val="000000"/>
          <w:szCs w:val="24"/>
          <w:bdr w:val="none" w:sz="0" w:space="0" w:color="auto" w:frame="1"/>
        </w:rPr>
        <w:tab/>
      </w:r>
      <w:r w:rsidRPr="005B70C1">
        <w:rPr>
          <w:szCs w:val="24"/>
        </w:rPr>
        <w:t>kadangi pagal EGF reglamento 11 straipsnio 1 dalį numatyta, kad techninei paramai Komisijos iniciatyva gali būti skiriama iki 0,5 proc. šios maksimalios sumos;</w:t>
      </w:r>
    </w:p>
    <w:p w14:paraId="29D4FD74" w14:textId="77777777" w:rsidR="00663100" w:rsidRPr="005B70C1" w:rsidRDefault="00663100">
      <w:pPr>
        <w:spacing w:after="240"/>
        <w:ind w:left="567" w:hanging="567"/>
        <w:rPr>
          <w:color w:val="000000"/>
          <w:szCs w:val="24"/>
          <w:bdr w:val="none" w:sz="0" w:space="0" w:color="auto" w:frame="1"/>
        </w:rPr>
      </w:pPr>
      <w:r w:rsidRPr="005B70C1">
        <w:rPr>
          <w:color w:val="000000"/>
          <w:szCs w:val="24"/>
          <w:bdr w:val="none" w:sz="0" w:space="0" w:color="auto" w:frame="1"/>
        </w:rPr>
        <w:t>G.</w:t>
      </w:r>
      <w:r w:rsidRPr="005B70C1">
        <w:rPr>
          <w:color w:val="000000"/>
          <w:szCs w:val="24"/>
          <w:bdr w:val="none" w:sz="0" w:space="0" w:color="auto" w:frame="1"/>
        </w:rPr>
        <w:tab/>
        <w:t>kadangi techninę pagalbą gali sudaryti techninės ir administracinės EGF įgyvendinimo išlaidos, pavyzdžiui, pasirengimo, stebėsenos, kontrolės, audito ir vertinimo, taip pat duomenų rinkimo veiklos, įskaitant institucinių informacinių technologijų sistemas, komunikacijos veiklą ir veiklą, kuria didinamas EGF kaip fondo arba konkrečių projektų matomumas, taip pat kitos techninės pagalbos priemonių išlaidos;</w:t>
      </w:r>
    </w:p>
    <w:p w14:paraId="6B0C182A" w14:textId="77777777" w:rsidR="00663100" w:rsidRPr="005B70C1" w:rsidRDefault="00663100">
      <w:pPr>
        <w:pStyle w:val="NormalHanging12a"/>
        <w:rPr>
          <w:snapToGrid w:val="0"/>
          <w:color w:val="000000"/>
          <w:szCs w:val="24"/>
          <w:bdr w:val="none" w:sz="0" w:space="0" w:color="auto" w:frame="1"/>
        </w:rPr>
      </w:pPr>
      <w:r w:rsidRPr="005B70C1">
        <w:rPr>
          <w:snapToGrid w:val="0"/>
          <w:color w:val="000000"/>
          <w:szCs w:val="24"/>
          <w:bdr w:val="none" w:sz="0" w:space="0" w:color="auto" w:frame="1"/>
        </w:rPr>
        <w:t>H.</w:t>
      </w:r>
      <w:r w:rsidRPr="005B70C1">
        <w:rPr>
          <w:snapToGrid w:val="0"/>
          <w:color w:val="000000"/>
          <w:szCs w:val="24"/>
          <w:bdr w:val="none" w:sz="0" w:space="0" w:color="auto" w:frame="1"/>
        </w:rPr>
        <w:tab/>
      </w:r>
      <w:r w:rsidRPr="005B70C1">
        <w:rPr>
          <w:snapToGrid w:val="0"/>
          <w:szCs w:val="24"/>
        </w:rPr>
        <w:t>kadangi siūloma 170 000 EUR suma atitinka apytikriai 0,49 proc. didžiausio metinio EGF biudžeto, skirto 2025 m.;</w:t>
      </w:r>
    </w:p>
    <w:p w14:paraId="4A07F8F8" w14:textId="77777777" w:rsidR="00663100" w:rsidRPr="005B70C1" w:rsidRDefault="00663100">
      <w:pPr>
        <w:spacing w:after="240"/>
        <w:ind w:left="567" w:hanging="567"/>
        <w:rPr>
          <w:szCs w:val="24"/>
          <w:bdr w:val="none" w:sz="0" w:space="0" w:color="auto" w:frame="1"/>
        </w:rPr>
      </w:pPr>
      <w:r w:rsidRPr="005B70C1">
        <w:rPr>
          <w:szCs w:val="24"/>
          <w:bdr w:val="none" w:sz="0" w:space="0" w:color="auto" w:frame="1"/>
        </w:rPr>
        <w:t>1.</w:t>
      </w:r>
      <w:r w:rsidRPr="005B70C1">
        <w:rPr>
          <w:szCs w:val="24"/>
          <w:bdr w:val="none" w:sz="0" w:space="0" w:color="auto" w:frame="1"/>
        </w:rPr>
        <w:tab/>
        <w:t>pritaria 170 000 EUR sumos mobilizavimui ir tam, kad Komisijos siūlomos priemonės būtų finansuojamos kaip techninė pagalba pagal EGF reglamento 11 straipsnio 1 ir 4 dalis ir 12 straipsnio 2, 3 ir 4 dalis;</w:t>
      </w:r>
    </w:p>
    <w:p w14:paraId="2EE729B9" w14:textId="77777777" w:rsidR="00663100" w:rsidRPr="005B70C1" w:rsidRDefault="00663100">
      <w:pPr>
        <w:spacing w:after="240"/>
        <w:ind w:left="567" w:hanging="567"/>
        <w:rPr>
          <w:szCs w:val="24"/>
        </w:rPr>
      </w:pPr>
      <w:r w:rsidRPr="005B70C1">
        <w:rPr>
          <w:szCs w:val="24"/>
        </w:rPr>
        <w:t>2.</w:t>
      </w:r>
      <w:r w:rsidRPr="005B70C1">
        <w:rPr>
          <w:szCs w:val="24"/>
        </w:rPr>
        <w:tab/>
        <w:t>džiaugiasi tuo, kad tęsiamas su standartinėmis EGF paraiškų teikimo ir administravimo procedūromis susijęs darbas, naudojant elektroninio keitimosi duomenimis sistemos (Bendra pasidalijamojo fondų valdymo sistema (SFC)) funkcijas, kurios sudaro galimybes supaprastinti paraiškų teikimą ir greičiau jas tvarkyti, taip pat užtikrinti geresnį ataskaitų teikimą;</w:t>
      </w:r>
    </w:p>
    <w:p w14:paraId="753859B2" w14:textId="77777777" w:rsidR="00663100" w:rsidRPr="005B70C1" w:rsidRDefault="00663100">
      <w:pPr>
        <w:spacing w:after="240"/>
        <w:ind w:left="567" w:hanging="567"/>
        <w:rPr>
          <w:szCs w:val="24"/>
        </w:rPr>
      </w:pPr>
      <w:r w:rsidRPr="005B70C1">
        <w:rPr>
          <w:szCs w:val="24"/>
        </w:rPr>
        <w:lastRenderedPageBreak/>
        <w:t>3.</w:t>
      </w:r>
      <w:r w:rsidRPr="005B70C1">
        <w:rPr>
          <w:szCs w:val="24"/>
        </w:rPr>
        <w:tab/>
        <w:t>atkreipia dėmesį į tai, kad Komisija panaudodama turimą administracinei paramai numatytą biudžetą surengs EGF asmenų ryšiams ekspertų grupės (du nariai iš kiekvienos valstybės narės) posėdžius ir vieną seminarą, kuriame dalyvaus EGF įgyvendinančios institucijos ir socialiniai partneriai, siekiant skatinti valstybių narių tinklų kūrimą; ragina Komisiją, vadovaujantis atitinkamomis Pagrindų susitarimo dėl Parlamento ir Komisijos santykių nuostatomis, toliau sistemingai kviesti Parlamentą dalyvauti šiuose posėdžiuose ir seminaruose;</w:t>
      </w:r>
    </w:p>
    <w:p w14:paraId="0DD60A69" w14:textId="77777777" w:rsidR="00663100" w:rsidRPr="005B70C1" w:rsidRDefault="00663100">
      <w:pPr>
        <w:spacing w:after="240"/>
        <w:ind w:left="567" w:hanging="567"/>
        <w:rPr>
          <w:szCs w:val="24"/>
        </w:rPr>
      </w:pPr>
      <w:r w:rsidRPr="005B70C1">
        <w:rPr>
          <w:szCs w:val="24"/>
        </w:rPr>
        <w:t>4.</w:t>
      </w:r>
      <w:r w:rsidRPr="005B70C1">
        <w:rPr>
          <w:szCs w:val="24"/>
        </w:rPr>
        <w:tab/>
        <w:t>ragina Komisiją pritaikyti geriausią COVID-19 pandemijos metu sukauptą patirtį, visų pirma priemones, kurios gali padėti paspartinti įtraukią žaliąją ir skaitmeninę pertvarką ir remti pagrindinius Sąjungos prioritetus, pvz., lyčių lygybę;</w:t>
      </w:r>
    </w:p>
    <w:p w14:paraId="675A24A6" w14:textId="77777777" w:rsidR="00663100" w:rsidRPr="005B70C1" w:rsidRDefault="00663100">
      <w:pPr>
        <w:spacing w:after="240"/>
        <w:ind w:left="567" w:hanging="567"/>
        <w:rPr>
          <w:szCs w:val="24"/>
        </w:rPr>
      </w:pPr>
      <w:r w:rsidRPr="005B70C1">
        <w:rPr>
          <w:szCs w:val="24"/>
        </w:rPr>
        <w:t>5.</w:t>
      </w:r>
      <w:r w:rsidRPr="005B70C1">
        <w:rPr>
          <w:szCs w:val="24"/>
        </w:rPr>
        <w:tab/>
        <w:t xml:space="preserve">pabrėžia, kad reikia toliau didinti bendrą informuotumą apie EGF ir jo matomumą; atkreipia dėmesį į tai, kad šio tikslo galima siekti su EGF susijusią veiklą propaguojant įvairiuose Komisijos leidiniuose bei garso ir vaizdo įrašuose, kaip nustatyta EGF reglamento 11 straipsnio 1 dalyje; </w:t>
      </w:r>
      <w:r w:rsidRPr="005B70C1">
        <w:rPr>
          <w:szCs w:val="24"/>
          <w:bdr w:val="none" w:sz="0" w:space="0" w:color="auto" w:frame="1"/>
        </w:rPr>
        <w:t>šiuo požiūriu palankiai vertina EGF skirtos interneto svetainės priežiūrą, ir ragina Komisiją reguliariai ją atnaujinti ir plėsti, kad būtų padidintas EGF demonstruojamo Europos solidarumo matomumas plačiajai visuomenei ir Sąjungos veiksmų skaidrumas;</w:t>
      </w:r>
    </w:p>
    <w:p w14:paraId="083CF197" w14:textId="77777777" w:rsidR="00663100" w:rsidRPr="005B70C1" w:rsidRDefault="00663100">
      <w:pPr>
        <w:spacing w:after="240"/>
        <w:ind w:left="567" w:hanging="567"/>
        <w:rPr>
          <w:szCs w:val="24"/>
        </w:rPr>
      </w:pPr>
      <w:r w:rsidRPr="005B70C1">
        <w:rPr>
          <w:szCs w:val="24"/>
        </w:rPr>
        <w:t>6.</w:t>
      </w:r>
      <w:r w:rsidRPr="005B70C1">
        <w:rPr>
          <w:szCs w:val="24"/>
        </w:rPr>
        <w:tab/>
        <w:t>primena paraiškas teikiančioms valstybėms narėms jų pagrindinį vaidmenį plačiai viešinant EGF finansuojamus veiksmus tiksliniams paramos gavėjams, vietos ir regionų valdžios institucijoms, socialiniams partneriams, žiniasklaidai ir plačiajai visuomenei, kaip nustatyta EGF reglamento 12 straipsnyje; ragina Komisiją sistemingai tikrinti, ar valstybės narės laikosi EGF reglamento, ypač jo 12 straipsnio 1 dalies;</w:t>
      </w:r>
    </w:p>
    <w:p w14:paraId="250CD5F2" w14:textId="77777777" w:rsidR="00663100" w:rsidRPr="005B70C1" w:rsidRDefault="00663100">
      <w:pPr>
        <w:spacing w:after="240"/>
        <w:ind w:left="567" w:hanging="567"/>
        <w:rPr>
          <w:szCs w:val="24"/>
        </w:rPr>
      </w:pPr>
      <w:r w:rsidRPr="005B70C1">
        <w:rPr>
          <w:szCs w:val="24"/>
        </w:rPr>
        <w:t>7.</w:t>
      </w:r>
      <w:r w:rsidRPr="005B70C1">
        <w:rPr>
          <w:szCs w:val="24"/>
        </w:rPr>
        <w:tab/>
        <w:t>pritaria prie šios rezoliucijos pridedamam sprendimui;</w:t>
      </w:r>
    </w:p>
    <w:p w14:paraId="78785F35" w14:textId="77777777" w:rsidR="00663100" w:rsidRPr="005B70C1" w:rsidRDefault="00663100">
      <w:pPr>
        <w:spacing w:after="240"/>
        <w:ind w:left="567" w:hanging="567"/>
        <w:rPr>
          <w:szCs w:val="24"/>
        </w:rPr>
      </w:pPr>
      <w:r w:rsidRPr="005B70C1">
        <w:rPr>
          <w:szCs w:val="24"/>
        </w:rPr>
        <w:t>8.</w:t>
      </w:r>
      <w:r w:rsidRPr="005B70C1">
        <w:rPr>
          <w:szCs w:val="24"/>
        </w:rPr>
        <w:tab/>
        <w:t xml:space="preserve">paveda Pirmininkei pasirašyti šį sprendimą su Tarybos pirmininku ir užtikrinti, kad jis būtų paskelbtas </w:t>
      </w:r>
      <w:r w:rsidRPr="005B70C1">
        <w:rPr>
          <w:i/>
          <w:szCs w:val="24"/>
        </w:rPr>
        <w:t>Europos Sąjungos oficialiajame leidinyje</w:t>
      </w:r>
      <w:r w:rsidRPr="005B70C1">
        <w:rPr>
          <w:szCs w:val="24"/>
        </w:rPr>
        <w:t>;</w:t>
      </w:r>
    </w:p>
    <w:p w14:paraId="3CE95A3B" w14:textId="77777777" w:rsidR="00663100" w:rsidRPr="00C44E83" w:rsidRDefault="00663100" w:rsidP="00AC4D2F">
      <w:pPr>
        <w:spacing w:after="240"/>
        <w:ind w:left="567" w:hanging="567"/>
        <w:rPr>
          <w:noProof/>
        </w:rPr>
      </w:pPr>
      <w:r w:rsidRPr="005B70C1">
        <w:rPr>
          <w:szCs w:val="24"/>
        </w:rPr>
        <w:t>9.</w:t>
      </w:r>
      <w:r w:rsidRPr="005B70C1">
        <w:rPr>
          <w:szCs w:val="24"/>
        </w:rPr>
        <w:tab/>
        <w:t>paveda Pirmininkei perd</w:t>
      </w:r>
      <w:r w:rsidRPr="00C44E83">
        <w:t>uoti šią rezoliuciją ir jos priedą Tarybai ir Komisijai.</w:t>
      </w:r>
    </w:p>
    <w:p w14:paraId="5F376B83" w14:textId="77777777" w:rsidR="00B26858" w:rsidRDefault="00B26858">
      <w:pPr>
        <w:widowControl/>
        <w:rPr>
          <w:noProof/>
        </w:rPr>
      </w:pPr>
      <w:r>
        <w:rPr>
          <w:b/>
          <w:noProof/>
        </w:rPr>
        <w:br w:type="page"/>
      </w:r>
    </w:p>
    <w:p w14:paraId="4B52317C" w14:textId="77777777" w:rsidR="005951E6" w:rsidRPr="005951E6" w:rsidRDefault="00663100" w:rsidP="00663100">
      <w:pPr>
        <w:pStyle w:val="PageHeading"/>
        <w:rPr>
          <w:rFonts w:ascii="Times New Roman" w:hAnsi="Times New Roman" w:cs="Times New Roman"/>
        </w:rPr>
      </w:pPr>
      <w:bookmarkStart w:id="7" w:name="_Toc202432183"/>
      <w:r w:rsidRPr="005951E6">
        <w:rPr>
          <w:rFonts w:ascii="Times New Roman" w:hAnsi="Times New Roman" w:cs="Times New Roman"/>
        </w:rPr>
        <w:lastRenderedPageBreak/>
        <w:t>PRIEDAS</w:t>
      </w:r>
    </w:p>
    <w:p w14:paraId="6C2477E0" w14:textId="45DD0694" w:rsidR="00663100" w:rsidRPr="005951E6" w:rsidRDefault="00663100" w:rsidP="00663100">
      <w:pPr>
        <w:pStyle w:val="PageHeading"/>
        <w:rPr>
          <w:rFonts w:ascii="Times New Roman" w:hAnsi="Times New Roman" w:cs="Times New Roman"/>
          <w:noProof/>
        </w:rPr>
      </w:pPr>
      <w:r w:rsidRPr="005951E6">
        <w:rPr>
          <w:rFonts w:ascii="Times New Roman" w:hAnsi="Times New Roman" w:cs="Times New Roman"/>
        </w:rPr>
        <w:t>EUROPOS PARLAMENTO IR TARYBOS SPRENDIMAS</w:t>
      </w:r>
      <w:bookmarkEnd w:id="7"/>
    </w:p>
    <w:p w14:paraId="4E17ACCF" w14:textId="77777777" w:rsidR="00663100" w:rsidRDefault="00663100" w:rsidP="00663100">
      <w:pPr>
        <w:pStyle w:val="Titreobjet"/>
        <w:widowControl/>
        <w:spacing w:before="360" w:after="360"/>
        <w:ind w:left="0"/>
        <w:jc w:val="center"/>
        <w:rPr>
          <w:b/>
        </w:rPr>
      </w:pPr>
      <w:r w:rsidRPr="005951E6">
        <w:rPr>
          <w:b/>
        </w:rPr>
        <w:t>dėl Europos prisitaikymo prie globalizacijos padarinių fondo atleistiems darbuotojams lėšų mobilizavimo (EGF/2025/000 TA 2025 – Komisijos iniciatyva teikiama techninė parama)</w:t>
      </w:r>
    </w:p>
    <w:p w14:paraId="726D5FC4" w14:textId="0AE4D5D7" w:rsidR="00F51311" w:rsidRPr="00F51311" w:rsidRDefault="00F51311" w:rsidP="00F51311">
      <w:pPr>
        <w:keepNext/>
        <w:widowControl/>
        <w:spacing w:before="600" w:after="120"/>
        <w:rPr>
          <w:rFonts w:eastAsia="Calibri"/>
          <w:i/>
          <w:iCs/>
          <w:szCs w:val="22"/>
          <w:lang w:eastAsia="en-US"/>
        </w:rPr>
      </w:pPr>
      <w:r w:rsidRPr="00F51311">
        <w:rPr>
          <w:rFonts w:eastAsia="Calibri"/>
          <w:i/>
          <w:iCs/>
          <w:szCs w:val="22"/>
          <w:lang w:eastAsia="en-US"/>
        </w:rPr>
        <w:t>(Šio priedo tekstas čia nepateikiamas, nes jis atitinka galutinį aktą – Sprendimą (ES) 2025/152</w:t>
      </w:r>
      <w:r>
        <w:rPr>
          <w:rFonts w:eastAsia="Calibri"/>
          <w:i/>
          <w:iCs/>
          <w:szCs w:val="22"/>
          <w:lang w:eastAsia="en-US"/>
        </w:rPr>
        <w:t>4</w:t>
      </w:r>
      <w:r w:rsidRPr="00F51311">
        <w:rPr>
          <w:rFonts w:eastAsia="Calibri"/>
          <w:i/>
          <w:iCs/>
          <w:szCs w:val="22"/>
          <w:lang w:eastAsia="en-US"/>
        </w:rPr>
        <w:t>.)</w:t>
      </w:r>
    </w:p>
    <w:p w14:paraId="4DF2C84B" w14:textId="77777777" w:rsidR="004E4A42" w:rsidRPr="004E4A42" w:rsidRDefault="004E4A42" w:rsidP="004E4A42">
      <w:pPr>
        <w:rPr>
          <w:rFonts w:eastAsiaTheme="minorHAnsi"/>
          <w:lang w:eastAsia="en-US"/>
        </w:rPr>
      </w:pPr>
    </w:p>
    <w:sectPr w:rsidR="004E4A42" w:rsidRPr="004E4A42" w:rsidSect="00C44E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CF3D6" w14:textId="77777777" w:rsidR="000524A8" w:rsidRPr="00C44E83" w:rsidRDefault="000524A8">
      <w:r w:rsidRPr="00C44E83">
        <w:separator/>
      </w:r>
    </w:p>
  </w:endnote>
  <w:endnote w:type="continuationSeparator" w:id="0">
    <w:p w14:paraId="2E870006" w14:textId="77777777" w:rsidR="000524A8" w:rsidRPr="00C44E83" w:rsidRDefault="000524A8">
      <w:r w:rsidRPr="00C44E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B740" w14:textId="77777777" w:rsidR="00064002" w:rsidRPr="00C44E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CF16E" w14:textId="77777777" w:rsidR="00064002" w:rsidRPr="00C44E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940A" w14:textId="77777777" w:rsidR="00064002" w:rsidRPr="00C44E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BAA39" w14:textId="77777777" w:rsidR="000524A8" w:rsidRPr="00C44E83" w:rsidRDefault="000524A8">
      <w:r w:rsidRPr="00C44E83">
        <w:separator/>
      </w:r>
    </w:p>
  </w:footnote>
  <w:footnote w:type="continuationSeparator" w:id="0">
    <w:p w14:paraId="0B23F5C0" w14:textId="77777777" w:rsidR="000524A8" w:rsidRPr="00C44E83" w:rsidRDefault="000524A8">
      <w:r w:rsidRPr="00C44E83">
        <w:continuationSeparator/>
      </w:r>
    </w:p>
  </w:footnote>
  <w:footnote w:id="1">
    <w:p w14:paraId="0A4FC01F" w14:textId="77777777" w:rsidR="00663100" w:rsidRPr="00C44E83" w:rsidRDefault="00663100" w:rsidP="00C44E83">
      <w:pPr>
        <w:pStyle w:val="FootnoteText"/>
        <w:ind w:left="567" w:hanging="567"/>
        <w:rPr>
          <w:sz w:val="24"/>
          <w:lang w:val="lt-LT"/>
        </w:rPr>
      </w:pPr>
      <w:r w:rsidRPr="00C44E83">
        <w:rPr>
          <w:rStyle w:val="FootnoteReference"/>
          <w:sz w:val="24"/>
          <w:lang w:val="lt-LT"/>
        </w:rPr>
        <w:footnoteRef/>
      </w:r>
      <w:r w:rsidR="00C44E83" w:rsidRPr="00C44E83">
        <w:rPr>
          <w:sz w:val="24"/>
          <w:lang w:val="lt-LT"/>
        </w:rPr>
        <w:t xml:space="preserve"> </w:t>
      </w:r>
      <w:r w:rsidR="00C44E83" w:rsidRPr="00C44E83">
        <w:rPr>
          <w:sz w:val="24"/>
          <w:lang w:val="lt-LT"/>
        </w:rPr>
        <w:tab/>
      </w:r>
      <w:r w:rsidRPr="00C44E83">
        <w:rPr>
          <w:sz w:val="24"/>
          <w:lang w:val="lt-LT"/>
        </w:rPr>
        <w:t xml:space="preserve">OL L 153, 2021 5 3, p. 48, ELI: </w:t>
      </w:r>
      <w:hyperlink r:id="rId1" w:history="1">
        <w:r w:rsidRPr="00C44E83">
          <w:rPr>
            <w:rStyle w:val="Hyperlink"/>
            <w:sz w:val="24"/>
            <w:lang w:val="lt-LT"/>
          </w:rPr>
          <w:t>http://data.europa.eu/eli/reg/2021/691/oj</w:t>
        </w:r>
      </w:hyperlink>
      <w:r w:rsidRPr="00C44E83">
        <w:rPr>
          <w:sz w:val="24"/>
          <w:lang w:val="lt-LT"/>
        </w:rPr>
        <w:t>.</w:t>
      </w:r>
    </w:p>
  </w:footnote>
  <w:footnote w:id="2">
    <w:p w14:paraId="308A2660" w14:textId="77777777" w:rsidR="00663100" w:rsidRPr="00C44E83" w:rsidRDefault="00663100" w:rsidP="00C44E83">
      <w:pPr>
        <w:ind w:left="567" w:hanging="567"/>
      </w:pPr>
      <w:r w:rsidRPr="00C44E83">
        <w:rPr>
          <w:rStyle w:val="FootnoteReference"/>
        </w:rPr>
        <w:footnoteRef/>
      </w:r>
      <w:r w:rsidR="00C44E83" w:rsidRPr="00C44E83">
        <w:t xml:space="preserve"> </w:t>
      </w:r>
      <w:r w:rsidR="00C44E83" w:rsidRPr="00C44E83">
        <w:tab/>
      </w:r>
      <w:r w:rsidRPr="00C44E83">
        <w:t xml:space="preserve">OL L 433 I, 2020 12 22, p. 11, ELI: </w:t>
      </w:r>
      <w:hyperlink r:id="rId2" w:history="1">
        <w:r w:rsidRPr="00C44E83">
          <w:rPr>
            <w:rStyle w:val="Hyperlink"/>
          </w:rPr>
          <w:t>http://data.europa.eu/eli/reg/2020/2093/oj</w:t>
        </w:r>
      </w:hyperlink>
      <w:r w:rsidRPr="00C44E83">
        <w:t>.</w:t>
      </w:r>
    </w:p>
  </w:footnote>
  <w:footnote w:id="3">
    <w:p w14:paraId="3EEF04CC" w14:textId="77777777" w:rsidR="00663100" w:rsidRPr="00C44E83" w:rsidRDefault="00663100" w:rsidP="00C44E83">
      <w:pPr>
        <w:ind w:left="567" w:hanging="567"/>
      </w:pPr>
      <w:r w:rsidRPr="00C44E83">
        <w:rPr>
          <w:rStyle w:val="FootnoteReference"/>
        </w:rPr>
        <w:footnoteRef/>
      </w:r>
      <w:r w:rsidR="00C44E83" w:rsidRPr="00C44E83">
        <w:t xml:space="preserve"> </w:t>
      </w:r>
      <w:r w:rsidR="00C44E83" w:rsidRPr="00C44E83">
        <w:tab/>
      </w:r>
      <w:r w:rsidRPr="00C44E83">
        <w:t xml:space="preserve">OL L, 2024/765, 2024 2 29, ELI: </w:t>
      </w:r>
      <w:hyperlink r:id="rId3" w:history="1">
        <w:r w:rsidRPr="00C44E83">
          <w:rPr>
            <w:rStyle w:val="Hyperlink"/>
          </w:rPr>
          <w:t>https://eur-lex.europa.eu/eli/reg/2024/765/oj</w:t>
        </w:r>
      </w:hyperlink>
      <w:r w:rsidRPr="00C44E83">
        <w:t>.</w:t>
      </w:r>
    </w:p>
  </w:footnote>
  <w:footnote w:id="4">
    <w:p w14:paraId="7297CA5E" w14:textId="77777777" w:rsidR="00663100" w:rsidRPr="00C44E83" w:rsidRDefault="00663100" w:rsidP="00C44E83">
      <w:pPr>
        <w:pStyle w:val="FootnoteText"/>
        <w:ind w:left="567" w:hanging="567"/>
        <w:rPr>
          <w:sz w:val="24"/>
          <w:lang w:val="lt-LT"/>
        </w:rPr>
      </w:pPr>
      <w:r w:rsidRPr="00C44E83">
        <w:rPr>
          <w:rStyle w:val="FootnoteReference"/>
          <w:sz w:val="24"/>
          <w:lang w:val="lt-LT"/>
        </w:rPr>
        <w:footnoteRef/>
      </w:r>
      <w:r w:rsidR="00C44E83" w:rsidRPr="00C44E83">
        <w:rPr>
          <w:sz w:val="24"/>
          <w:lang w:val="lt-LT"/>
        </w:rPr>
        <w:t xml:space="preserve"> </w:t>
      </w:r>
      <w:r w:rsidR="00C44E83" w:rsidRPr="00C44E83">
        <w:rPr>
          <w:sz w:val="24"/>
          <w:lang w:val="lt-LT"/>
        </w:rPr>
        <w:tab/>
      </w:r>
      <w:r w:rsidRPr="00C44E83">
        <w:rPr>
          <w:sz w:val="24"/>
          <w:lang w:val="lt-LT"/>
        </w:rPr>
        <w:t>OL L 433 I, 2020 12 22, p. </w:t>
      </w:r>
      <w:r w:rsidRPr="00C44E83">
        <w:rPr>
          <w:sz w:val="24"/>
          <w:lang w:val="lt-LT"/>
        </w:rPr>
        <w:t xml:space="preserve">28, ELI: </w:t>
      </w:r>
      <w:hyperlink r:id="rId4" w:history="1">
        <w:r w:rsidRPr="00C44E83">
          <w:rPr>
            <w:rStyle w:val="Hyperlink"/>
            <w:sz w:val="24"/>
            <w:lang w:val="lt-LT"/>
          </w:rPr>
          <w:t>http://data.europa.eu/eli/agree_interinstit/2020/1222/oj</w:t>
        </w:r>
      </w:hyperlink>
      <w:r w:rsidRPr="00C44E8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D940" w14:textId="77777777" w:rsidR="00064002" w:rsidRPr="00C44E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91789" w14:textId="77777777" w:rsidR="00064002" w:rsidRPr="00C44E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2298" w14:textId="77777777" w:rsidR="00064002" w:rsidRPr="00C44E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4348546">
    <w:abstractNumId w:val="9"/>
  </w:num>
  <w:num w:numId="2" w16cid:durableId="445080279">
    <w:abstractNumId w:val="9"/>
  </w:num>
  <w:num w:numId="3" w16cid:durableId="1857228457">
    <w:abstractNumId w:val="7"/>
  </w:num>
  <w:num w:numId="4" w16cid:durableId="1503810532">
    <w:abstractNumId w:val="7"/>
  </w:num>
  <w:num w:numId="5" w16cid:durableId="2029477838">
    <w:abstractNumId w:val="6"/>
  </w:num>
  <w:num w:numId="6" w16cid:durableId="39521466">
    <w:abstractNumId w:val="6"/>
  </w:num>
  <w:num w:numId="7" w16cid:durableId="192575941">
    <w:abstractNumId w:val="5"/>
  </w:num>
  <w:num w:numId="8" w16cid:durableId="2080055543">
    <w:abstractNumId w:val="5"/>
  </w:num>
  <w:num w:numId="9" w16cid:durableId="763765966">
    <w:abstractNumId w:val="4"/>
  </w:num>
  <w:num w:numId="10" w16cid:durableId="563373959">
    <w:abstractNumId w:val="4"/>
  </w:num>
  <w:num w:numId="11" w16cid:durableId="1702706254">
    <w:abstractNumId w:val="8"/>
  </w:num>
  <w:num w:numId="12" w16cid:durableId="1546138940">
    <w:abstractNumId w:val="8"/>
  </w:num>
  <w:num w:numId="13" w16cid:durableId="152531839">
    <w:abstractNumId w:val="3"/>
  </w:num>
  <w:num w:numId="14" w16cid:durableId="237372330">
    <w:abstractNumId w:val="3"/>
  </w:num>
  <w:num w:numId="15" w16cid:durableId="337662740">
    <w:abstractNumId w:val="2"/>
  </w:num>
  <w:num w:numId="16" w16cid:durableId="1145005358">
    <w:abstractNumId w:val="2"/>
  </w:num>
  <w:num w:numId="17" w16cid:durableId="2019430908">
    <w:abstractNumId w:val="1"/>
  </w:num>
  <w:num w:numId="18" w16cid:durableId="1021055182">
    <w:abstractNumId w:val="1"/>
  </w:num>
  <w:num w:numId="19" w16cid:durableId="1526015168">
    <w:abstractNumId w:val="0"/>
  </w:num>
  <w:num w:numId="20" w16cid:durableId="62341188">
    <w:abstractNumId w:val="0"/>
  </w:num>
  <w:num w:numId="21" w16cid:durableId="1477725493">
    <w:abstractNumId w:val="9"/>
  </w:num>
  <w:num w:numId="22" w16cid:durableId="1710571631">
    <w:abstractNumId w:val="7"/>
  </w:num>
  <w:num w:numId="23" w16cid:durableId="389498250">
    <w:abstractNumId w:val="6"/>
  </w:num>
  <w:num w:numId="24" w16cid:durableId="644361345">
    <w:abstractNumId w:val="5"/>
  </w:num>
  <w:num w:numId="25" w16cid:durableId="2103985473">
    <w:abstractNumId w:val="4"/>
  </w:num>
  <w:num w:numId="26" w16cid:durableId="1794640237">
    <w:abstractNumId w:val="8"/>
  </w:num>
  <w:num w:numId="27" w16cid:durableId="171998111">
    <w:abstractNumId w:val="3"/>
  </w:num>
  <w:num w:numId="28" w16cid:durableId="1060597131">
    <w:abstractNumId w:val="2"/>
  </w:num>
  <w:num w:numId="29" w16cid:durableId="400369778">
    <w:abstractNumId w:val="1"/>
  </w:num>
  <w:num w:numId="30" w16cid:durableId="206532926">
    <w:abstractNumId w:val="0"/>
  </w:num>
  <w:num w:numId="31" w16cid:durableId="2040818790">
    <w:abstractNumId w:val="9"/>
  </w:num>
  <w:num w:numId="32" w16cid:durableId="282536751">
    <w:abstractNumId w:val="7"/>
  </w:num>
  <w:num w:numId="33" w16cid:durableId="697895378">
    <w:abstractNumId w:val="6"/>
  </w:num>
  <w:num w:numId="34" w16cid:durableId="1417898386">
    <w:abstractNumId w:val="5"/>
  </w:num>
  <w:num w:numId="35" w16cid:durableId="237986601">
    <w:abstractNumId w:val="4"/>
  </w:num>
  <w:num w:numId="36" w16cid:durableId="1838769720">
    <w:abstractNumId w:val="8"/>
  </w:num>
  <w:num w:numId="37" w16cid:durableId="1153329589">
    <w:abstractNumId w:val="3"/>
  </w:num>
  <w:num w:numId="38" w16cid:durableId="1427338185">
    <w:abstractNumId w:val="2"/>
  </w:num>
  <w:num w:numId="39" w16cid:durableId="495804176">
    <w:abstractNumId w:val="1"/>
  </w:num>
  <w:num w:numId="40" w16cid:durableId="1485465675">
    <w:abstractNumId w:val="0"/>
  </w:num>
  <w:num w:numId="41" w16cid:durableId="260993082">
    <w:abstractNumId w:val="10"/>
  </w:num>
  <w:num w:numId="42" w16cid:durableId="1906452595">
    <w:abstractNumId w:val="10"/>
  </w:num>
  <w:num w:numId="43" w16cid:durableId="1562449936">
    <w:abstractNumId w:val="10"/>
  </w:num>
  <w:num w:numId="44" w16cid:durableId="112066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LT"/>
    <w:docVar w:name="dvnumam" w:val="0"/>
    <w:docVar w:name="dvpe" w:val="774.309"/>
    <w:docVar w:name="dvrapporteur" w:val="Pranešėjas: "/>
    <w:docVar w:name="dvtitre" w:val="Europos Parlamento sprendimas dėl pasiūlymo dėl Europos Parlamento ir Tarybos sprendimo dėl Europos prisitaikymo prie globalizacijos padarinių fondo atleistiems darbuotojams lėšų mobilizavimo (EGF/2025/000 TA 2025 – Komisijos iniciatyva teikiama techninė parama)(COM(2025)0680 – C10-0103/2025 – 2025/0135(BUD))"/>
  </w:docVars>
  <w:rsids>
    <w:rsidRoot w:val="000524A8"/>
    <w:rsid w:val="00002272"/>
    <w:rsid w:val="000524A8"/>
    <w:rsid w:val="00064002"/>
    <w:rsid w:val="000677B9"/>
    <w:rsid w:val="000831BA"/>
    <w:rsid w:val="000A42CC"/>
    <w:rsid w:val="000E7DD9"/>
    <w:rsid w:val="0010095E"/>
    <w:rsid w:val="00125B37"/>
    <w:rsid w:val="00187494"/>
    <w:rsid w:val="001F32AE"/>
    <w:rsid w:val="002767FF"/>
    <w:rsid w:val="002B18FE"/>
    <w:rsid w:val="002B3609"/>
    <w:rsid w:val="002B5493"/>
    <w:rsid w:val="00343214"/>
    <w:rsid w:val="00361C00"/>
    <w:rsid w:val="00395FA1"/>
    <w:rsid w:val="003E15D4"/>
    <w:rsid w:val="00411CCE"/>
    <w:rsid w:val="0041666E"/>
    <w:rsid w:val="00421060"/>
    <w:rsid w:val="00471C19"/>
    <w:rsid w:val="004867E3"/>
    <w:rsid w:val="00494A28"/>
    <w:rsid w:val="004C0004"/>
    <w:rsid w:val="004C5D52"/>
    <w:rsid w:val="004E4A42"/>
    <w:rsid w:val="0050519A"/>
    <w:rsid w:val="005072A1"/>
    <w:rsid w:val="00514517"/>
    <w:rsid w:val="00545827"/>
    <w:rsid w:val="00560270"/>
    <w:rsid w:val="00577F75"/>
    <w:rsid w:val="005951E6"/>
    <w:rsid w:val="005B70C1"/>
    <w:rsid w:val="005C2568"/>
    <w:rsid w:val="005F1B17"/>
    <w:rsid w:val="006037C0"/>
    <w:rsid w:val="0066310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D2F"/>
    <w:rsid w:val="00AE0928"/>
    <w:rsid w:val="00AF3B82"/>
    <w:rsid w:val="00B12E95"/>
    <w:rsid w:val="00B22876"/>
    <w:rsid w:val="00B26858"/>
    <w:rsid w:val="00B558F0"/>
    <w:rsid w:val="00BD48FE"/>
    <w:rsid w:val="00BD7BD8"/>
    <w:rsid w:val="00BE6ADC"/>
    <w:rsid w:val="00C05BFE"/>
    <w:rsid w:val="00C1026B"/>
    <w:rsid w:val="00C23CD4"/>
    <w:rsid w:val="00C44E83"/>
    <w:rsid w:val="00C61C0C"/>
    <w:rsid w:val="00C941CB"/>
    <w:rsid w:val="00CC2357"/>
    <w:rsid w:val="00CF071A"/>
    <w:rsid w:val="00D058B8"/>
    <w:rsid w:val="00D56C11"/>
    <w:rsid w:val="00D834A0"/>
    <w:rsid w:val="00D86B3E"/>
    <w:rsid w:val="00D872DF"/>
    <w:rsid w:val="00D91E21"/>
    <w:rsid w:val="00DA7FCD"/>
    <w:rsid w:val="00E365E1"/>
    <w:rsid w:val="00E820A4"/>
    <w:rsid w:val="00EB006A"/>
    <w:rsid w:val="00EB4772"/>
    <w:rsid w:val="00ED02C1"/>
    <w:rsid w:val="00ED169E"/>
    <w:rsid w:val="00ED4235"/>
    <w:rsid w:val="00F04346"/>
    <w:rsid w:val="00F075DC"/>
    <w:rsid w:val="00F149E9"/>
    <w:rsid w:val="00F5131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4CF23"/>
  <w15:chartTrackingRefBased/>
  <w15:docId w15:val="{C288432D-3EAF-4AA7-9A4F-CEA28718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310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63100"/>
    <w:pPr>
      <w:keepNext/>
      <w:spacing w:after="480"/>
      <w:jc w:val="center"/>
    </w:pPr>
    <w:rPr>
      <w:rFonts w:ascii="Arial" w:hAnsi="Arial" w:cs="Arial"/>
      <w:b/>
    </w:rPr>
  </w:style>
  <w:style w:type="paragraph" w:customStyle="1" w:styleId="NormalHanging12a">
    <w:name w:val="NormalHanging12a"/>
    <w:basedOn w:val="Normal"/>
    <w:rsid w:val="00663100"/>
    <w:pPr>
      <w:spacing w:after="240"/>
      <w:ind w:left="567" w:hanging="567"/>
    </w:pPr>
  </w:style>
  <w:style w:type="paragraph" w:styleId="Header">
    <w:name w:val="header"/>
    <w:basedOn w:val="Normal"/>
    <w:link w:val="HeaderChar"/>
    <w:rsid w:val="00663100"/>
    <w:pPr>
      <w:tabs>
        <w:tab w:val="center" w:pos="4513"/>
        <w:tab w:val="right" w:pos="9026"/>
      </w:tabs>
    </w:pPr>
  </w:style>
  <w:style w:type="character" w:customStyle="1" w:styleId="HeaderChar">
    <w:name w:val="Header Char"/>
    <w:basedOn w:val="DefaultParagraphFont"/>
    <w:link w:val="Header"/>
    <w:rsid w:val="00663100"/>
    <w:rPr>
      <w:sz w:val="24"/>
      <w:lang w:val="lt-LT"/>
    </w:rPr>
  </w:style>
  <w:style w:type="paragraph" w:customStyle="1" w:styleId="EPFooter">
    <w:name w:val="EPFooter"/>
    <w:basedOn w:val="Normal"/>
    <w:rsid w:val="00663100"/>
    <w:pPr>
      <w:tabs>
        <w:tab w:val="center" w:pos="4535"/>
        <w:tab w:val="right" w:pos="9071"/>
      </w:tabs>
      <w:spacing w:before="240" w:after="240"/>
    </w:pPr>
    <w:rPr>
      <w:color w:val="010000"/>
      <w:sz w:val="22"/>
    </w:rPr>
  </w:style>
  <w:style w:type="paragraph" w:customStyle="1" w:styleId="EPComma">
    <w:name w:val="EPComma"/>
    <w:basedOn w:val="Normal"/>
    <w:rsid w:val="00663100"/>
    <w:pPr>
      <w:spacing w:before="480" w:after="240"/>
    </w:pPr>
  </w:style>
  <w:style w:type="character" w:styleId="Hyperlink">
    <w:name w:val="Hyperlink"/>
    <w:basedOn w:val="DefaultParagraphFont"/>
    <w:rsid w:val="00663100"/>
    <w:rPr>
      <w:color w:val="0563C1" w:themeColor="hyperlink"/>
      <w:u w:val="single"/>
    </w:rPr>
  </w:style>
  <w:style w:type="paragraph" w:customStyle="1" w:styleId="Visa">
    <w:name w:val="Visa"/>
    <w:basedOn w:val="Normal"/>
    <w:rsid w:val="00663100"/>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663100"/>
    <w:pPr>
      <w:keepNext/>
      <w:snapToGrid w:val="0"/>
      <w:spacing w:after="240"/>
    </w:pPr>
    <w:rPr>
      <w:i/>
      <w:lang w:eastAsia="en-US"/>
    </w:rPr>
  </w:style>
  <w:style w:type="paragraph" w:customStyle="1" w:styleId="Titreobjet">
    <w:name w:val="Titre objet"/>
    <w:basedOn w:val="Normal"/>
    <w:next w:val="Normal"/>
    <w:rsid w:val="00663100"/>
    <w:pPr>
      <w:snapToGrid w:val="0"/>
      <w:ind w:left="1418"/>
    </w:pPr>
    <w:rPr>
      <w:lang w:eastAsia="en-US"/>
    </w:rPr>
  </w:style>
  <w:style w:type="paragraph" w:customStyle="1" w:styleId="Fait">
    <w:name w:val="Fait à"/>
    <w:basedOn w:val="Normal"/>
    <w:next w:val="Normal"/>
    <w:rsid w:val="00663100"/>
    <w:pPr>
      <w:keepNext/>
      <w:widowControl/>
      <w:snapToGrid w:val="0"/>
      <w:spacing w:before="120"/>
      <w:jc w:val="both"/>
    </w:pPr>
    <w:rPr>
      <w:szCs w:val="24"/>
    </w:rPr>
  </w:style>
  <w:style w:type="paragraph" w:customStyle="1" w:styleId="Titrearticle">
    <w:name w:val="Titre article"/>
    <w:basedOn w:val="Normal"/>
    <w:next w:val="Normal"/>
    <w:rsid w:val="00663100"/>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663100"/>
    <w:pPr>
      <w:keepNext/>
      <w:widowControl/>
      <w:snapToGrid w:val="0"/>
      <w:spacing w:before="120" w:after="120"/>
      <w:jc w:val="both"/>
    </w:pPr>
    <w:rPr>
      <w:szCs w:val="24"/>
    </w:rPr>
  </w:style>
  <w:style w:type="paragraph" w:customStyle="1" w:styleId="ManualConsidrant">
    <w:name w:val="Manual Considérant"/>
    <w:basedOn w:val="Normal"/>
    <w:rsid w:val="00663100"/>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66310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663100"/>
    <w:pPr>
      <w:keepNext/>
      <w:widowControl/>
      <w:tabs>
        <w:tab w:val="left" w:pos="4252"/>
      </w:tabs>
      <w:spacing w:before="720"/>
      <w:jc w:val="both"/>
    </w:pPr>
    <w:rPr>
      <w:rFonts w:eastAsiaTheme="minorHAnsi"/>
      <w:i/>
      <w:szCs w:val="22"/>
      <w:lang w:eastAsia="en-US"/>
    </w:rPr>
  </w:style>
  <w:style w:type="paragraph" w:styleId="BalloonText">
    <w:name w:val="Balloon Text"/>
    <w:basedOn w:val="Normal"/>
    <w:link w:val="BalloonTextChar"/>
    <w:rsid w:val="002B3609"/>
    <w:rPr>
      <w:rFonts w:ascii="Segoe UI" w:hAnsi="Segoe UI" w:cs="Segoe UI"/>
      <w:sz w:val="18"/>
      <w:szCs w:val="18"/>
    </w:rPr>
  </w:style>
  <w:style w:type="character" w:customStyle="1" w:styleId="BalloonTextChar">
    <w:name w:val="Balloon Text Char"/>
    <w:basedOn w:val="DefaultParagraphFont"/>
    <w:link w:val="BalloonText"/>
    <w:rsid w:val="002B3609"/>
    <w:rPr>
      <w:rFonts w:ascii="Segoe UI" w:hAnsi="Segoe UI" w:cs="Segoe UI"/>
      <w:sz w:val="18"/>
      <w:szCs w:val="18"/>
      <w:lang w:val="lt-LT"/>
    </w:rPr>
  </w:style>
  <w:style w:type="paragraph" w:styleId="Footer">
    <w:name w:val="footer"/>
    <w:basedOn w:val="Normal"/>
    <w:link w:val="FooterChar"/>
    <w:rsid w:val="002B3609"/>
    <w:pPr>
      <w:tabs>
        <w:tab w:val="center" w:pos="4513"/>
        <w:tab w:val="right" w:pos="9026"/>
      </w:tabs>
    </w:pPr>
  </w:style>
  <w:style w:type="character" w:customStyle="1" w:styleId="FooterChar">
    <w:name w:val="Footer Char"/>
    <w:basedOn w:val="DefaultParagraphFont"/>
    <w:link w:val="Footer"/>
    <w:rsid w:val="002B360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33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CB9F8-596B-42E4-8C09-B43307360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913</Words>
  <Characters>6438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2025-10-28T14:30:00Z</dcterms:created>
  <dcterms:modified xsi:type="dcterms:W3CDTF">2025-10-28T14:30:00Z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P10_TA(2025)0153_</vt:lpwstr>
  </property>
  <property fmtid="{D5CDD505-2E9C-101B-9397-08002B2CF9AE}" pid="4" name="&lt;Type&gt;">
    <vt:lpwstr>RR</vt:lpwstr>
  </property>
</Properties>
</file>