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0230" w14:paraId="4C48E05D" w14:textId="77777777" w:rsidTr="0010095E">
        <w:trPr>
          <w:trHeight w:hRule="exact" w:val="1418"/>
        </w:trPr>
        <w:tc>
          <w:tcPr>
            <w:tcW w:w="6804" w:type="dxa"/>
            <w:shd w:val="clear" w:color="auto" w:fill="auto"/>
            <w:vAlign w:val="center"/>
          </w:tcPr>
          <w:p w14:paraId="0350EBDE" w14:textId="77777777" w:rsidR="00751A4A" w:rsidRPr="008F0230" w:rsidRDefault="006E7541" w:rsidP="0010095E">
            <w:pPr>
              <w:pStyle w:val="EPName"/>
            </w:pPr>
            <w:r w:rsidRPr="008F0230">
              <w:t>Eiropas Parlaments</w:t>
            </w:r>
          </w:p>
          <w:p w14:paraId="5275583F" w14:textId="77777777" w:rsidR="00751A4A" w:rsidRPr="008F0230" w:rsidRDefault="005F1B17" w:rsidP="005F1B17">
            <w:pPr>
              <w:pStyle w:val="EPTerm"/>
              <w:rPr>
                <w:rStyle w:val="HideTWBExt"/>
                <w:noProof w:val="0"/>
                <w:vanish w:val="0"/>
                <w:color w:val="auto"/>
              </w:rPr>
            </w:pPr>
            <w:r w:rsidRPr="008F0230">
              <w:t>2024</w:t>
            </w:r>
            <w:r w:rsidR="00817416" w:rsidRPr="008F0230">
              <w:t>-202</w:t>
            </w:r>
            <w:r w:rsidRPr="008F0230">
              <w:t>9</w:t>
            </w:r>
          </w:p>
        </w:tc>
        <w:tc>
          <w:tcPr>
            <w:tcW w:w="2268" w:type="dxa"/>
            <w:shd w:val="clear" w:color="auto" w:fill="auto"/>
          </w:tcPr>
          <w:p w14:paraId="7AC7565B" w14:textId="77777777" w:rsidR="00751A4A" w:rsidRPr="008F0230" w:rsidRDefault="00187494" w:rsidP="0010095E">
            <w:pPr>
              <w:pStyle w:val="EPLogo"/>
            </w:pPr>
            <w:r w:rsidRPr="008F0230">
              <w:rPr>
                <w:noProof/>
                <w:lang w:val="en-GB"/>
              </w:rPr>
              <w:drawing>
                <wp:inline distT="0" distB="0" distL="0" distR="0" wp14:anchorId="60DA3AA1" wp14:editId="2F0817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D41AA4" w14:textId="77777777" w:rsidR="00D058B8" w:rsidRPr="008F0230" w:rsidRDefault="00D058B8" w:rsidP="004C5D52">
      <w:pPr>
        <w:pStyle w:val="LineTop"/>
      </w:pPr>
    </w:p>
    <w:p w14:paraId="3E0ECAAA" w14:textId="77777777" w:rsidR="00680577" w:rsidRPr="008F0230" w:rsidRDefault="006E7541" w:rsidP="00680577">
      <w:pPr>
        <w:pStyle w:val="EPBodyTA1"/>
      </w:pPr>
      <w:r w:rsidRPr="008F0230">
        <w:t>PIEŅEMTIE TEKSTI</w:t>
      </w:r>
    </w:p>
    <w:p w14:paraId="5881A15D" w14:textId="77777777" w:rsidR="00D058B8" w:rsidRPr="008F0230" w:rsidRDefault="00D058B8" w:rsidP="00D058B8">
      <w:pPr>
        <w:pStyle w:val="LineBottom"/>
      </w:pPr>
    </w:p>
    <w:p w14:paraId="0018632D" w14:textId="00CD4CCB" w:rsidR="006E7541" w:rsidRPr="008F0230" w:rsidRDefault="006E7541" w:rsidP="006E7541">
      <w:pPr>
        <w:pStyle w:val="ATHeading1"/>
      </w:pPr>
      <w:bookmarkStart w:id="0" w:name="TANumber"/>
      <w:r w:rsidRPr="008F0230">
        <w:t>P10_TA(2025)0</w:t>
      </w:r>
      <w:bookmarkEnd w:id="0"/>
      <w:r w:rsidR="008F0230" w:rsidRPr="008F0230">
        <w:t>15</w:t>
      </w:r>
      <w:r w:rsidR="008C3812">
        <w:t>3</w:t>
      </w:r>
    </w:p>
    <w:p w14:paraId="42A16886" w14:textId="77777777" w:rsidR="006E7541" w:rsidRPr="008F0230" w:rsidRDefault="006E7541" w:rsidP="006E7541">
      <w:pPr>
        <w:pStyle w:val="ATHeading2"/>
      </w:pPr>
      <w:bookmarkStart w:id="1" w:name="title"/>
      <w:r w:rsidRPr="008F0230">
        <w:t>Eiropas Globalizācijas pielāgošanās fonda izmantošana: pieteikums EGF/2025/000 TA 2025 – tehniskā</w:t>
      </w:r>
      <w:r w:rsidR="00442D7E" w:rsidRPr="008F0230">
        <w:t xml:space="preserve"> </w:t>
      </w:r>
      <w:r w:rsidRPr="008F0230">
        <w:t>palīdzība pēc Komisijas iniciatīvas</w:t>
      </w:r>
      <w:bookmarkEnd w:id="1"/>
    </w:p>
    <w:p w14:paraId="4533B8D8" w14:textId="77777777" w:rsidR="006E7541" w:rsidRPr="008F0230" w:rsidRDefault="006E7541" w:rsidP="006E7541">
      <w:pPr>
        <w:rPr>
          <w:i/>
          <w:vanish/>
        </w:rPr>
      </w:pPr>
      <w:r w:rsidRPr="008F0230">
        <w:rPr>
          <w:i/>
        </w:rPr>
        <w:fldChar w:fldCharType="begin"/>
      </w:r>
      <w:r w:rsidRPr="008F0230">
        <w:rPr>
          <w:i/>
        </w:rPr>
        <w:instrText xml:space="preserve"> TC"(</w:instrText>
      </w:r>
      <w:bookmarkStart w:id="2" w:name="DocNumber"/>
      <w:r w:rsidRPr="008F0230">
        <w:rPr>
          <w:i/>
        </w:rPr>
        <w:instrText>A10-0115/2025</w:instrText>
      </w:r>
      <w:bookmarkEnd w:id="2"/>
      <w:r w:rsidRPr="008F0230">
        <w:rPr>
          <w:i/>
        </w:rPr>
        <w:instrText xml:space="preserve"> - Referents: </w:instrText>
      </w:r>
      <w:proofErr w:type="spellStart"/>
      <w:r w:rsidRPr="008F0230">
        <w:rPr>
          <w:i/>
        </w:rPr>
        <w:instrText>Jean-Marc</w:instrText>
      </w:r>
      <w:proofErr w:type="spellEnd"/>
      <w:r w:rsidRPr="008F0230">
        <w:rPr>
          <w:i/>
        </w:rPr>
        <w:instrText xml:space="preserve"> </w:instrText>
      </w:r>
      <w:proofErr w:type="spellStart"/>
      <w:r w:rsidRPr="008F0230">
        <w:rPr>
          <w:i/>
        </w:rPr>
        <w:instrText>Germain</w:instrText>
      </w:r>
      <w:proofErr w:type="spellEnd"/>
      <w:r w:rsidRPr="008F0230">
        <w:rPr>
          <w:i/>
        </w:rPr>
        <w:instrText xml:space="preserve">)"\l3 \n&gt; \* MERGEFORMAT </w:instrText>
      </w:r>
      <w:r w:rsidRPr="008F0230">
        <w:rPr>
          <w:i/>
        </w:rPr>
        <w:fldChar w:fldCharType="end"/>
      </w:r>
    </w:p>
    <w:p w14:paraId="6C47079D" w14:textId="77777777" w:rsidR="006E7541" w:rsidRPr="008F0230" w:rsidRDefault="006E7541" w:rsidP="006E7541">
      <w:pPr>
        <w:rPr>
          <w:vanish/>
        </w:rPr>
      </w:pPr>
      <w:bookmarkStart w:id="3" w:name="Commission"/>
      <w:r w:rsidRPr="008F0230">
        <w:rPr>
          <w:vanish/>
        </w:rPr>
        <w:t>Budžeta komiteja</w:t>
      </w:r>
      <w:bookmarkEnd w:id="3"/>
    </w:p>
    <w:p w14:paraId="7BFC075F" w14:textId="77777777" w:rsidR="006E7541" w:rsidRPr="008F0230" w:rsidRDefault="006E7541" w:rsidP="006E7541">
      <w:pPr>
        <w:rPr>
          <w:vanish/>
        </w:rPr>
      </w:pPr>
      <w:bookmarkStart w:id="4" w:name="PE"/>
      <w:r w:rsidRPr="008F0230">
        <w:rPr>
          <w:vanish/>
        </w:rPr>
        <w:t>PE774.309</w:t>
      </w:r>
      <w:bookmarkEnd w:id="4"/>
    </w:p>
    <w:p w14:paraId="0EB3B2BD" w14:textId="77777777" w:rsidR="004045C0" w:rsidRPr="008F0230" w:rsidRDefault="006E7541" w:rsidP="00442D7E">
      <w:pPr>
        <w:pStyle w:val="ATHeading3"/>
      </w:pPr>
      <w:bookmarkStart w:id="5" w:name="Sujet"/>
      <w:r w:rsidRPr="008F0230">
        <w:t xml:space="preserve">Eiropas Parlamenta 2025. gada </w:t>
      </w:r>
      <w:r w:rsidR="00442D7E" w:rsidRPr="008F0230">
        <w:t>9</w:t>
      </w:r>
      <w:r w:rsidRPr="008F0230">
        <w:t xml:space="preserve">. </w:t>
      </w:r>
      <w:r w:rsidR="00442D7E" w:rsidRPr="008F0230">
        <w:t>jūlija</w:t>
      </w:r>
      <w:r w:rsidRPr="008F0230">
        <w:t xml:space="preserve"> normatīvā rezolūcija par priekšlikumu Eiropas Parlamenta un Padomes lēmumam par Eiropas Globalizācijas pielāgošanās fonda izmantošanu darbu zaudējušiem darba ņēmējiem (EGF/2025/000 TA 2025 – tehniskā palīdzība pēc Komisijas iniciatīvas)</w:t>
      </w:r>
      <w:bookmarkEnd w:id="5"/>
      <w:r w:rsidRPr="008F0230">
        <w:t xml:space="preserve"> </w:t>
      </w:r>
      <w:bookmarkStart w:id="6" w:name="References"/>
      <w:r w:rsidRPr="008F0230">
        <w:t>(COM(2025)0680 – C10-0103/2025 – 2025/0135(BUD))</w:t>
      </w:r>
      <w:bookmarkEnd w:id="6"/>
    </w:p>
    <w:p w14:paraId="1EDCAD71" w14:textId="77777777" w:rsidR="004045C0" w:rsidRPr="008F0230" w:rsidRDefault="004045C0" w:rsidP="004045C0">
      <w:pPr>
        <w:pStyle w:val="EPComma"/>
        <w:rPr>
          <w:noProof/>
        </w:rPr>
      </w:pPr>
      <w:r w:rsidRPr="008F0230">
        <w:rPr>
          <w:i/>
        </w:rPr>
        <w:t>Eiropas Parlaments</w:t>
      </w:r>
      <w:r w:rsidRPr="008F0230">
        <w:t>,</w:t>
      </w:r>
    </w:p>
    <w:p w14:paraId="12F6850C" w14:textId="77777777" w:rsidR="004045C0" w:rsidRPr="008F0230" w:rsidRDefault="004045C0" w:rsidP="004045C0">
      <w:pPr>
        <w:pStyle w:val="NormalHanging12a"/>
        <w:rPr>
          <w:noProof/>
        </w:rPr>
      </w:pPr>
      <w:r w:rsidRPr="008F0230">
        <w:t>–</w:t>
      </w:r>
      <w:r w:rsidRPr="008F0230">
        <w:tab/>
        <w:t>ņemot vērā Komisijas priekšlikumu Eiropas Parlamentam un Padomei (COM(2025)0680 – C10</w:t>
      </w:r>
      <w:r w:rsidRPr="008F0230">
        <w:noBreakHyphen/>
        <w:t>0103/2025),</w:t>
      </w:r>
    </w:p>
    <w:p w14:paraId="165ACB4B" w14:textId="77777777" w:rsidR="004045C0" w:rsidRPr="008F0230" w:rsidRDefault="004045C0" w:rsidP="004045C0">
      <w:pPr>
        <w:pStyle w:val="NormalHanging12a"/>
        <w:rPr>
          <w:noProof/>
        </w:rPr>
      </w:pPr>
      <w:r w:rsidRPr="008F0230">
        <w:t>–</w:t>
      </w:r>
      <w:r w:rsidRPr="008F0230">
        <w:tab/>
        <w:t>ņemot vērā Eiropas Parlamenta un Padomes 2021. gada 28. aprīļa Regulu (ES) 2021/691 par Eiropas Globalizācijas pielāgošanās fondu darbu zaudējušiem darba ņēmējiem (EGF) un ar ko atceļ Regulu (ES) Nr. 1309/2013</w:t>
      </w:r>
      <w:r w:rsidRPr="008F0230">
        <w:rPr>
          <w:rStyle w:val="FootnoteReference"/>
        </w:rPr>
        <w:footnoteReference w:id="1"/>
      </w:r>
      <w:r w:rsidRPr="008F0230">
        <w:t xml:space="preserve"> (“EGF regula”),</w:t>
      </w:r>
    </w:p>
    <w:p w14:paraId="3435BCFC" w14:textId="77777777" w:rsidR="004045C0" w:rsidRPr="008F0230" w:rsidRDefault="004045C0" w:rsidP="00442D7E">
      <w:pPr>
        <w:pStyle w:val="NormalHanging12a"/>
        <w:rPr>
          <w:noProof/>
        </w:rPr>
      </w:pPr>
      <w:r w:rsidRPr="008F0230">
        <w:t>–</w:t>
      </w:r>
      <w:r w:rsidRPr="008F0230">
        <w:tab/>
      </w:r>
      <w:r w:rsidRPr="008F0230">
        <w:rPr>
          <w:snapToGrid w:val="0"/>
        </w:rPr>
        <w:t xml:space="preserve">ņemot vērā Padomes 2020. gada 17. decembra Regulu (ES, </w:t>
      </w:r>
      <w:r w:rsidRPr="008F0230">
        <w:rPr>
          <w:i/>
          <w:snapToGrid w:val="0"/>
        </w:rPr>
        <w:t>Euratom</w:t>
      </w:r>
      <w:r w:rsidRPr="008F0230">
        <w:rPr>
          <w:snapToGrid w:val="0"/>
        </w:rPr>
        <w:t>) 2020/2093, ar ko nosaka daudzgadu finanšu shēmu 2021.–2027. gadam</w:t>
      </w:r>
      <w:r w:rsidRPr="008F0230">
        <w:rPr>
          <w:rStyle w:val="FootnoteReference"/>
          <w:snapToGrid w:val="0"/>
        </w:rPr>
        <w:footnoteReference w:id="2"/>
      </w:r>
      <w:r w:rsidRPr="008F0230">
        <w:rPr>
          <w:snapToGrid w:val="0"/>
        </w:rPr>
        <w:t xml:space="preserve">, kurā izdarīti grozījumi ar Regulu (ES, </w:t>
      </w:r>
      <w:r w:rsidRPr="008F0230">
        <w:rPr>
          <w:i/>
          <w:snapToGrid w:val="0"/>
        </w:rPr>
        <w:t>Euratom</w:t>
      </w:r>
      <w:r w:rsidRPr="008F0230">
        <w:rPr>
          <w:snapToGrid w:val="0"/>
        </w:rPr>
        <w:t>) 2024/765</w:t>
      </w:r>
      <w:r w:rsidRPr="008F0230">
        <w:rPr>
          <w:rStyle w:val="FootnoteReference"/>
          <w:snapToGrid w:val="0"/>
          <w:bdr w:val="none" w:sz="0" w:space="0" w:color="auto" w:frame="1"/>
        </w:rPr>
        <w:footnoteReference w:id="3"/>
      </w:r>
      <w:r w:rsidRPr="008F0230">
        <w:rPr>
          <w:snapToGrid w:val="0"/>
        </w:rPr>
        <w:t>, un jo īpaši tās 8. pantu</w:t>
      </w:r>
      <w:r w:rsidRPr="008F0230">
        <w:t>,</w:t>
      </w:r>
    </w:p>
    <w:p w14:paraId="0C9FE6FE" w14:textId="77777777" w:rsidR="004045C0" w:rsidRPr="008F0230" w:rsidRDefault="004045C0" w:rsidP="00442D7E">
      <w:pPr>
        <w:pStyle w:val="NormalHanging12a"/>
      </w:pPr>
      <w:r w:rsidRPr="008F0230">
        <w:t>–</w:t>
      </w:r>
      <w:r w:rsidRPr="008F0230">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8F0230">
        <w:rPr>
          <w:rStyle w:val="FootnoteReference"/>
        </w:rPr>
        <w:footnoteReference w:id="4"/>
      </w:r>
      <w:r w:rsidRPr="008F0230">
        <w:t>, un jo īpaši tā 9. punktu,</w:t>
      </w:r>
    </w:p>
    <w:p w14:paraId="6D6D50C6" w14:textId="77777777" w:rsidR="004045C0" w:rsidRPr="008F0230" w:rsidRDefault="004045C0" w:rsidP="00442D7E">
      <w:pPr>
        <w:pStyle w:val="NormalHanging12a"/>
      </w:pPr>
      <w:r w:rsidRPr="008F0230">
        <w:t>–</w:t>
      </w:r>
      <w:r w:rsidRPr="008F0230">
        <w:tab/>
      </w:r>
      <w:r w:rsidRPr="008F0230">
        <w:rPr>
          <w:snapToGrid w:val="0"/>
        </w:rPr>
        <w:t>ņemot vērā Budžeta komitejas ziņojumu (A10-0115/2025),</w:t>
      </w:r>
      <w:r w:rsidRPr="008F0230">
        <w:t xml:space="preserve"> </w:t>
      </w:r>
    </w:p>
    <w:p w14:paraId="15C0A61B" w14:textId="77777777" w:rsidR="004045C0" w:rsidRPr="008F0230" w:rsidRDefault="004045C0" w:rsidP="00442D7E">
      <w:pPr>
        <w:pStyle w:val="NormalHanging12a"/>
      </w:pPr>
      <w:r w:rsidRPr="008F0230">
        <w:t>A.</w:t>
      </w:r>
      <w:r w:rsidRPr="008F0230">
        <w:tab/>
        <w:t xml:space="preserve">tā kā Savienība ir izveidojusi likumdošanas un budžeta instrumentus, ar ko sniegt </w:t>
      </w:r>
      <w:r w:rsidRPr="008F0230">
        <w:lastRenderedPageBreak/>
        <w:t xml:space="preserve">papildu atbalstu darba ņēmējiem, kurus nelabvēlīgi ietekmējusi globalizācija un tehnoloģiskas un </w:t>
      </w:r>
      <w:proofErr w:type="spellStart"/>
      <w:r w:rsidRPr="008F0230">
        <w:t>vidiskas</w:t>
      </w:r>
      <w:proofErr w:type="spellEnd"/>
      <w:r w:rsidRPr="008F0230">
        <w:t xml:space="preserve"> pārmaiņas, piemēram, pārmaiņas pasaules tirdzniecības modeļos, tirdzniecības strīdi, nozīmīgas pārmaiņas Savienības tirdzniecības attiecībās vai iekšējā tirgus struktūrā un finanšu un ekonomikas krīzes, kā arī pārkārtošanās uz </w:t>
      </w:r>
      <w:proofErr w:type="spellStart"/>
      <w:r w:rsidRPr="008F0230">
        <w:t>mazoglekļa</w:t>
      </w:r>
      <w:proofErr w:type="spellEnd"/>
      <w:r w:rsidRPr="008F0230">
        <w:t xml:space="preserve"> ekonomiku vai arī </w:t>
      </w:r>
      <w:proofErr w:type="spellStart"/>
      <w:r w:rsidRPr="008F0230">
        <w:t>digitalizācijas</w:t>
      </w:r>
      <w:proofErr w:type="spellEnd"/>
      <w:r w:rsidRPr="008F0230">
        <w:t xml:space="preserve"> vai automatizācijas sekas;</w:t>
      </w:r>
    </w:p>
    <w:p w14:paraId="1AB11C1F" w14:textId="77777777" w:rsidR="004045C0" w:rsidRPr="008F0230" w:rsidRDefault="004045C0" w:rsidP="00442D7E">
      <w:pPr>
        <w:pStyle w:val="NormalHanging12a"/>
      </w:pPr>
      <w:r w:rsidRPr="008F0230">
        <w:t>B.</w:t>
      </w:r>
      <w:r w:rsidRPr="008F0230">
        <w:tab/>
        <w:t xml:space="preserve">tā kā Savienības palīdzība darbu zaudējušiem darba ņēmējiem galvenokārt jāmērķē uz aktīviem darba tirgus politikas pasākumiem un individualizētiem pakalpojumiem, kuru mērķis ir atbalsta saņēmējus strauji </w:t>
      </w:r>
      <w:proofErr w:type="spellStart"/>
      <w:r w:rsidRPr="008F0230">
        <w:t>reintegrēt</w:t>
      </w:r>
      <w:proofErr w:type="spellEnd"/>
      <w:r w:rsidRPr="008F0230">
        <w:t xml:space="preserve"> pienācīgā un ilgtspējīgā nodarbinātībā, vienlaikus sagatavojot viņus zaļākai un digitālākai Eiropas ekonomikai un pienācīgi ņemot vērā 2020. gada 16. decembra Iestāžu nolīgumu saistībā ar lēmumu pieņemšanu par Eiropas Globalizācijas pielāgošanās fonda (EGF) izmantošanu darbu zaudējušiem darba ņēmējiem;</w:t>
      </w:r>
    </w:p>
    <w:p w14:paraId="1790A196" w14:textId="77777777" w:rsidR="004045C0" w:rsidRPr="008F0230" w:rsidRDefault="004045C0" w:rsidP="00442D7E">
      <w:pPr>
        <w:pStyle w:val="NormalHanging12a"/>
      </w:pPr>
      <w:r w:rsidRPr="008F0230">
        <w:t>C.</w:t>
      </w:r>
      <w:r w:rsidRPr="008F0230">
        <w:tab/>
        <w:t>tā kā Savienība EGF darbības jomu pirmo reizi paplašināja, lai sniegtu finansiālu atbalstu jebkāda liela pārstrukturēšanas pasākuma gadījumā, un tas attiecas arī uz Covid-19 krīzes ekonomiskajām sekām;</w:t>
      </w:r>
    </w:p>
    <w:p w14:paraId="2293C68B" w14:textId="77777777" w:rsidR="004045C0" w:rsidRPr="008F0230" w:rsidRDefault="004045C0" w:rsidP="00442D7E">
      <w:pPr>
        <w:pStyle w:val="NormalHanging12a"/>
        <w:rPr>
          <w:color w:val="000000"/>
          <w:bdr w:val="none" w:sz="0" w:space="0" w:color="auto" w:frame="1"/>
        </w:rPr>
      </w:pPr>
      <w:r w:rsidRPr="008F0230">
        <w:t>D.</w:t>
      </w:r>
      <w:r w:rsidRPr="008F0230">
        <w:tab/>
        <w:t xml:space="preserve">tā kā līdz ar jaunās EGF regulas pieņemšanu 2021. gadā EGF tvērumu paplašināja vēl vairāk, aptverot lielus pārstrukturēšanas pasākumus, kas notikuši pārkārtošanās uz </w:t>
      </w:r>
      <w:proofErr w:type="spellStart"/>
      <w:r w:rsidRPr="008F0230">
        <w:t>mazoglekļa</w:t>
      </w:r>
      <w:proofErr w:type="spellEnd"/>
      <w:r w:rsidRPr="008F0230">
        <w:t xml:space="preserve"> ekonomiku dēļ vai </w:t>
      </w:r>
      <w:proofErr w:type="spellStart"/>
      <w:r w:rsidRPr="008F0230">
        <w:t>digitalizācijas</w:t>
      </w:r>
      <w:proofErr w:type="spellEnd"/>
      <w:r w:rsidRPr="008F0230">
        <w:t xml:space="preserve"> vai automatizācijas rezultātā, un vienlaikus arī samazināja EGF aktivēšanas robežvērtību, proti, no 500 uz 200 atlaistiem darba ņēmējiem;</w:t>
      </w:r>
    </w:p>
    <w:p w14:paraId="1A348E2D" w14:textId="77777777" w:rsidR="004045C0" w:rsidRPr="008F0230" w:rsidRDefault="004045C0" w:rsidP="00442D7E">
      <w:pPr>
        <w:pStyle w:val="NormalHanging12a"/>
        <w:rPr>
          <w:color w:val="000000"/>
          <w:bdr w:val="none" w:sz="0" w:space="0" w:color="auto" w:frame="1"/>
        </w:rPr>
      </w:pPr>
      <w:r w:rsidRPr="008F0230">
        <w:rPr>
          <w:color w:val="000000"/>
          <w:bdr w:val="none" w:sz="0" w:space="0" w:color="auto" w:frame="1"/>
        </w:rPr>
        <w:t>E.</w:t>
      </w:r>
      <w:r w:rsidRPr="008F0230">
        <w:rPr>
          <w:color w:val="000000"/>
          <w:bdr w:val="none" w:sz="0" w:space="0" w:color="auto" w:frame="1"/>
        </w:rPr>
        <w:tab/>
      </w:r>
      <w:r w:rsidRPr="008F0230">
        <w:rPr>
          <w:bdr w:val="none" w:sz="0" w:space="0" w:color="auto" w:frame="1"/>
        </w:rPr>
        <w:t xml:space="preserve">tā kā DFS pārskatīšanā EGF maksimālā gada summa tiek samazināta no 186 miljoniem EUR līdz 30 miljoniem EUR (2018. gada cenās), kā noteikts 8. pantā Padomes Regulai (ES, </w:t>
      </w:r>
      <w:r w:rsidRPr="008F0230">
        <w:rPr>
          <w:i/>
          <w:bdr w:val="none" w:sz="0" w:space="0" w:color="auto" w:frame="1"/>
        </w:rPr>
        <w:t>Euratom</w:t>
      </w:r>
      <w:r w:rsidRPr="008F0230">
        <w:rPr>
          <w:bdr w:val="none" w:sz="0" w:space="0" w:color="auto" w:frame="1"/>
        </w:rPr>
        <w:t xml:space="preserve">) 2020/2093, kas grozīta ar Regulu (ES, </w:t>
      </w:r>
      <w:r w:rsidRPr="008F0230">
        <w:rPr>
          <w:i/>
          <w:bdr w:val="none" w:sz="0" w:space="0" w:color="auto" w:frame="1"/>
        </w:rPr>
        <w:t>Euratom</w:t>
      </w:r>
      <w:r w:rsidRPr="008F0230">
        <w:rPr>
          <w:bdr w:val="none" w:sz="0" w:space="0" w:color="auto" w:frame="1"/>
        </w:rPr>
        <w:t>) 2024/765;</w:t>
      </w:r>
      <w:r w:rsidRPr="008F0230">
        <w:rPr>
          <w:color w:val="000000"/>
          <w:bdr w:val="none" w:sz="0" w:space="0" w:color="auto" w:frame="1"/>
        </w:rPr>
        <w:t xml:space="preserve"> tā kā visām iestādēm ir jānodrošina, ka, neraugoties uz šiem samazinājumiem, no darba atlaistie darba ņēmēji var paļauties uz Savienības solidaritāti EGF atbalsta veidā,</w:t>
      </w:r>
    </w:p>
    <w:p w14:paraId="6D3F195B" w14:textId="77777777" w:rsidR="004045C0" w:rsidRPr="008F0230" w:rsidRDefault="004045C0" w:rsidP="004045C0">
      <w:pPr>
        <w:spacing w:after="240"/>
        <w:ind w:left="567" w:hanging="567"/>
        <w:rPr>
          <w:color w:val="000000"/>
          <w:bdr w:val="none" w:sz="0" w:space="0" w:color="auto" w:frame="1"/>
        </w:rPr>
      </w:pPr>
      <w:r w:rsidRPr="008F0230">
        <w:rPr>
          <w:color w:val="000000"/>
          <w:bdr w:val="none" w:sz="0" w:space="0" w:color="auto" w:frame="1"/>
        </w:rPr>
        <w:t>F.</w:t>
      </w:r>
      <w:r w:rsidRPr="008F0230">
        <w:rPr>
          <w:color w:val="000000"/>
          <w:bdr w:val="none" w:sz="0" w:space="0" w:color="auto" w:frame="1"/>
        </w:rPr>
        <w:tab/>
      </w:r>
      <w:r w:rsidRPr="008F0230">
        <w:t>tā kā EGF regulas 11. panta 1. punktā ir noteikts, ka pēc Komisijas iniciatīvas tehniskajai palīdzībai var izmantot līdz 0,5 % no šīs maksimālās summas;</w:t>
      </w:r>
    </w:p>
    <w:p w14:paraId="28BC9D10" w14:textId="77777777" w:rsidR="004045C0" w:rsidRPr="008F0230" w:rsidRDefault="004045C0" w:rsidP="004045C0">
      <w:pPr>
        <w:spacing w:after="240"/>
        <w:ind w:left="567" w:hanging="567"/>
        <w:rPr>
          <w:color w:val="000000"/>
          <w:bdr w:val="none" w:sz="0" w:space="0" w:color="auto" w:frame="1"/>
        </w:rPr>
      </w:pPr>
      <w:r w:rsidRPr="008F0230">
        <w:rPr>
          <w:color w:val="000000"/>
          <w:bdr w:val="none" w:sz="0" w:space="0" w:color="auto" w:frame="1"/>
        </w:rPr>
        <w:t>G.</w:t>
      </w:r>
      <w:r w:rsidRPr="008F0230">
        <w:rPr>
          <w:color w:val="000000"/>
          <w:bdr w:val="none" w:sz="0" w:space="0" w:color="auto" w:frame="1"/>
        </w:rPr>
        <w:tab/>
        <w:t>tā kā tehniskā palīdzība var ietvert tehniskos un administratīvos izdevumus, kas vajadzīgi EGF īstenošanai, piemēram, sagatavošanās, pārraudzības, kontroles, revīzijas un novērtēšanas, kā arī datu vākšanas darbībām, tostarp attiecībā uz korporatīvajām informācijas tehnoloģiju sistēmām, komunikācijas darbībām un tām darbībām, kas uzlabo EGF kā fonda atpazīstamību vai atpazīstamību attiecībā uz konkrētiem projektiem, kā arī citiem tehniskās palīdzības pasākumiem;</w:t>
      </w:r>
    </w:p>
    <w:p w14:paraId="66E242F4" w14:textId="77777777" w:rsidR="004045C0" w:rsidRPr="008F0230" w:rsidRDefault="004045C0" w:rsidP="004045C0">
      <w:pPr>
        <w:pStyle w:val="NormalHanging12a"/>
        <w:rPr>
          <w:snapToGrid w:val="0"/>
          <w:color w:val="000000"/>
          <w:bdr w:val="none" w:sz="0" w:space="0" w:color="auto" w:frame="1"/>
        </w:rPr>
      </w:pPr>
      <w:r w:rsidRPr="008F0230">
        <w:rPr>
          <w:snapToGrid w:val="0"/>
          <w:color w:val="000000"/>
          <w:bdr w:val="none" w:sz="0" w:space="0" w:color="auto" w:frame="1"/>
        </w:rPr>
        <w:t>H.</w:t>
      </w:r>
      <w:r w:rsidRPr="008F0230">
        <w:rPr>
          <w:snapToGrid w:val="0"/>
          <w:color w:val="000000"/>
          <w:bdr w:val="none" w:sz="0" w:space="0" w:color="auto" w:frame="1"/>
        </w:rPr>
        <w:tab/>
      </w:r>
      <w:r w:rsidRPr="008F0230">
        <w:rPr>
          <w:snapToGrid w:val="0"/>
        </w:rPr>
        <w:t>tā kā ierosinātā summa — 170 000 EUR — atbilst aptuveni 0,49 % no maksimālā gada budžeta, kas EGF pieejams 2025. gadā,</w:t>
      </w:r>
    </w:p>
    <w:p w14:paraId="112F8A2C" w14:textId="77777777" w:rsidR="004045C0" w:rsidRPr="008F0230" w:rsidRDefault="004045C0" w:rsidP="004045C0">
      <w:pPr>
        <w:spacing w:after="240"/>
        <w:ind w:left="567" w:hanging="567"/>
        <w:rPr>
          <w:bdr w:val="none" w:sz="0" w:space="0" w:color="auto" w:frame="1"/>
        </w:rPr>
      </w:pPr>
      <w:r w:rsidRPr="008F0230">
        <w:rPr>
          <w:bdr w:val="none" w:sz="0" w:space="0" w:color="auto" w:frame="1"/>
        </w:rPr>
        <w:t>1.</w:t>
      </w:r>
      <w:r w:rsidRPr="008F0230">
        <w:rPr>
          <w:bdr w:val="none" w:sz="0" w:space="0" w:color="auto" w:frame="1"/>
        </w:rPr>
        <w:tab/>
        <w:t>piekrīt 170 000 EUR izmantošanai un Komisijas ierosināto pasākumu finansēšanai tehniskās palīdzības veidā saskaņā ar EGF regulas 11. panta 1. un 4. punktu, kā arī 12. panta 2., 3. un 4. punktu;</w:t>
      </w:r>
    </w:p>
    <w:p w14:paraId="67D4734D" w14:textId="77777777" w:rsidR="004045C0" w:rsidRPr="008F0230" w:rsidRDefault="004045C0" w:rsidP="004045C0">
      <w:pPr>
        <w:spacing w:after="240"/>
        <w:ind w:left="567" w:hanging="567"/>
      </w:pPr>
      <w:r w:rsidRPr="008F0230">
        <w:t>2.</w:t>
      </w:r>
      <w:r w:rsidRPr="008F0230">
        <w:tab/>
        <w:t>atzinīgi vērtē darba turpināšanu nolūkā standartizēt EGF pieteikumu un pārvaldības procedūras, izmantojot elektronisku datu apmaiņas sistēmu (dalītas līdzekļu pārvaldības kopējā sistēma (</w:t>
      </w:r>
      <w:r w:rsidRPr="008F0230">
        <w:rPr>
          <w:i/>
        </w:rPr>
        <w:t>SFC</w:t>
      </w:r>
      <w:r w:rsidRPr="008F0230">
        <w:t xml:space="preserve">)), kas ļauj vienkāršot un paātrināt pieteikumu apstrādi un labāk </w:t>
      </w:r>
      <w:r w:rsidRPr="008F0230">
        <w:lastRenderedPageBreak/>
        <w:t>sagatavot ziņojumus;</w:t>
      </w:r>
    </w:p>
    <w:p w14:paraId="5C584F73" w14:textId="77777777" w:rsidR="004045C0" w:rsidRPr="008F0230" w:rsidRDefault="004045C0" w:rsidP="004045C0">
      <w:pPr>
        <w:spacing w:after="240"/>
        <w:ind w:left="567" w:hanging="567"/>
      </w:pPr>
      <w:r w:rsidRPr="008F0230">
        <w:t>3.</w:t>
      </w:r>
      <w:r w:rsidRPr="008F0230">
        <w:tab/>
        <w:t xml:space="preserve">ņem vērā, ka Komisija izmantos administratīvajam atbalstam pieejamo budžetu, lai nolūkā veicināt tīklu veidošanu starp dalībvalstīm rīkotu EGF kontaktpersonu ekspertu grupas (divi locekļi no katras dalībvalsts) sanāksmes un vienu semināru ar EGF īstenošanas struktūru un sociālo partneru līdzdalību; prasa Komisijai arī turpmāk sistemātiski aicināt Parlamentu uz šādām sanāksmēm un semināriem saskaņā ar attiecīgajiem noteikumiem </w:t>
      </w:r>
      <w:proofErr w:type="spellStart"/>
      <w:r w:rsidRPr="008F0230">
        <w:t>Pamatnolīgumā</w:t>
      </w:r>
      <w:proofErr w:type="spellEnd"/>
      <w:r w:rsidRPr="008F0230">
        <w:t xml:space="preserve"> par Parlamenta un Komisijas attiecībām;</w:t>
      </w:r>
    </w:p>
    <w:p w14:paraId="42ECDFFE" w14:textId="77777777" w:rsidR="004045C0" w:rsidRPr="008F0230" w:rsidRDefault="004045C0" w:rsidP="004045C0">
      <w:pPr>
        <w:spacing w:after="240"/>
        <w:ind w:left="567" w:hanging="567"/>
      </w:pPr>
      <w:r w:rsidRPr="008F0230">
        <w:t>4.</w:t>
      </w:r>
      <w:r w:rsidRPr="008F0230">
        <w:tab/>
        <w:t xml:space="preserve">aicina Komisiju pielāgot Covid-19 pandēmijas laikā izstrādāto </w:t>
      </w:r>
      <w:proofErr w:type="spellStart"/>
      <w:r w:rsidRPr="008F0230">
        <w:t>paraugpraksi</w:t>
      </w:r>
      <w:proofErr w:type="spellEnd"/>
      <w:r w:rsidRPr="008F0230">
        <w:t>, jo īpaši pasākumus, kas var palīdzēt paātrināt iekļaujošu zaļo un digitālo pārkārtošanos un atbalstīt Savienības galvenās prioritātes, piemēram, dzimumu līdztiesību;</w:t>
      </w:r>
    </w:p>
    <w:p w14:paraId="1459FEB9" w14:textId="77777777" w:rsidR="004045C0" w:rsidRPr="008F0230" w:rsidRDefault="004045C0" w:rsidP="004045C0">
      <w:pPr>
        <w:spacing w:after="240"/>
        <w:ind w:left="567" w:hanging="567"/>
      </w:pPr>
      <w:r w:rsidRPr="008F0230">
        <w:t>5.</w:t>
      </w:r>
      <w:r w:rsidRPr="008F0230">
        <w:tab/>
        <w:t xml:space="preserve">uzsver, ka vēl vairāk jāstiprina vispārējā informētība par EGF un fonda atpazīstamība; norāda, ka šādu mērķi varētu tuvināt, ja informāciju par EGF sniegtu dažādās Komisijas publikācijās un audiovizuālajos materiālos, kā paredzēts EGF regulas 11. panta 1. punktā; </w:t>
      </w:r>
      <w:r w:rsidRPr="008F0230">
        <w:rPr>
          <w:bdr w:val="none" w:sz="0" w:space="0" w:color="auto" w:frame="1"/>
        </w:rPr>
        <w:t xml:space="preserve">šajā ziņā atzinīgi vērtē atsevišķas EGF tīmekļvietnes uzturēšanu un aicina Komisiju to regulāri atjaunināt un izvērst, lai plaša sabiedrība vieglāk atpazītu EGF demonstrēto Eiropas solidaritāti un uzlabotu Savienības rīcības </w:t>
      </w:r>
      <w:proofErr w:type="spellStart"/>
      <w:r w:rsidRPr="008F0230">
        <w:rPr>
          <w:bdr w:val="none" w:sz="0" w:space="0" w:color="auto" w:frame="1"/>
        </w:rPr>
        <w:t>pārredzamību</w:t>
      </w:r>
      <w:proofErr w:type="spellEnd"/>
      <w:r w:rsidRPr="008F0230">
        <w:rPr>
          <w:bdr w:val="none" w:sz="0" w:space="0" w:color="auto" w:frame="1"/>
        </w:rPr>
        <w:t>;</w:t>
      </w:r>
    </w:p>
    <w:p w14:paraId="5B8DC4D0" w14:textId="77777777" w:rsidR="004045C0" w:rsidRPr="008F0230" w:rsidRDefault="004045C0" w:rsidP="004045C0">
      <w:pPr>
        <w:spacing w:after="240"/>
        <w:ind w:left="567" w:hanging="567"/>
      </w:pPr>
      <w:r w:rsidRPr="008F0230">
        <w:t>6.</w:t>
      </w:r>
      <w:r w:rsidRPr="008F0230">
        <w:tab/>
        <w:t>atgādina pieteikumu iesniedzējām dalībvalstīm, ka tām ir svarīgs uzdevums plaši informēt atbalsta saņēmējus, vietējās un reģionālās iestādes, sociālos partnerus, medijus un sabiedrību kopumā par EGF finansētajām darbībām, kā tas izklāstīts EGF regulas 12. pantā; aicina Komisiju sistemātiski pārbaudīt dalībvalstu atbilstību EGF regulai, jo īpaši tās 12. panta 1. punktam;</w:t>
      </w:r>
    </w:p>
    <w:p w14:paraId="68C455F2" w14:textId="77777777" w:rsidR="004045C0" w:rsidRPr="008F0230" w:rsidRDefault="004045C0" w:rsidP="004045C0">
      <w:pPr>
        <w:spacing w:after="240"/>
        <w:ind w:left="567" w:hanging="567"/>
      </w:pPr>
      <w:r w:rsidRPr="008F0230">
        <w:t>7.</w:t>
      </w:r>
      <w:r w:rsidRPr="008F0230">
        <w:tab/>
        <w:t>apstiprina šai rezolūcijai pievienoto lēmumu;</w:t>
      </w:r>
    </w:p>
    <w:p w14:paraId="4F2224D1" w14:textId="77777777" w:rsidR="004045C0" w:rsidRPr="008F0230" w:rsidRDefault="004045C0" w:rsidP="004045C0">
      <w:pPr>
        <w:spacing w:after="240"/>
        <w:ind w:left="567" w:hanging="567"/>
      </w:pPr>
      <w:r w:rsidRPr="008F0230">
        <w:t>8.</w:t>
      </w:r>
      <w:r w:rsidRPr="008F0230">
        <w:tab/>
        <w:t xml:space="preserve">uzdod priekšsēdētājai parakstīt šo lēmumu kopā ar Padomes priekšsēdētāju un nodrošināt tā publicēšanu </w:t>
      </w:r>
      <w:r w:rsidRPr="008F0230">
        <w:rPr>
          <w:i/>
        </w:rPr>
        <w:t>Eiropas Savienības Oficiālajā Vēstnesī</w:t>
      </w:r>
      <w:r w:rsidRPr="008F0230">
        <w:t>;</w:t>
      </w:r>
    </w:p>
    <w:p w14:paraId="6BEB4216" w14:textId="77777777" w:rsidR="004045C0" w:rsidRPr="008F0230" w:rsidRDefault="004045C0" w:rsidP="004045C0">
      <w:pPr>
        <w:spacing w:after="240"/>
        <w:ind w:left="567" w:hanging="567"/>
      </w:pPr>
      <w:r w:rsidRPr="008F0230">
        <w:t>9.</w:t>
      </w:r>
      <w:r w:rsidRPr="008F0230">
        <w:tab/>
        <w:t>uzdod priekšsēdētājai šo rezolūciju, kā arī tās pielikumu nosūtīt Padomei un Komisijai.</w:t>
      </w:r>
    </w:p>
    <w:p w14:paraId="3B532FDE" w14:textId="77777777" w:rsidR="004045C0" w:rsidRPr="008F0230" w:rsidRDefault="004045C0" w:rsidP="004045C0">
      <w:pPr>
        <w:pStyle w:val="NormalHanging12a"/>
        <w:rPr>
          <w:noProof/>
        </w:rPr>
      </w:pPr>
    </w:p>
    <w:p w14:paraId="01602474" w14:textId="77777777" w:rsidR="004045C0" w:rsidRPr="008F0230" w:rsidRDefault="004045C0" w:rsidP="004045C0">
      <w:pPr>
        <w:rPr>
          <w:noProof/>
        </w:rPr>
      </w:pPr>
    </w:p>
    <w:p w14:paraId="60633095" w14:textId="77777777" w:rsidR="004045C0" w:rsidRPr="008F0230" w:rsidRDefault="004045C0" w:rsidP="004045C0">
      <w:pPr>
        <w:pStyle w:val="PageHeading"/>
        <w:rPr>
          <w:noProof/>
        </w:rPr>
        <w:sectPr w:rsidR="004045C0" w:rsidRPr="008F0230" w:rsidSect="00AA29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9DC7A7E" w14:textId="77777777" w:rsidR="00C3703E" w:rsidRPr="00C3703E" w:rsidRDefault="004045C0" w:rsidP="004045C0">
      <w:pPr>
        <w:pStyle w:val="PageHeading"/>
        <w:rPr>
          <w:rFonts w:ascii="Times New Roman" w:hAnsi="Times New Roman" w:cs="Times New Roman"/>
        </w:rPr>
      </w:pPr>
      <w:bookmarkStart w:id="7" w:name="_Toc202191344"/>
      <w:r w:rsidRPr="00C3703E">
        <w:rPr>
          <w:rFonts w:ascii="Times New Roman" w:hAnsi="Times New Roman" w:cs="Times New Roman"/>
        </w:rPr>
        <w:lastRenderedPageBreak/>
        <w:t>PIELIKUMS</w:t>
      </w:r>
    </w:p>
    <w:p w14:paraId="584BB80B" w14:textId="71B863E0" w:rsidR="004045C0" w:rsidRPr="00C3703E" w:rsidRDefault="004045C0" w:rsidP="004045C0">
      <w:pPr>
        <w:pStyle w:val="PageHeading"/>
        <w:rPr>
          <w:rFonts w:ascii="Times New Roman" w:hAnsi="Times New Roman" w:cs="Times New Roman"/>
          <w:noProof/>
        </w:rPr>
      </w:pPr>
      <w:r w:rsidRPr="00C3703E">
        <w:rPr>
          <w:rFonts w:ascii="Times New Roman" w:hAnsi="Times New Roman" w:cs="Times New Roman"/>
        </w:rPr>
        <w:t>EIROPAS PARLAMENTA UN PADOMES LĒMUMS</w:t>
      </w:r>
      <w:bookmarkEnd w:id="7"/>
    </w:p>
    <w:p w14:paraId="6BE06339" w14:textId="495FF6AE" w:rsidR="004045C0" w:rsidRDefault="004045C0" w:rsidP="004045C0">
      <w:pPr>
        <w:pStyle w:val="Titreobjet"/>
        <w:widowControl/>
        <w:spacing w:before="360" w:after="360"/>
        <w:ind w:left="0"/>
        <w:jc w:val="center"/>
        <w:rPr>
          <w:b/>
        </w:rPr>
      </w:pPr>
      <w:r w:rsidRPr="008F0230">
        <w:rPr>
          <w:b/>
        </w:rPr>
        <w:t xml:space="preserve">par Eiropas Globalizācijas pielāgošanās fonda </w:t>
      </w:r>
      <w:r w:rsidR="00442D7E" w:rsidRPr="008F0230">
        <w:rPr>
          <w:b/>
        </w:rPr>
        <w:t>darbu zaudējušiem darba ņēmējiem izmantošanu</w:t>
      </w:r>
      <w:r w:rsidRPr="008F0230">
        <w:rPr>
          <w:b/>
        </w:rPr>
        <w:t xml:space="preserve"> (EGF/2025/000 TA 2025 – tehniskā palīdzība pēc Komisijas iniciatīvas)</w:t>
      </w:r>
    </w:p>
    <w:p w14:paraId="0A018270" w14:textId="5ECF818B" w:rsidR="00C3703E" w:rsidRDefault="00C3703E" w:rsidP="00C3703E">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25</w:t>
      </w:r>
      <w:r w:rsidRPr="00611295">
        <w:rPr>
          <w:b w:val="0"/>
          <w:i/>
          <w:iCs/>
          <w:noProof/>
        </w:rPr>
        <w:t>/</w:t>
      </w:r>
      <w:r>
        <w:rPr>
          <w:b w:val="0"/>
          <w:i/>
          <w:iCs/>
          <w:noProof/>
        </w:rPr>
        <w:t>1524</w:t>
      </w:r>
      <w:r w:rsidRPr="00981C8E">
        <w:rPr>
          <w:b w:val="0"/>
          <w:i/>
          <w:iCs/>
          <w:noProof/>
        </w:rPr>
        <w:t>.</w:t>
      </w:r>
      <w:r w:rsidRPr="00EB02AD">
        <w:rPr>
          <w:b w:val="0"/>
          <w:i/>
          <w:iCs/>
          <w:noProof/>
        </w:rPr>
        <w:t>)</w:t>
      </w:r>
    </w:p>
    <w:p w14:paraId="738A2980" w14:textId="77777777" w:rsidR="00C3703E" w:rsidRPr="00C3703E" w:rsidRDefault="00C3703E" w:rsidP="00C3703E">
      <w:pPr>
        <w:rPr>
          <w:rFonts w:eastAsiaTheme="minorHAnsi"/>
          <w:lang w:eastAsia="en-US"/>
        </w:rPr>
      </w:pPr>
    </w:p>
    <w:sectPr w:rsidR="00C3703E" w:rsidRPr="00C3703E" w:rsidSect="00AA29C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5B7A" w14:textId="77777777" w:rsidR="006E7541" w:rsidRPr="00AA29CE" w:rsidRDefault="006E7541">
      <w:r w:rsidRPr="00AA29CE">
        <w:separator/>
      </w:r>
    </w:p>
  </w:endnote>
  <w:endnote w:type="continuationSeparator" w:id="0">
    <w:p w14:paraId="6B215CE9" w14:textId="77777777" w:rsidR="006E7541" w:rsidRPr="00AA29CE" w:rsidRDefault="006E7541">
      <w:r w:rsidRPr="00AA29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FE92C" w14:textId="77777777" w:rsidR="004045C0" w:rsidRPr="00AA29CE" w:rsidRDefault="004045C0" w:rsidP="00935D9A">
    <w:pPr>
      <w:pStyle w:val="EPFooter"/>
    </w:pPr>
    <w:r w:rsidRPr="00AA29CE">
      <w:t>PE</w:t>
    </w:r>
    <w:r w:rsidRPr="00AA29CE">
      <w:rPr>
        <w:rStyle w:val="HideTWBExt"/>
      </w:rPr>
      <w:t>&lt;</w:t>
    </w:r>
    <w:proofErr w:type="spellStart"/>
    <w:r w:rsidRPr="00AA29CE">
      <w:rPr>
        <w:rStyle w:val="HideTWBExt"/>
      </w:rPr>
      <w:t>NoPE</w:t>
    </w:r>
    <w:proofErr w:type="spellEnd"/>
    <w:r w:rsidRPr="00AA29CE">
      <w:rPr>
        <w:rStyle w:val="HideTWBExt"/>
      </w:rPr>
      <w:t>&gt;</w:t>
    </w:r>
    <w:r w:rsidRPr="00AA29CE">
      <w:t>774.309</w:t>
    </w:r>
    <w:r w:rsidRPr="00AA29CE">
      <w:rPr>
        <w:rStyle w:val="HideTWBExt"/>
      </w:rPr>
      <w:t>&lt;/</w:t>
    </w:r>
    <w:proofErr w:type="spellStart"/>
    <w:r w:rsidRPr="00AA29CE">
      <w:rPr>
        <w:rStyle w:val="HideTWBExt"/>
      </w:rPr>
      <w:t>NoPE</w:t>
    </w:r>
    <w:proofErr w:type="spellEnd"/>
    <w:r w:rsidRPr="00AA29CE">
      <w:rPr>
        <w:rStyle w:val="HideTWBExt"/>
      </w:rPr>
      <w:t>&gt;&lt;Version&gt;</w:t>
    </w:r>
    <w:r w:rsidRPr="00AA29CE">
      <w:t>v02-00</w:t>
    </w:r>
    <w:r w:rsidRPr="00AA29CE">
      <w:rPr>
        <w:rStyle w:val="HideTWBExt"/>
      </w:rPr>
      <w:t>&lt;/</w:t>
    </w:r>
    <w:proofErr w:type="spellStart"/>
    <w:r w:rsidRPr="00AA29CE">
      <w:rPr>
        <w:rStyle w:val="HideTWBExt"/>
      </w:rPr>
      <w:t>Version</w:t>
    </w:r>
    <w:proofErr w:type="spellEnd"/>
    <w:r w:rsidRPr="00AA29CE">
      <w:rPr>
        <w:rStyle w:val="HideTWBExt"/>
      </w:rPr>
      <w:t>&gt;</w:t>
    </w:r>
    <w:r w:rsidRPr="00AA29CE">
      <w:tab/>
    </w:r>
    <w:r w:rsidRPr="00AA29CE">
      <w:fldChar w:fldCharType="begin"/>
    </w:r>
    <w:r w:rsidRPr="00AA29CE">
      <w:instrText xml:space="preserve"> PAGE  \* MERGEFORMAT </w:instrText>
    </w:r>
    <w:r w:rsidRPr="00AA29CE">
      <w:fldChar w:fldCharType="separate"/>
    </w:r>
    <w:r w:rsidRPr="00AA29CE">
      <w:rPr>
        <w:noProof/>
      </w:rPr>
      <w:t>2</w:t>
    </w:r>
    <w:r w:rsidRPr="00AA29CE">
      <w:fldChar w:fldCharType="end"/>
    </w:r>
    <w:r w:rsidRPr="00AA29CE">
      <w:t>/</w:t>
    </w:r>
    <w:fldSimple w:instr=" NUMPAGES  \* MERGEFORMAT ">
      <w:r w:rsidRPr="00AA29CE">
        <w:rPr>
          <w:noProof/>
        </w:rPr>
        <w:t>2</w:t>
      </w:r>
    </w:fldSimple>
    <w:r w:rsidRPr="00AA29CE">
      <w:tab/>
    </w:r>
    <w:r w:rsidRPr="00AA29CE">
      <w:rPr>
        <w:rStyle w:val="HideTWBExt"/>
      </w:rPr>
      <w:t>&lt;PathFdR&gt;</w:t>
    </w:r>
    <w:r w:rsidRPr="00AA29CE">
      <w:t>RR\1323805LV.docx</w:t>
    </w:r>
    <w:r w:rsidRPr="00AA29CE">
      <w:rPr>
        <w:rStyle w:val="HideTWBExt"/>
      </w:rPr>
      <w:t>&lt;/</w:t>
    </w:r>
    <w:proofErr w:type="spellStart"/>
    <w:r w:rsidRPr="00AA29CE">
      <w:rPr>
        <w:rStyle w:val="HideTWBExt"/>
      </w:rPr>
      <w:t>PathFdR</w:t>
    </w:r>
    <w:proofErr w:type="spellEnd"/>
    <w:r w:rsidRPr="00AA29CE">
      <w:rPr>
        <w:rStyle w:val="HideTWBExt"/>
      </w:rPr>
      <w:t>&gt;</w:t>
    </w:r>
  </w:p>
  <w:p w14:paraId="1A912B35" w14:textId="77777777" w:rsidR="004045C0" w:rsidRPr="00AA29CE" w:rsidRDefault="004045C0" w:rsidP="00935D9A">
    <w:pPr>
      <w:pStyle w:val="EPFooter2"/>
    </w:pPr>
    <w:r w:rsidRPr="00AA29CE">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9A1AD" w14:textId="77777777" w:rsidR="004045C0" w:rsidRPr="00AA29CE" w:rsidRDefault="004045C0" w:rsidP="00935D9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B1FC5" w14:textId="77777777" w:rsidR="004045C0" w:rsidRPr="00AA29CE" w:rsidRDefault="004045C0" w:rsidP="00935D9A">
    <w:pPr>
      <w:pStyle w:val="EPFooter"/>
    </w:pPr>
    <w:r w:rsidRPr="00AA29CE">
      <w:rPr>
        <w:rStyle w:val="HideTWBExt"/>
      </w:rPr>
      <w:t>&lt;PathFdR&gt;</w:t>
    </w:r>
    <w:r w:rsidRPr="00AA29CE">
      <w:t>RR\1323805LV.docx</w:t>
    </w:r>
    <w:r w:rsidRPr="00AA29CE">
      <w:rPr>
        <w:rStyle w:val="HideTWBExt"/>
      </w:rPr>
      <w:t>&lt;/</w:t>
    </w:r>
    <w:proofErr w:type="spellStart"/>
    <w:r w:rsidRPr="00AA29CE">
      <w:rPr>
        <w:rStyle w:val="HideTWBExt"/>
      </w:rPr>
      <w:t>PathFdR</w:t>
    </w:r>
    <w:proofErr w:type="spellEnd"/>
    <w:r w:rsidRPr="00AA29CE">
      <w:rPr>
        <w:rStyle w:val="HideTWBExt"/>
      </w:rPr>
      <w:t>&gt;</w:t>
    </w:r>
    <w:r w:rsidRPr="00AA29CE">
      <w:tab/>
    </w:r>
    <w:r w:rsidRPr="00AA29CE">
      <w:tab/>
      <w:t>PE</w:t>
    </w:r>
    <w:r w:rsidRPr="00AA29CE">
      <w:rPr>
        <w:rStyle w:val="HideTWBExt"/>
      </w:rPr>
      <w:t>&lt;</w:t>
    </w:r>
    <w:proofErr w:type="spellStart"/>
    <w:r w:rsidRPr="00AA29CE">
      <w:rPr>
        <w:rStyle w:val="HideTWBExt"/>
      </w:rPr>
      <w:t>NoPE</w:t>
    </w:r>
    <w:proofErr w:type="spellEnd"/>
    <w:r w:rsidRPr="00AA29CE">
      <w:rPr>
        <w:rStyle w:val="HideTWBExt"/>
      </w:rPr>
      <w:t>&gt;</w:t>
    </w:r>
    <w:r w:rsidRPr="00AA29CE">
      <w:t>774.309</w:t>
    </w:r>
    <w:r w:rsidRPr="00AA29CE">
      <w:rPr>
        <w:rStyle w:val="HideTWBExt"/>
      </w:rPr>
      <w:t>&lt;/</w:t>
    </w:r>
    <w:proofErr w:type="spellStart"/>
    <w:r w:rsidRPr="00AA29CE">
      <w:rPr>
        <w:rStyle w:val="HideTWBExt"/>
      </w:rPr>
      <w:t>NoPE</w:t>
    </w:r>
    <w:proofErr w:type="spellEnd"/>
    <w:r w:rsidRPr="00AA29CE">
      <w:rPr>
        <w:rStyle w:val="HideTWBExt"/>
      </w:rPr>
      <w:t>&gt;&lt;Version&gt;</w:t>
    </w:r>
    <w:r w:rsidRPr="00AA29CE">
      <w:t>v02-00</w:t>
    </w:r>
    <w:r w:rsidRPr="00AA29CE">
      <w:rPr>
        <w:rStyle w:val="HideTWBExt"/>
      </w:rPr>
      <w:t>&lt;/</w:t>
    </w:r>
    <w:proofErr w:type="spellStart"/>
    <w:r w:rsidRPr="00AA29CE">
      <w:rPr>
        <w:rStyle w:val="HideTWBExt"/>
      </w:rPr>
      <w:t>Version</w:t>
    </w:r>
    <w:proofErr w:type="spellEnd"/>
    <w:r w:rsidRPr="00AA29CE">
      <w:rPr>
        <w:rStyle w:val="HideTWBExt"/>
      </w:rPr>
      <w:t>&gt;</w:t>
    </w:r>
  </w:p>
  <w:p w14:paraId="3E1EA4F4" w14:textId="77777777" w:rsidR="004045C0" w:rsidRPr="00AA29CE" w:rsidRDefault="004045C0" w:rsidP="00935D9A">
    <w:pPr>
      <w:pStyle w:val="EPFooter2"/>
    </w:pPr>
    <w:r w:rsidRPr="00AA29CE">
      <w:t>LV</w:t>
    </w:r>
    <w:r w:rsidRPr="00AA29CE">
      <w:tab/>
    </w:r>
    <w:r w:rsidRPr="00AA29CE">
      <w:rPr>
        <w:b w:val="0"/>
        <w:i/>
        <w:color w:val="C0C0C0"/>
        <w:sz w:val="22"/>
      </w:rPr>
      <w:t>Vienoti daudzveidībā</w:t>
    </w:r>
    <w:r w:rsidRPr="00AA29CE">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E9A7" w14:textId="77777777" w:rsidR="00064002" w:rsidRPr="00AA29C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52CF5" w14:textId="77777777" w:rsidR="00064002" w:rsidRPr="00AA29C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431A" w14:textId="77777777" w:rsidR="00064002" w:rsidRPr="00AA29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8D6D9" w14:textId="77777777" w:rsidR="006E7541" w:rsidRPr="00AA29CE" w:rsidRDefault="006E7541">
      <w:r w:rsidRPr="00AA29CE">
        <w:separator/>
      </w:r>
    </w:p>
  </w:footnote>
  <w:footnote w:type="continuationSeparator" w:id="0">
    <w:p w14:paraId="504CF6DA" w14:textId="77777777" w:rsidR="006E7541" w:rsidRPr="00AA29CE" w:rsidRDefault="006E7541">
      <w:r w:rsidRPr="00AA29CE">
        <w:continuationSeparator/>
      </w:r>
    </w:p>
  </w:footnote>
  <w:footnote w:id="1">
    <w:p w14:paraId="712602B2" w14:textId="77777777" w:rsidR="004045C0" w:rsidRPr="00AA29CE" w:rsidRDefault="004045C0" w:rsidP="00AA29CE">
      <w:pPr>
        <w:pStyle w:val="FootnoteText"/>
        <w:ind w:left="567" w:hanging="567"/>
        <w:rPr>
          <w:sz w:val="24"/>
          <w:lang w:val="lv-LV"/>
        </w:rPr>
      </w:pPr>
      <w:r w:rsidRPr="00AA29CE">
        <w:rPr>
          <w:rStyle w:val="FootnoteReference"/>
          <w:sz w:val="24"/>
          <w:lang w:val="lv-LV"/>
        </w:rPr>
        <w:footnoteRef/>
      </w:r>
      <w:r w:rsidR="00AA29CE" w:rsidRPr="00AA29CE">
        <w:rPr>
          <w:sz w:val="24"/>
          <w:lang w:val="lv-LV"/>
        </w:rPr>
        <w:t xml:space="preserve"> </w:t>
      </w:r>
      <w:r w:rsidR="00AA29CE" w:rsidRPr="00AA29CE">
        <w:rPr>
          <w:sz w:val="24"/>
          <w:lang w:val="lv-LV"/>
        </w:rPr>
        <w:tab/>
      </w:r>
      <w:r w:rsidRPr="00AA29CE">
        <w:rPr>
          <w:sz w:val="24"/>
          <w:lang w:val="lv-LV"/>
        </w:rPr>
        <w:t xml:space="preserve">OV L 153, 3.5.2021., 48. lpp., ELI: </w:t>
      </w:r>
      <w:hyperlink r:id="rId1" w:history="1">
        <w:r w:rsidRPr="00AA29CE">
          <w:rPr>
            <w:rStyle w:val="Hyperlink"/>
            <w:sz w:val="24"/>
            <w:lang w:val="lv-LV"/>
          </w:rPr>
          <w:t>http://data.europa.eu/eli/reg/2021/691/oj</w:t>
        </w:r>
      </w:hyperlink>
      <w:r w:rsidRPr="00AA29CE">
        <w:rPr>
          <w:sz w:val="24"/>
          <w:lang w:val="lv-LV"/>
        </w:rPr>
        <w:t>.</w:t>
      </w:r>
    </w:p>
  </w:footnote>
  <w:footnote w:id="2">
    <w:p w14:paraId="5A42576E" w14:textId="77777777" w:rsidR="004045C0" w:rsidRPr="00AA29CE" w:rsidRDefault="004045C0" w:rsidP="00AA29CE">
      <w:pPr>
        <w:ind w:left="567" w:hanging="567"/>
      </w:pPr>
      <w:r w:rsidRPr="00AA29CE">
        <w:rPr>
          <w:rStyle w:val="FootnoteReference"/>
        </w:rPr>
        <w:footnoteRef/>
      </w:r>
      <w:r w:rsidR="00AA29CE" w:rsidRPr="00AA29CE">
        <w:t xml:space="preserve"> </w:t>
      </w:r>
      <w:r w:rsidR="00AA29CE" w:rsidRPr="00AA29CE">
        <w:tab/>
      </w:r>
      <w:r w:rsidRPr="00AA29CE">
        <w:t xml:space="preserve">OV L 433 I, 22.12.2020., 11. lpp., ELI: </w:t>
      </w:r>
      <w:hyperlink r:id="rId2" w:history="1">
        <w:r w:rsidRPr="00AA29CE">
          <w:rPr>
            <w:rStyle w:val="Hyperlink"/>
          </w:rPr>
          <w:t>http://data.europa.eu/eli/reg/2020/2093/oj</w:t>
        </w:r>
      </w:hyperlink>
      <w:r w:rsidRPr="00AA29CE">
        <w:t>.</w:t>
      </w:r>
    </w:p>
  </w:footnote>
  <w:footnote w:id="3">
    <w:p w14:paraId="3E20FF09" w14:textId="77777777" w:rsidR="004045C0" w:rsidRPr="00AA29CE" w:rsidRDefault="004045C0" w:rsidP="00AA29CE">
      <w:pPr>
        <w:ind w:left="567" w:hanging="567"/>
      </w:pPr>
      <w:r w:rsidRPr="00AA29CE">
        <w:rPr>
          <w:rStyle w:val="FootnoteReference"/>
        </w:rPr>
        <w:footnoteRef/>
      </w:r>
      <w:r w:rsidR="00AA29CE" w:rsidRPr="00AA29CE">
        <w:t xml:space="preserve"> </w:t>
      </w:r>
      <w:r w:rsidR="00AA29CE" w:rsidRPr="00AA29CE">
        <w:tab/>
      </w:r>
      <w:r w:rsidRPr="00AA29CE">
        <w:t xml:space="preserve">OV L, 2024/765, 29.2.2024., ELI: </w:t>
      </w:r>
      <w:hyperlink r:id="rId3" w:history="1">
        <w:r w:rsidRPr="00AA29CE">
          <w:rPr>
            <w:rStyle w:val="Hyperlink"/>
          </w:rPr>
          <w:t>https://eur-lex.europa.eu/eli/reg/2024/765/oj</w:t>
        </w:r>
      </w:hyperlink>
      <w:r w:rsidRPr="00AA29CE">
        <w:t>.</w:t>
      </w:r>
    </w:p>
  </w:footnote>
  <w:footnote w:id="4">
    <w:p w14:paraId="12E4E193" w14:textId="77777777" w:rsidR="004045C0" w:rsidRPr="00AA29CE" w:rsidRDefault="004045C0" w:rsidP="00AA29CE">
      <w:pPr>
        <w:pStyle w:val="FootnoteText"/>
        <w:ind w:left="567" w:hanging="567"/>
        <w:rPr>
          <w:sz w:val="24"/>
          <w:lang w:val="lv-LV"/>
        </w:rPr>
      </w:pPr>
      <w:r w:rsidRPr="00AA29CE">
        <w:rPr>
          <w:rStyle w:val="FootnoteReference"/>
          <w:sz w:val="24"/>
          <w:lang w:val="lv-LV"/>
        </w:rPr>
        <w:footnoteRef/>
      </w:r>
      <w:r w:rsidR="00AA29CE" w:rsidRPr="00AA29CE">
        <w:rPr>
          <w:sz w:val="24"/>
          <w:lang w:val="lv-LV"/>
        </w:rPr>
        <w:t xml:space="preserve"> </w:t>
      </w:r>
      <w:r w:rsidR="00AA29CE" w:rsidRPr="00AA29CE">
        <w:rPr>
          <w:sz w:val="24"/>
          <w:lang w:val="lv-LV"/>
        </w:rPr>
        <w:tab/>
      </w:r>
      <w:r w:rsidRPr="00AA29CE">
        <w:rPr>
          <w:sz w:val="24"/>
          <w:lang w:val="lv-LV"/>
        </w:rPr>
        <w:t xml:space="preserve">OV L 433 I, 22.12.2020., 28. lpp., ELI: </w:t>
      </w:r>
      <w:hyperlink r:id="rId4" w:history="1">
        <w:r w:rsidRPr="00AA29CE">
          <w:rPr>
            <w:rStyle w:val="Hyperlink"/>
            <w:sz w:val="24"/>
            <w:lang w:val="lv-LV"/>
          </w:rPr>
          <w:t>http://data.europa.eu/eli/agree_interinstit/2020/1222/oj</w:t>
        </w:r>
      </w:hyperlink>
      <w:r w:rsidRPr="00AA29C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D1BB" w14:textId="77777777" w:rsidR="004045C0" w:rsidRPr="00AA29CE" w:rsidRDefault="004045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A423" w14:textId="77777777" w:rsidR="004045C0" w:rsidRPr="00AA29CE" w:rsidRDefault="004045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7FA87" w14:textId="77777777" w:rsidR="004045C0" w:rsidRPr="00AA29CE" w:rsidRDefault="004045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AE8D1" w14:textId="77777777" w:rsidR="00064002" w:rsidRPr="00AA29C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B5826" w14:textId="77777777" w:rsidR="00064002" w:rsidRPr="00AA29C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71B3" w14:textId="77777777" w:rsidR="00064002" w:rsidRPr="00AA29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4092435">
    <w:abstractNumId w:val="9"/>
  </w:num>
  <w:num w:numId="2" w16cid:durableId="832258347">
    <w:abstractNumId w:val="9"/>
  </w:num>
  <w:num w:numId="3" w16cid:durableId="268659157">
    <w:abstractNumId w:val="7"/>
  </w:num>
  <w:num w:numId="4" w16cid:durableId="2140492068">
    <w:abstractNumId w:val="7"/>
  </w:num>
  <w:num w:numId="5" w16cid:durableId="1675037773">
    <w:abstractNumId w:val="6"/>
  </w:num>
  <w:num w:numId="6" w16cid:durableId="1543208825">
    <w:abstractNumId w:val="6"/>
  </w:num>
  <w:num w:numId="7" w16cid:durableId="1101027036">
    <w:abstractNumId w:val="5"/>
  </w:num>
  <w:num w:numId="8" w16cid:durableId="14498493">
    <w:abstractNumId w:val="5"/>
  </w:num>
  <w:num w:numId="9" w16cid:durableId="678893131">
    <w:abstractNumId w:val="4"/>
  </w:num>
  <w:num w:numId="10" w16cid:durableId="531916187">
    <w:abstractNumId w:val="4"/>
  </w:num>
  <w:num w:numId="11" w16cid:durableId="1292784891">
    <w:abstractNumId w:val="8"/>
  </w:num>
  <w:num w:numId="12" w16cid:durableId="105543753">
    <w:abstractNumId w:val="8"/>
  </w:num>
  <w:num w:numId="13" w16cid:durableId="917061453">
    <w:abstractNumId w:val="3"/>
  </w:num>
  <w:num w:numId="14" w16cid:durableId="1634630426">
    <w:abstractNumId w:val="3"/>
  </w:num>
  <w:num w:numId="15" w16cid:durableId="846210187">
    <w:abstractNumId w:val="2"/>
  </w:num>
  <w:num w:numId="16" w16cid:durableId="2070183577">
    <w:abstractNumId w:val="2"/>
  </w:num>
  <w:num w:numId="17" w16cid:durableId="576548888">
    <w:abstractNumId w:val="1"/>
  </w:num>
  <w:num w:numId="18" w16cid:durableId="446579750">
    <w:abstractNumId w:val="1"/>
  </w:num>
  <w:num w:numId="19" w16cid:durableId="1726370889">
    <w:abstractNumId w:val="0"/>
  </w:num>
  <w:num w:numId="20" w16cid:durableId="1283461641">
    <w:abstractNumId w:val="0"/>
  </w:num>
  <w:num w:numId="21" w16cid:durableId="1318920129">
    <w:abstractNumId w:val="9"/>
  </w:num>
  <w:num w:numId="22" w16cid:durableId="2080325385">
    <w:abstractNumId w:val="7"/>
  </w:num>
  <w:num w:numId="23" w16cid:durableId="378282650">
    <w:abstractNumId w:val="6"/>
  </w:num>
  <w:num w:numId="24" w16cid:durableId="967857064">
    <w:abstractNumId w:val="5"/>
  </w:num>
  <w:num w:numId="25" w16cid:durableId="834302539">
    <w:abstractNumId w:val="4"/>
  </w:num>
  <w:num w:numId="26" w16cid:durableId="1840150940">
    <w:abstractNumId w:val="8"/>
  </w:num>
  <w:num w:numId="27" w16cid:durableId="32776780">
    <w:abstractNumId w:val="3"/>
  </w:num>
  <w:num w:numId="28" w16cid:durableId="1261917289">
    <w:abstractNumId w:val="2"/>
  </w:num>
  <w:num w:numId="29" w16cid:durableId="1841505745">
    <w:abstractNumId w:val="1"/>
  </w:num>
  <w:num w:numId="30" w16cid:durableId="1524436477">
    <w:abstractNumId w:val="0"/>
  </w:num>
  <w:num w:numId="31" w16cid:durableId="2009601654">
    <w:abstractNumId w:val="9"/>
  </w:num>
  <w:num w:numId="32" w16cid:durableId="1118718334">
    <w:abstractNumId w:val="7"/>
  </w:num>
  <w:num w:numId="33" w16cid:durableId="1887254310">
    <w:abstractNumId w:val="6"/>
  </w:num>
  <w:num w:numId="34" w16cid:durableId="1422484845">
    <w:abstractNumId w:val="5"/>
  </w:num>
  <w:num w:numId="35" w16cid:durableId="1872961960">
    <w:abstractNumId w:val="4"/>
  </w:num>
  <w:num w:numId="36" w16cid:durableId="980621269">
    <w:abstractNumId w:val="8"/>
  </w:num>
  <w:num w:numId="37" w16cid:durableId="558251450">
    <w:abstractNumId w:val="3"/>
  </w:num>
  <w:num w:numId="38" w16cid:durableId="1127821336">
    <w:abstractNumId w:val="2"/>
  </w:num>
  <w:num w:numId="39" w16cid:durableId="232473069">
    <w:abstractNumId w:val="1"/>
  </w:num>
  <w:num w:numId="40" w16cid:durableId="1922176127">
    <w:abstractNumId w:val="0"/>
  </w:num>
  <w:num w:numId="41" w16cid:durableId="817503604">
    <w:abstractNumId w:val="10"/>
  </w:num>
  <w:num w:numId="42" w16cid:durableId="1424566088">
    <w:abstractNumId w:val="10"/>
  </w:num>
  <w:num w:numId="43" w16cid:durableId="1884554750">
    <w:abstractNumId w:val="10"/>
  </w:num>
  <w:num w:numId="44" w16cid:durableId="1144158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LV"/>
    <w:docVar w:name="dvnumam" w:val="0"/>
    <w:docVar w:name="dvpe" w:val="774.309"/>
    <w:docVar w:name="dvrapporteur" w:val="Referents: "/>
    <w:docVar w:name="dvtitre" w:val="Eiropas Parlamenta 2025. gada XX. XXX normatīvā rezolūcija par priekšlikumu Eiropas Parlamenta un Padomes lēmumam par Eiropas Globalizācijas pielāgošanās fonda izmantošanu darbu zaudējušiem darba ņēmējiem (EGF/2025/000 TA 2025 – tehniskā palīdzība pēc Komisijas iniciatīvas)(COM(2025)0680 – C10-0103/2025 – 2025/0135(BUD))"/>
  </w:docVars>
  <w:rsids>
    <w:rsidRoot w:val="006E754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45C0"/>
    <w:rsid w:val="00411CCE"/>
    <w:rsid w:val="0041666E"/>
    <w:rsid w:val="00421060"/>
    <w:rsid w:val="00442D7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7541"/>
    <w:rsid w:val="006F74FA"/>
    <w:rsid w:val="00731ADD"/>
    <w:rsid w:val="00734777"/>
    <w:rsid w:val="0073762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812"/>
    <w:rsid w:val="008F0230"/>
    <w:rsid w:val="00930C23"/>
    <w:rsid w:val="0093193B"/>
    <w:rsid w:val="009509D8"/>
    <w:rsid w:val="00950B64"/>
    <w:rsid w:val="00981893"/>
    <w:rsid w:val="00A1687D"/>
    <w:rsid w:val="00A43E52"/>
    <w:rsid w:val="00A4678D"/>
    <w:rsid w:val="00A778C7"/>
    <w:rsid w:val="00AA29CE"/>
    <w:rsid w:val="00AB441E"/>
    <w:rsid w:val="00AB6293"/>
    <w:rsid w:val="00AE0928"/>
    <w:rsid w:val="00AF3B82"/>
    <w:rsid w:val="00B12E95"/>
    <w:rsid w:val="00B22876"/>
    <w:rsid w:val="00B558F0"/>
    <w:rsid w:val="00BD48FE"/>
    <w:rsid w:val="00BD7BD8"/>
    <w:rsid w:val="00BE6ADC"/>
    <w:rsid w:val="00C05BFE"/>
    <w:rsid w:val="00C23CD4"/>
    <w:rsid w:val="00C3703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22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4DAD3"/>
  <w15:chartTrackingRefBased/>
  <w15:docId w15:val="{E768BF4D-6C7B-4FFB-9AA5-DD88D8716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045C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045C0"/>
    <w:pPr>
      <w:keepNext/>
      <w:spacing w:after="480"/>
      <w:jc w:val="center"/>
    </w:pPr>
    <w:rPr>
      <w:rFonts w:ascii="Arial" w:hAnsi="Arial" w:cs="Arial"/>
      <w:b/>
    </w:rPr>
  </w:style>
  <w:style w:type="paragraph" w:customStyle="1" w:styleId="NormalBold">
    <w:name w:val="NormalBold"/>
    <w:basedOn w:val="Normal"/>
    <w:rsid w:val="004045C0"/>
    <w:rPr>
      <w:b/>
    </w:rPr>
  </w:style>
  <w:style w:type="paragraph" w:customStyle="1" w:styleId="NormalHanging12a">
    <w:name w:val="NormalHanging12a"/>
    <w:basedOn w:val="Normal"/>
    <w:rsid w:val="004045C0"/>
    <w:pPr>
      <w:spacing w:after="240"/>
      <w:ind w:left="567" w:hanging="567"/>
    </w:pPr>
  </w:style>
  <w:style w:type="paragraph" w:styleId="Header">
    <w:name w:val="header"/>
    <w:basedOn w:val="Normal"/>
    <w:link w:val="HeaderChar"/>
    <w:rsid w:val="004045C0"/>
    <w:pPr>
      <w:tabs>
        <w:tab w:val="center" w:pos="4513"/>
        <w:tab w:val="right" w:pos="9026"/>
      </w:tabs>
    </w:pPr>
  </w:style>
  <w:style w:type="character" w:customStyle="1" w:styleId="HeaderChar">
    <w:name w:val="Header Char"/>
    <w:basedOn w:val="DefaultParagraphFont"/>
    <w:link w:val="Header"/>
    <w:rsid w:val="004045C0"/>
    <w:rPr>
      <w:sz w:val="24"/>
      <w:lang w:val="lv-LV"/>
    </w:rPr>
  </w:style>
  <w:style w:type="paragraph" w:customStyle="1" w:styleId="EPFooter">
    <w:name w:val="EPFooter"/>
    <w:basedOn w:val="Normal"/>
    <w:rsid w:val="004045C0"/>
    <w:pPr>
      <w:tabs>
        <w:tab w:val="center" w:pos="4535"/>
        <w:tab w:val="right" w:pos="9071"/>
      </w:tabs>
      <w:spacing w:before="240" w:after="240"/>
    </w:pPr>
    <w:rPr>
      <w:color w:val="010000"/>
      <w:sz w:val="22"/>
    </w:rPr>
  </w:style>
  <w:style w:type="paragraph" w:customStyle="1" w:styleId="EPComma">
    <w:name w:val="EPComma"/>
    <w:basedOn w:val="Normal"/>
    <w:rsid w:val="004045C0"/>
    <w:pPr>
      <w:spacing w:before="480" w:after="240"/>
    </w:pPr>
  </w:style>
  <w:style w:type="character" w:styleId="Hyperlink">
    <w:name w:val="Hyperlink"/>
    <w:basedOn w:val="DefaultParagraphFont"/>
    <w:rsid w:val="004045C0"/>
    <w:rPr>
      <w:color w:val="0563C1" w:themeColor="hyperlink"/>
      <w:u w:val="single"/>
    </w:rPr>
  </w:style>
  <w:style w:type="paragraph" w:customStyle="1" w:styleId="Visa">
    <w:name w:val="Visa"/>
    <w:basedOn w:val="Normal"/>
    <w:rsid w:val="004045C0"/>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4045C0"/>
    <w:pPr>
      <w:keepNext/>
      <w:snapToGrid w:val="0"/>
      <w:spacing w:after="240"/>
    </w:pPr>
    <w:rPr>
      <w:i/>
      <w:lang w:eastAsia="en-US"/>
    </w:rPr>
  </w:style>
  <w:style w:type="paragraph" w:customStyle="1" w:styleId="Titreobjet">
    <w:name w:val="Titre objet"/>
    <w:basedOn w:val="Normal"/>
    <w:next w:val="Normal"/>
    <w:rsid w:val="004045C0"/>
    <w:pPr>
      <w:snapToGrid w:val="0"/>
      <w:ind w:left="1418"/>
    </w:pPr>
    <w:rPr>
      <w:lang w:eastAsia="en-US"/>
    </w:rPr>
  </w:style>
  <w:style w:type="paragraph" w:customStyle="1" w:styleId="Fait">
    <w:name w:val="Fait à"/>
    <w:basedOn w:val="Normal"/>
    <w:next w:val="Normal"/>
    <w:rsid w:val="004045C0"/>
    <w:pPr>
      <w:keepNext/>
      <w:widowControl/>
      <w:snapToGrid w:val="0"/>
      <w:spacing w:before="120"/>
      <w:jc w:val="both"/>
    </w:pPr>
    <w:rPr>
      <w:szCs w:val="24"/>
    </w:rPr>
  </w:style>
  <w:style w:type="paragraph" w:customStyle="1" w:styleId="Titrearticle">
    <w:name w:val="Titre article"/>
    <w:basedOn w:val="Normal"/>
    <w:next w:val="Normal"/>
    <w:rsid w:val="004045C0"/>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4045C0"/>
    <w:pPr>
      <w:keepNext/>
      <w:widowControl/>
      <w:snapToGrid w:val="0"/>
      <w:spacing w:before="120" w:after="120"/>
      <w:jc w:val="both"/>
    </w:pPr>
    <w:rPr>
      <w:szCs w:val="24"/>
    </w:rPr>
  </w:style>
  <w:style w:type="paragraph" w:customStyle="1" w:styleId="ManualConsidrant">
    <w:name w:val="Manual Considérant"/>
    <w:basedOn w:val="Normal"/>
    <w:rsid w:val="004045C0"/>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4045C0"/>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4045C0"/>
    <w:pPr>
      <w:keepNext/>
      <w:widowControl/>
      <w:tabs>
        <w:tab w:val="left" w:pos="4252"/>
      </w:tabs>
      <w:spacing w:before="720"/>
      <w:jc w:val="both"/>
    </w:pPr>
    <w:rPr>
      <w:rFonts w:eastAsiaTheme="minorHAnsi"/>
      <w:i/>
      <w:szCs w:val="22"/>
      <w:lang w:eastAsia="en-US"/>
    </w:rPr>
  </w:style>
  <w:style w:type="paragraph" w:styleId="BalloonText">
    <w:name w:val="Balloon Text"/>
    <w:basedOn w:val="Normal"/>
    <w:link w:val="BalloonTextChar"/>
    <w:rsid w:val="00442D7E"/>
    <w:rPr>
      <w:rFonts w:ascii="Segoe UI" w:hAnsi="Segoe UI" w:cs="Segoe UI"/>
      <w:sz w:val="18"/>
      <w:szCs w:val="18"/>
    </w:rPr>
  </w:style>
  <w:style w:type="character" w:customStyle="1" w:styleId="BalloonTextChar">
    <w:name w:val="Balloon Text Char"/>
    <w:basedOn w:val="DefaultParagraphFont"/>
    <w:link w:val="BalloonText"/>
    <w:rsid w:val="00442D7E"/>
    <w:rPr>
      <w:rFonts w:ascii="Segoe UI" w:hAnsi="Segoe UI" w:cs="Segoe UI"/>
      <w:sz w:val="18"/>
      <w:szCs w:val="18"/>
      <w:lang w:val="lv-LV"/>
    </w:rPr>
  </w:style>
  <w:style w:type="character" w:styleId="CommentReference">
    <w:name w:val="annotation reference"/>
    <w:basedOn w:val="DefaultParagraphFont"/>
    <w:rsid w:val="00442D7E"/>
    <w:rPr>
      <w:sz w:val="16"/>
      <w:szCs w:val="16"/>
    </w:rPr>
  </w:style>
  <w:style w:type="paragraph" w:styleId="CommentText">
    <w:name w:val="annotation text"/>
    <w:basedOn w:val="Normal"/>
    <w:link w:val="CommentTextChar"/>
    <w:rsid w:val="00442D7E"/>
    <w:rPr>
      <w:sz w:val="20"/>
    </w:rPr>
  </w:style>
  <w:style w:type="character" w:customStyle="1" w:styleId="CommentTextChar">
    <w:name w:val="Comment Text Char"/>
    <w:basedOn w:val="DefaultParagraphFont"/>
    <w:link w:val="CommentText"/>
    <w:rsid w:val="00442D7E"/>
    <w:rPr>
      <w:lang w:val="lv-LV"/>
    </w:rPr>
  </w:style>
  <w:style w:type="paragraph" w:styleId="CommentSubject">
    <w:name w:val="annotation subject"/>
    <w:basedOn w:val="CommentText"/>
    <w:next w:val="CommentText"/>
    <w:link w:val="CommentSubjectChar"/>
    <w:rsid w:val="00442D7E"/>
    <w:rPr>
      <w:b/>
      <w:bCs/>
    </w:rPr>
  </w:style>
  <w:style w:type="character" w:customStyle="1" w:styleId="CommentSubjectChar">
    <w:name w:val="Comment Subject Char"/>
    <w:basedOn w:val="CommentTextChar"/>
    <w:link w:val="CommentSubject"/>
    <w:rsid w:val="00442D7E"/>
    <w:rPr>
      <w:b/>
      <w:bCs/>
      <w:lang w:val="lv-LV"/>
    </w:rPr>
  </w:style>
  <w:style w:type="paragraph" w:customStyle="1" w:styleId="Normal24Bold">
    <w:name w:val="Normal24Bold"/>
    <w:basedOn w:val="Normal"/>
    <w:rsid w:val="00C3703E"/>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7C31F-EB38-46AE-997A-9A8E9739A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904</Words>
  <Characters>6087</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2025-10-23T07:21:00Z</dcterms:created>
  <dcterms:modified xsi:type="dcterms:W3CDTF">2025-10-23T07:21:00Z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P10_TA(2025)0153_</vt:lpwstr>
  </property>
  <property fmtid="{D5CDD505-2E9C-101B-9397-08002B2CF9AE}" pid="4" name="&lt;Type&gt;">
    <vt:lpwstr>RR</vt:lpwstr>
  </property>
</Properties>
</file>