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42E3" w14:paraId="4C4374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65CC4B" w14:textId="77777777" w:rsidR="00751A4A" w:rsidRPr="000D42E3" w:rsidRDefault="00734D83" w:rsidP="0010095E">
            <w:pPr>
              <w:pStyle w:val="EPName"/>
            </w:pPr>
            <w:r w:rsidRPr="000D42E3">
              <w:t>Európsky parlament</w:t>
            </w:r>
          </w:p>
          <w:p w14:paraId="5C5B0C0C" w14:textId="77777777" w:rsidR="00751A4A" w:rsidRPr="000D42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42E3">
              <w:t>2024</w:t>
            </w:r>
            <w:r w:rsidR="00817416" w:rsidRPr="000D42E3">
              <w:t>-202</w:t>
            </w:r>
            <w:r w:rsidRPr="000D42E3">
              <w:t>9</w:t>
            </w:r>
          </w:p>
        </w:tc>
        <w:tc>
          <w:tcPr>
            <w:tcW w:w="2268" w:type="dxa"/>
            <w:shd w:val="clear" w:color="auto" w:fill="auto"/>
          </w:tcPr>
          <w:p w14:paraId="2BEA080C" w14:textId="77777777" w:rsidR="00751A4A" w:rsidRPr="000D42E3" w:rsidRDefault="00187494" w:rsidP="0010095E">
            <w:pPr>
              <w:pStyle w:val="EPLogo"/>
            </w:pPr>
            <w:r w:rsidRPr="000D42E3">
              <w:rPr>
                <w:noProof/>
                <w:lang w:val="en-GB"/>
              </w:rPr>
              <w:drawing>
                <wp:inline distT="0" distB="0" distL="0" distR="0" wp14:anchorId="08876DEE" wp14:editId="4E90EB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D9188F" w14:textId="77777777" w:rsidR="00D058B8" w:rsidRPr="000D42E3" w:rsidRDefault="00D058B8" w:rsidP="004C5D52">
      <w:pPr>
        <w:pStyle w:val="LineTop"/>
      </w:pPr>
    </w:p>
    <w:p w14:paraId="6D8FF96B" w14:textId="77777777" w:rsidR="00680577" w:rsidRPr="000D42E3" w:rsidRDefault="00734D83" w:rsidP="00680577">
      <w:pPr>
        <w:pStyle w:val="EPBodyTA1"/>
      </w:pPr>
      <w:r w:rsidRPr="000D42E3">
        <w:t>PRIJATÉ TEXTY</w:t>
      </w:r>
    </w:p>
    <w:p w14:paraId="4760650C" w14:textId="77777777" w:rsidR="00D058B8" w:rsidRPr="000D42E3" w:rsidRDefault="00D058B8" w:rsidP="00D058B8">
      <w:pPr>
        <w:pStyle w:val="LineBottom"/>
      </w:pPr>
    </w:p>
    <w:p w14:paraId="58115BD8" w14:textId="2530D8CA" w:rsidR="00734D83" w:rsidRPr="000D42E3" w:rsidRDefault="00734D83" w:rsidP="00734D83">
      <w:pPr>
        <w:pStyle w:val="ATHeading1"/>
      </w:pPr>
      <w:bookmarkStart w:id="0" w:name="TANumber"/>
      <w:r w:rsidRPr="000D42E3">
        <w:t>P10_TA(2025)0</w:t>
      </w:r>
      <w:r w:rsidR="008E04AF">
        <w:t>15</w:t>
      </w:r>
      <w:r w:rsidR="0001486E">
        <w:t>3</w:t>
      </w:r>
      <w:bookmarkEnd w:id="0"/>
    </w:p>
    <w:p w14:paraId="0BED5024" w14:textId="3C13D312" w:rsidR="00734D83" w:rsidRPr="000D42E3" w:rsidRDefault="00734D83" w:rsidP="00734D83">
      <w:pPr>
        <w:pStyle w:val="ATHeading2"/>
      </w:pPr>
      <w:bookmarkStart w:id="1" w:name="title"/>
      <w:r w:rsidRPr="000D42E3">
        <w:t>Mobilizácia Európskeho fondu na prispôsobenie sa globalizácii</w:t>
      </w:r>
      <w:r w:rsidR="000D4984" w:rsidRPr="000D42E3">
        <w:t>: žiadosť</w:t>
      </w:r>
      <w:r w:rsidRPr="000D42E3">
        <w:t xml:space="preserve"> EGF/2025/000 TA 2025 – Technická pomoc na podnet Komisie</w:t>
      </w:r>
      <w:bookmarkEnd w:id="1"/>
    </w:p>
    <w:p w14:paraId="2A28342B" w14:textId="77777777" w:rsidR="00734D83" w:rsidRPr="000D42E3" w:rsidRDefault="00734D83" w:rsidP="00734D83">
      <w:pPr>
        <w:rPr>
          <w:i/>
          <w:vanish/>
        </w:rPr>
      </w:pPr>
      <w:r w:rsidRPr="000D42E3">
        <w:rPr>
          <w:i/>
        </w:rPr>
        <w:fldChar w:fldCharType="begin"/>
      </w:r>
      <w:r w:rsidRPr="000D42E3">
        <w:rPr>
          <w:i/>
        </w:rPr>
        <w:instrText xml:space="preserve"> TC"(</w:instrText>
      </w:r>
      <w:bookmarkStart w:id="2" w:name="DocNumber"/>
      <w:r w:rsidRPr="000D42E3">
        <w:rPr>
          <w:i/>
        </w:rPr>
        <w:instrText>A10-0115/2025</w:instrText>
      </w:r>
      <w:bookmarkEnd w:id="2"/>
      <w:r w:rsidRPr="000D42E3">
        <w:rPr>
          <w:i/>
        </w:rPr>
        <w:instrText xml:space="preserve"> - Spravodajca: Jean-Marc Germain)"\l3 \n&gt; \* MERGEFORMAT </w:instrText>
      </w:r>
      <w:r w:rsidRPr="000D42E3">
        <w:rPr>
          <w:i/>
        </w:rPr>
        <w:fldChar w:fldCharType="end"/>
      </w:r>
    </w:p>
    <w:p w14:paraId="63662D36" w14:textId="77777777" w:rsidR="00734D83" w:rsidRPr="000D42E3" w:rsidRDefault="00734D83" w:rsidP="00734D83">
      <w:pPr>
        <w:rPr>
          <w:vanish/>
        </w:rPr>
      </w:pPr>
      <w:bookmarkStart w:id="3" w:name="Commission"/>
      <w:r w:rsidRPr="000D42E3">
        <w:rPr>
          <w:vanish/>
        </w:rPr>
        <w:t>Výbor pre rozpočet</w:t>
      </w:r>
      <w:bookmarkEnd w:id="3"/>
    </w:p>
    <w:p w14:paraId="61E1576B" w14:textId="77777777" w:rsidR="00734D83" w:rsidRPr="000D42E3" w:rsidRDefault="00734D83" w:rsidP="00734D83">
      <w:pPr>
        <w:rPr>
          <w:vanish/>
        </w:rPr>
      </w:pPr>
      <w:bookmarkStart w:id="4" w:name="PE"/>
      <w:r w:rsidRPr="000D42E3">
        <w:rPr>
          <w:vanish/>
        </w:rPr>
        <w:t>PE774.309</w:t>
      </w:r>
      <w:bookmarkEnd w:id="4"/>
    </w:p>
    <w:p w14:paraId="1CE385CE" w14:textId="772394BA" w:rsidR="00734D83" w:rsidRPr="000D42E3" w:rsidRDefault="00734D83" w:rsidP="00734D83">
      <w:pPr>
        <w:pStyle w:val="ATHeading3"/>
      </w:pPr>
      <w:bookmarkStart w:id="5" w:name="Sujet"/>
      <w:r w:rsidRPr="000D42E3">
        <w:t>Uznesenie Európskeho parlamentu z</w:t>
      </w:r>
      <w:r w:rsidR="000D4984" w:rsidRPr="000D42E3">
        <w:t> 9</w:t>
      </w:r>
      <w:r w:rsidRPr="000D42E3">
        <w:t>. júla 2025 o návrhu rozhodnutia Európskeho parlamentu a Rady o mobilizácii Európskeho fondu na prispôsobenie sa globalizácii na pomoc pracovníkom, ktorí prišli o zamestnanie (EGF/2025/000 TA 2025 – Technická pomoc na podnet Komisie)</w:t>
      </w:r>
      <w:bookmarkEnd w:id="5"/>
      <w:r w:rsidRPr="000D42E3">
        <w:t xml:space="preserve"> </w:t>
      </w:r>
      <w:bookmarkStart w:id="6" w:name="References"/>
      <w:r w:rsidRPr="000D42E3">
        <w:t>(COM(2025)0680 – C10-0103/2025 – 2025/0135(BUD))</w:t>
      </w:r>
      <w:bookmarkEnd w:id="6"/>
    </w:p>
    <w:p w14:paraId="6B494183" w14:textId="77777777" w:rsidR="00B20BED" w:rsidRPr="000D42E3" w:rsidRDefault="00B20BED" w:rsidP="00B20BED">
      <w:pPr>
        <w:pStyle w:val="EPComma"/>
        <w:rPr>
          <w:noProof/>
        </w:rPr>
      </w:pPr>
      <w:r w:rsidRPr="000D42E3">
        <w:rPr>
          <w:i/>
        </w:rPr>
        <w:t>Európsky parlament</w:t>
      </w:r>
      <w:r w:rsidRPr="000D42E3">
        <w:t>,</w:t>
      </w:r>
    </w:p>
    <w:p w14:paraId="746325FD" w14:textId="442E5EE3" w:rsidR="00B20BED" w:rsidRPr="000D42E3" w:rsidRDefault="00B20BED" w:rsidP="006A0B86">
      <w:pPr>
        <w:pStyle w:val="NormalHanging12a"/>
        <w:rPr>
          <w:noProof/>
        </w:rPr>
      </w:pPr>
      <w:r w:rsidRPr="000D42E3">
        <w:t>–</w:t>
      </w:r>
      <w:r w:rsidRPr="000D42E3">
        <w:tab/>
        <w:t>so zreteľom na návrh Komisie pre Európsky parlament a Radu (COM(2025)0680 – C10</w:t>
      </w:r>
      <w:r w:rsidR="000D4984" w:rsidRPr="000D42E3">
        <w:t>-</w:t>
      </w:r>
      <w:r w:rsidRPr="000D42E3">
        <w:t>0103/2025),</w:t>
      </w:r>
    </w:p>
    <w:p w14:paraId="1AB54E3A" w14:textId="77777777" w:rsidR="00B20BED" w:rsidRPr="000D42E3" w:rsidRDefault="00B20BED" w:rsidP="006A0B86">
      <w:pPr>
        <w:pStyle w:val="NormalHanging12a"/>
        <w:rPr>
          <w:noProof/>
        </w:rPr>
      </w:pPr>
      <w:r w:rsidRPr="000D42E3">
        <w:t>–</w:t>
      </w:r>
      <w:r w:rsidRPr="000D42E3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 w:rsidRPr="000D42E3">
        <w:rPr>
          <w:rStyle w:val="FootnoteReference"/>
        </w:rPr>
        <w:footnoteReference w:id="1"/>
      </w:r>
      <w:r w:rsidRPr="000D42E3">
        <w:t xml:space="preserve"> (ďalej len „nariadenie o EGF“),</w:t>
      </w:r>
    </w:p>
    <w:p w14:paraId="3886CF87" w14:textId="77777777" w:rsidR="00B20BED" w:rsidRPr="000D42E3" w:rsidRDefault="00B20BED" w:rsidP="006A0B86">
      <w:pPr>
        <w:widowControl/>
        <w:spacing w:after="240"/>
        <w:ind w:left="567" w:hanging="567"/>
        <w:rPr>
          <w:noProof/>
        </w:rPr>
      </w:pPr>
      <w:r w:rsidRPr="000D42E3">
        <w:t>–</w:t>
      </w:r>
      <w:r w:rsidRPr="000D42E3">
        <w:tab/>
      </w:r>
      <w:r w:rsidRPr="000D42E3">
        <w:rPr>
          <w:snapToGrid w:val="0"/>
        </w:rPr>
        <w:t xml:space="preserve">so zreteľom na nariadenie Rady (EÚ, </w:t>
      </w:r>
      <w:proofErr w:type="spellStart"/>
      <w:r w:rsidRPr="000D42E3">
        <w:rPr>
          <w:snapToGrid w:val="0"/>
        </w:rPr>
        <w:t>Euratom</w:t>
      </w:r>
      <w:proofErr w:type="spellEnd"/>
      <w:r w:rsidRPr="000D42E3">
        <w:rPr>
          <w:snapToGrid w:val="0"/>
        </w:rPr>
        <w:t>) 2020/2093 zo 17. decembra 2020, ktorým sa stanovuje viacročný finančný rámec na roky 2021 až 2027</w:t>
      </w:r>
      <w:r w:rsidRPr="000D42E3">
        <w:rPr>
          <w:rStyle w:val="FootnoteReference"/>
          <w:snapToGrid w:val="0"/>
        </w:rPr>
        <w:footnoteReference w:id="2"/>
      </w:r>
      <w:r w:rsidRPr="000D42E3">
        <w:rPr>
          <w:snapToGrid w:val="0"/>
        </w:rPr>
        <w:t xml:space="preserve">, zmenené nariadením (EÚ, </w:t>
      </w:r>
      <w:proofErr w:type="spellStart"/>
      <w:r w:rsidRPr="000D42E3">
        <w:rPr>
          <w:snapToGrid w:val="0"/>
        </w:rPr>
        <w:t>Euratom</w:t>
      </w:r>
      <w:proofErr w:type="spellEnd"/>
      <w:r w:rsidRPr="000D42E3">
        <w:rPr>
          <w:snapToGrid w:val="0"/>
        </w:rPr>
        <w:t>) 2024/765</w:t>
      </w:r>
      <w:r w:rsidRPr="000D42E3">
        <w:rPr>
          <w:rStyle w:val="FootnoteReference"/>
          <w:snapToGrid w:val="0"/>
          <w:bdr w:val="none" w:sz="0" w:space="0" w:color="auto" w:frame="1"/>
        </w:rPr>
        <w:footnoteReference w:id="3"/>
      </w:r>
      <w:r w:rsidRPr="000D42E3">
        <w:rPr>
          <w:snapToGrid w:val="0"/>
        </w:rPr>
        <w:t>, a najmä na jeho článok 8</w:t>
      </w:r>
      <w:r w:rsidRPr="000D42E3">
        <w:t>,</w:t>
      </w:r>
    </w:p>
    <w:p w14:paraId="36CE322F" w14:textId="77777777" w:rsidR="00B20BED" w:rsidRPr="000D42E3" w:rsidRDefault="00B20BED" w:rsidP="006A0B86">
      <w:pPr>
        <w:tabs>
          <w:tab w:val="left" w:pos="567"/>
        </w:tabs>
        <w:spacing w:after="240"/>
        <w:ind w:left="567" w:hanging="567"/>
      </w:pPr>
      <w:r w:rsidRPr="000D42E3">
        <w:t>–</w:t>
      </w:r>
      <w:r w:rsidRPr="000D42E3">
        <w:tab/>
        <w:t xml:space="preserve">so zreteľom na </w:t>
      </w:r>
      <w:proofErr w:type="spellStart"/>
      <w:r w:rsidRPr="000D42E3">
        <w:t>Medziinštitucionálnu</w:t>
      </w:r>
      <w:proofErr w:type="spellEnd"/>
      <w:r w:rsidRPr="000D42E3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0D42E3">
        <w:rPr>
          <w:rStyle w:val="FootnoteReference"/>
        </w:rPr>
        <w:footnoteReference w:id="4"/>
      </w:r>
      <w:r w:rsidRPr="000D42E3">
        <w:t>, a najmä na jej bod 9,</w:t>
      </w:r>
    </w:p>
    <w:p w14:paraId="72CC7E50" w14:textId="77777777" w:rsidR="00B20BED" w:rsidRPr="000D42E3" w:rsidRDefault="00B20BED" w:rsidP="006A0B86">
      <w:pPr>
        <w:pStyle w:val="Visa"/>
        <w:tabs>
          <w:tab w:val="clear" w:pos="357"/>
          <w:tab w:val="left" w:pos="567"/>
        </w:tabs>
        <w:ind w:left="567" w:hanging="567"/>
      </w:pPr>
      <w:r w:rsidRPr="000D42E3">
        <w:t>–</w:t>
      </w:r>
      <w:r w:rsidRPr="000D42E3">
        <w:tab/>
      </w:r>
      <w:r w:rsidRPr="000D42E3">
        <w:rPr>
          <w:snapToGrid w:val="0"/>
        </w:rPr>
        <w:t>so zreteľom na správu Výboru pre rozpočet (A10-0115/2025),</w:t>
      </w:r>
      <w:r w:rsidRPr="000D42E3">
        <w:t xml:space="preserve"> </w:t>
      </w:r>
    </w:p>
    <w:p w14:paraId="41FB2B51" w14:textId="77777777" w:rsidR="00B20BED" w:rsidRPr="000D42E3" w:rsidRDefault="00B20BED" w:rsidP="006A0B86">
      <w:pPr>
        <w:tabs>
          <w:tab w:val="left" w:pos="567"/>
        </w:tabs>
        <w:spacing w:after="240"/>
        <w:ind w:left="567" w:hanging="567"/>
      </w:pPr>
      <w:r w:rsidRPr="000D42E3">
        <w:t>A.</w:t>
      </w:r>
      <w:r w:rsidRPr="000D42E3">
        <w:tab/>
        <w:t xml:space="preserve">keďže Únia vytvorila legislatívne a rozpočtové nástroje s cieľom poskytnúť dodatočnú </w:t>
      </w:r>
      <w:r w:rsidRPr="000D42E3">
        <w:lastRenderedPageBreak/>
        <w:t xml:space="preserve">podporu pracovníkom, ktorí trpia dôsledkami globalizácie a technologických a environmentálnych zmien, ako sú zmeny štruktúry svetového obchodu, obchodné spory, výrazné zmeny v obchodných vzťahoch Únie alebo v zložení vnútorného trhu a finančné alebo hospodárske krízy, ako aj prechod na </w:t>
      </w:r>
      <w:proofErr w:type="spellStart"/>
      <w:r w:rsidRPr="000D42E3">
        <w:t>nízkouhlíkové</w:t>
      </w:r>
      <w:proofErr w:type="spellEnd"/>
      <w:r w:rsidRPr="000D42E3">
        <w:t xml:space="preserve"> hospodárstvo, alebo dôsledkami digitalizácie alebo automatizácie;</w:t>
      </w:r>
    </w:p>
    <w:p w14:paraId="790061A4" w14:textId="0D6A117B" w:rsidR="00B20BED" w:rsidRPr="000D42E3" w:rsidRDefault="00B20BED" w:rsidP="006A0B86">
      <w:pPr>
        <w:tabs>
          <w:tab w:val="left" w:pos="567"/>
        </w:tabs>
        <w:spacing w:after="240"/>
        <w:ind w:left="567" w:hanging="567"/>
      </w:pPr>
      <w:r w:rsidRPr="000D42E3">
        <w:t>B.</w:t>
      </w:r>
      <w:r w:rsidRPr="000D42E3">
        <w:tab/>
        <w:t xml:space="preserve">keďže pomoc Únie prepusteným pracovníkom by mala byť v prvom rade zameraná na aktívne opatrenia politiky trhu práce a </w:t>
      </w:r>
      <w:proofErr w:type="spellStart"/>
      <w:r w:rsidRPr="000D42E3">
        <w:t>personalizované</w:t>
      </w:r>
      <w:proofErr w:type="spellEnd"/>
      <w:r w:rsidRPr="000D42E3">
        <w:t xml:space="preserve"> služby, ktorých cieľom je rýchlo vrátiť ich prijímateľov do dôstojného a udržateľného zamestnania a zároveň ich pripraviť na ekologickejšie a digitálnejšie európske hospodárstvo, a to s náležitým zreteľom na </w:t>
      </w:r>
      <w:proofErr w:type="spellStart"/>
      <w:r w:rsidRPr="000D42E3">
        <w:t>Medziinštitucionálnu</w:t>
      </w:r>
      <w:proofErr w:type="spellEnd"/>
      <w:r w:rsidRPr="000D42E3">
        <w:t xml:space="preserve"> dohodu zo 16. decembra 2020 v súvislosti s prijímaním rozhodnutí o mobilizácii Európskeho fondu na prispôsobenie sa globalizácii na pomoc pracovníkom, ktorí prišli o zamestnanie (</w:t>
      </w:r>
      <w:r w:rsidR="009035BD" w:rsidRPr="000D42E3">
        <w:t>ďalej len „</w:t>
      </w:r>
      <w:r w:rsidRPr="000D42E3">
        <w:t>EGF</w:t>
      </w:r>
      <w:r w:rsidR="009035BD" w:rsidRPr="000D42E3">
        <w:t>“</w:t>
      </w:r>
      <w:r w:rsidRPr="000D42E3">
        <w:t>);</w:t>
      </w:r>
    </w:p>
    <w:p w14:paraId="3383BAB8" w14:textId="77777777" w:rsidR="00B20BED" w:rsidRPr="000D42E3" w:rsidRDefault="00B20BED" w:rsidP="000D42E3">
      <w:pPr>
        <w:spacing w:after="240"/>
        <w:ind w:left="567" w:hanging="567"/>
      </w:pPr>
      <w:r w:rsidRPr="000D42E3">
        <w:t>C.</w:t>
      </w:r>
      <w:r w:rsidRPr="000D42E3">
        <w:tab/>
        <w:t>keďže Únia najskôr rozšírila rozsah pôsobnosti EGF s cieľom poskytovať finančnú podporu v prípade akejkoľvek významnej udalosti vedúcej k reštrukturalizácii, a tým pokryť hospodárske dôsledky krízy spôsobenej ochorením COVID-19;</w:t>
      </w:r>
    </w:p>
    <w:p w14:paraId="5F9EE43B" w14:textId="77777777" w:rsidR="00B20BED" w:rsidRPr="000D42E3" w:rsidRDefault="00B20BED" w:rsidP="006A0B86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0D42E3">
        <w:t>D.</w:t>
      </w:r>
      <w:r w:rsidRPr="000D42E3">
        <w:tab/>
        <w:t xml:space="preserve">keďže prijatím nového nariadenia o EGF v roku 2021 sa ďalej rozšíril rozsah pôsobnosti EGF na veľké reštrukturalizačné udalosti vyvolané prechodom na </w:t>
      </w:r>
      <w:proofErr w:type="spellStart"/>
      <w:r w:rsidRPr="000D42E3">
        <w:t>nízkouhlíkové</w:t>
      </w:r>
      <w:proofErr w:type="spellEnd"/>
      <w:r w:rsidRPr="000D42E3">
        <w:t xml:space="preserve"> hospodárstvo alebo v dôsledku digitalizácie či automatizácie, pričom sa zároveň znížila požadovaná prahová hodnota na aktiváciu EGF z 500 prepustených pracovníkov na 200;</w:t>
      </w:r>
    </w:p>
    <w:p w14:paraId="6DA69EE5" w14:textId="4C03C416" w:rsidR="00B20BED" w:rsidRPr="000D42E3" w:rsidRDefault="00B20BED" w:rsidP="006A0B86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0D42E3">
        <w:rPr>
          <w:color w:val="000000"/>
          <w:bdr w:val="none" w:sz="0" w:space="0" w:color="auto" w:frame="1"/>
        </w:rPr>
        <w:t>E.</w:t>
      </w:r>
      <w:r w:rsidRPr="000D42E3">
        <w:rPr>
          <w:color w:val="000000"/>
          <w:bdr w:val="none" w:sz="0" w:space="0" w:color="auto" w:frame="1"/>
        </w:rPr>
        <w:tab/>
      </w:r>
      <w:r w:rsidRPr="000D42E3">
        <w:rPr>
          <w:bdr w:val="none" w:sz="0" w:space="0" w:color="auto" w:frame="1"/>
        </w:rPr>
        <w:t xml:space="preserve">keďže revíziou </w:t>
      </w:r>
      <w:r w:rsidR="009035BD" w:rsidRPr="000D42E3">
        <w:rPr>
          <w:bdr w:val="none" w:sz="0" w:space="0" w:color="auto" w:frame="1"/>
        </w:rPr>
        <w:t>viacročného finančného rámca</w:t>
      </w:r>
      <w:r w:rsidRPr="000D42E3">
        <w:rPr>
          <w:bdr w:val="none" w:sz="0" w:space="0" w:color="auto" w:frame="1"/>
        </w:rPr>
        <w:t xml:space="preserve"> sa znižuje maximálna ročná suma EGF zo 186 miliónov EUR na 30 miliónov EUR (v cenách z roku 2018), ako sa stanovuje v článku 8 nariadenia Rady (EÚ, </w:t>
      </w:r>
      <w:proofErr w:type="spellStart"/>
      <w:r w:rsidRPr="000D42E3">
        <w:rPr>
          <w:bdr w:val="none" w:sz="0" w:space="0" w:color="auto" w:frame="1"/>
        </w:rPr>
        <w:t>Euratom</w:t>
      </w:r>
      <w:proofErr w:type="spellEnd"/>
      <w:r w:rsidRPr="000D42E3">
        <w:rPr>
          <w:bdr w:val="none" w:sz="0" w:space="0" w:color="auto" w:frame="1"/>
        </w:rPr>
        <w:t xml:space="preserve">) 2020/2093 zmeneného nariadením (EÚ, </w:t>
      </w:r>
      <w:proofErr w:type="spellStart"/>
      <w:r w:rsidRPr="000D42E3">
        <w:rPr>
          <w:bdr w:val="none" w:sz="0" w:space="0" w:color="auto" w:frame="1"/>
        </w:rPr>
        <w:t>Euratom</w:t>
      </w:r>
      <w:proofErr w:type="spellEnd"/>
      <w:r w:rsidRPr="000D42E3">
        <w:rPr>
          <w:bdr w:val="none" w:sz="0" w:space="0" w:color="auto" w:frame="1"/>
        </w:rPr>
        <w:t>) 2024/765;</w:t>
      </w:r>
      <w:r w:rsidRPr="000D42E3">
        <w:rPr>
          <w:color w:val="000000"/>
          <w:bdr w:val="none" w:sz="0" w:space="0" w:color="auto" w:frame="1"/>
        </w:rPr>
        <w:t xml:space="preserve"> keďže všetky inštitúcie musia napriek týmto škrtom zabezpečiť, aby prepustení pracovníci mohli počítať so solidaritou Únie prostredníctvom podpory z EGF;</w:t>
      </w:r>
    </w:p>
    <w:p w14:paraId="2C2AB3E0" w14:textId="77777777" w:rsidR="00B20BED" w:rsidRPr="000D42E3" w:rsidRDefault="00B20BED" w:rsidP="006A0B86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0D42E3">
        <w:rPr>
          <w:color w:val="000000"/>
          <w:bdr w:val="none" w:sz="0" w:space="0" w:color="auto" w:frame="1"/>
        </w:rPr>
        <w:t>F.</w:t>
      </w:r>
      <w:r w:rsidRPr="000D42E3">
        <w:rPr>
          <w:color w:val="000000"/>
          <w:bdr w:val="none" w:sz="0" w:space="0" w:color="auto" w:frame="1"/>
        </w:rPr>
        <w:tab/>
      </w:r>
      <w:r w:rsidRPr="000D42E3">
        <w:t>keďže v článku 11 ods. 1 nariadenia o EGF sa stanovuje, že 0,5 % z tejto maximálnej sumy sa môže na podnet Komisie poskytnúť na technickú pomoc;</w:t>
      </w:r>
    </w:p>
    <w:p w14:paraId="7D435570" w14:textId="77777777" w:rsidR="00B20BED" w:rsidRPr="000D42E3" w:rsidRDefault="00B20BED" w:rsidP="006A0B86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0D42E3">
        <w:rPr>
          <w:color w:val="000000"/>
          <w:bdr w:val="none" w:sz="0" w:space="0" w:color="auto" w:frame="1"/>
        </w:rPr>
        <w:t>G.</w:t>
      </w:r>
      <w:r w:rsidRPr="000D42E3">
        <w:rPr>
          <w:color w:val="000000"/>
          <w:bdr w:val="none" w:sz="0" w:space="0" w:color="auto" w:frame="1"/>
        </w:rPr>
        <w:tab/>
        <w:t>keďže technickú pomoc môžu tvoriť technické a administratívne výdavky na vykonávanie EGF, ako sú prípravné, monitorovacie, kontrolné, audítorské a hodnotiace činnosti, ako aj zhromažďovanie údajov, a to aj v súvislosti so systémami informačných technológií na úrovni organizácií, komunikačnými činnosťami a činnosťami na lepšie zviditeľnenie EGF ako fondu, alebo vzhľadom na konkrétne projekty a iné opatrenia technickej pomoci;</w:t>
      </w:r>
    </w:p>
    <w:p w14:paraId="1B31AB51" w14:textId="77777777" w:rsidR="00B20BED" w:rsidRPr="000D42E3" w:rsidRDefault="00B20BED" w:rsidP="006A0B86">
      <w:pPr>
        <w:pStyle w:val="NormalHanging12a"/>
        <w:rPr>
          <w:snapToGrid w:val="0"/>
          <w:color w:val="000000"/>
          <w:bdr w:val="none" w:sz="0" w:space="0" w:color="auto" w:frame="1"/>
        </w:rPr>
      </w:pPr>
      <w:r w:rsidRPr="000D42E3">
        <w:rPr>
          <w:snapToGrid w:val="0"/>
          <w:color w:val="000000"/>
          <w:bdr w:val="none" w:sz="0" w:space="0" w:color="auto" w:frame="1"/>
        </w:rPr>
        <w:t>H.</w:t>
      </w:r>
      <w:r w:rsidRPr="000D42E3">
        <w:rPr>
          <w:snapToGrid w:val="0"/>
          <w:color w:val="000000"/>
          <w:bdr w:val="none" w:sz="0" w:space="0" w:color="auto" w:frame="1"/>
        </w:rPr>
        <w:tab/>
      </w:r>
      <w:r w:rsidRPr="000D42E3">
        <w:rPr>
          <w:snapToGrid w:val="0"/>
        </w:rPr>
        <w:t>keďže navrhovaná suma 170 000 EUR zodpovedá približne 0,49 % maximálneho ročného rozpočtu vyčleneného pre EGF v roku 2025;</w:t>
      </w:r>
    </w:p>
    <w:p w14:paraId="5B85FF31" w14:textId="77777777" w:rsidR="00B20BED" w:rsidRPr="000D42E3" w:rsidRDefault="00B20BED" w:rsidP="006A0B86">
      <w:pPr>
        <w:spacing w:after="240"/>
        <w:ind w:left="567" w:hanging="567"/>
        <w:rPr>
          <w:bdr w:val="none" w:sz="0" w:space="0" w:color="auto" w:frame="1"/>
        </w:rPr>
      </w:pPr>
      <w:r w:rsidRPr="000D42E3">
        <w:rPr>
          <w:bdr w:val="none" w:sz="0" w:space="0" w:color="auto" w:frame="1"/>
        </w:rPr>
        <w:t>1.</w:t>
      </w:r>
      <w:r w:rsidRPr="000D42E3">
        <w:rPr>
          <w:bdr w:val="none" w:sz="0" w:space="0" w:color="auto" w:frame="1"/>
        </w:rPr>
        <w:tab/>
        <w:t>súhlasí s mobilizáciou 170 000 EUR a opatreniami, ktoré Komisia navrhuje financovať ako technickú pomoc v súlade s článkom 11 ods. 1 a 4 a článkom 12 ods. 2, 3 a 4 nariadenia o EGF;</w:t>
      </w:r>
    </w:p>
    <w:p w14:paraId="3E9BE08E" w14:textId="77777777" w:rsidR="00B20BED" w:rsidRPr="000D42E3" w:rsidRDefault="00B20BED" w:rsidP="006A0B86">
      <w:pPr>
        <w:spacing w:after="240"/>
        <w:ind w:left="567" w:hanging="567"/>
      </w:pPr>
      <w:r w:rsidRPr="000D42E3">
        <w:t>2.</w:t>
      </w:r>
      <w:r w:rsidRPr="000D42E3">
        <w:tab/>
        <w:t>víta pokračujúcu prácu na normalizovaných postupoch pre žiadosti o podporu z EGF a ich riadenie s využitím funkcií systému elektronickej výmeny údajov (spoločný systém zdieľaného riadenia prostriedkov – SFC), čím sa umožní zjednodušenie a rýchlejšie spracovanie žiadostí a lepšie vykazovanie;</w:t>
      </w:r>
    </w:p>
    <w:p w14:paraId="7D0274AF" w14:textId="77777777" w:rsidR="00B20BED" w:rsidRPr="000D42E3" w:rsidRDefault="00B20BED" w:rsidP="006A0B86">
      <w:pPr>
        <w:spacing w:after="240"/>
        <w:ind w:left="567" w:hanging="567"/>
      </w:pPr>
      <w:r w:rsidRPr="000D42E3">
        <w:lastRenderedPageBreak/>
        <w:t>3.</w:t>
      </w:r>
      <w:r w:rsidRPr="000D42E3">
        <w:tab/>
        <w:t>berie na vedomie, že Komisia využije dostupný rozpočet v rámci administratívnej podpory na konanie zasadnutí expertnej skupiny kontaktných osôb EGF (dvaja členovia z každého členského štátu) a jedného seminára za účasti implementačných orgánov EGF a sociálnych partnerov na podporu vytvárania sietí medzi členskými štátmi; vyzýva Komisiu, aby na tieto schôdze a semináre naďalej systematicky pozývala Európsky parlament v súlade s príslušnými ustanoveniami rámcovej dohody o vzťahoch medzi Európskym parlamentom a Komisiou;</w:t>
      </w:r>
    </w:p>
    <w:p w14:paraId="62435A41" w14:textId="77777777" w:rsidR="00B20BED" w:rsidRPr="000D42E3" w:rsidRDefault="00B20BED" w:rsidP="006A0B86">
      <w:pPr>
        <w:spacing w:after="240"/>
        <w:ind w:left="567" w:hanging="567"/>
      </w:pPr>
      <w:r w:rsidRPr="000D42E3">
        <w:t>4.</w:t>
      </w:r>
      <w:r w:rsidRPr="000D42E3">
        <w:tab/>
        <w:t>vyzýva Komisiu, aby upravila odporúčané postupy, ktoré boli vypracované počas pandémie ochorenia COVID-19, najmä tie, ktoré môžu pomôcť urýchliť inkluzívnu zelenú a digitálnu transformáciu a podporiť kľúčové priority Únie, ako je rodová rovnosť;</w:t>
      </w:r>
    </w:p>
    <w:p w14:paraId="4CEA530B" w14:textId="77777777" w:rsidR="00B20BED" w:rsidRPr="000D42E3" w:rsidRDefault="00B20BED" w:rsidP="006A0B86">
      <w:pPr>
        <w:spacing w:after="240"/>
        <w:ind w:left="567" w:hanging="567"/>
      </w:pPr>
      <w:r w:rsidRPr="000D42E3">
        <w:t>5.</w:t>
      </w:r>
      <w:r w:rsidRPr="000D42E3">
        <w:tab/>
        <w:t xml:space="preserve">zdôrazňuje, že treba ďalej posilňovať všeobecnú informovanosť o EGF a jeho viditeľnosť; poukazuje na skutočnosť, že takýto cieľ sa dá dosiahnuť uvádzaním EGF v rozličných publikáciách a audiovizuálnych aktivitách Komisie, ako je stanovené v článku 11 ods. 1 nariadenia o EGF; </w:t>
      </w:r>
      <w:r w:rsidRPr="000D42E3">
        <w:rPr>
          <w:bdr w:val="none" w:sz="0" w:space="0" w:color="auto" w:frame="1"/>
        </w:rPr>
        <w:t>v tejto súvislosti víta prevádzku osobitnej webovej stránky pre EGF a vyzýva Komisiu, aby ju pravidelne aktualizovala a rozširovala na zviditeľnenie európskej solidarity, ktorú EGF preukázal vo vzťahu k širokej verejnosti, a zvýšenie transparentnosti opatrení Únie;</w:t>
      </w:r>
    </w:p>
    <w:p w14:paraId="5480A842" w14:textId="77777777" w:rsidR="00B20BED" w:rsidRPr="000D42E3" w:rsidRDefault="00B20BED" w:rsidP="006A0B86">
      <w:pPr>
        <w:spacing w:after="240"/>
        <w:ind w:left="567" w:hanging="567"/>
      </w:pPr>
      <w:r w:rsidRPr="000D42E3">
        <w:t>6.</w:t>
      </w:r>
      <w:r w:rsidRPr="000D42E3">
        <w:tab/>
        <w:t>pripomína žiadajúcim členským štátom ich zásadnú úlohu poskytovať rozsiahle informácie o akciách financovaných z EGF dotknutým prijímateľom, miestnym a regionálnym orgánom, sociálnym partnerom, médiám a širokej verejnosti, ako sa uvádza v článku 12 nariadenia o EGF; vyzýva Komisiu, aby systematicky kontrolovala súlad členských štátov s nariadením o EGF, najmä s jeho článkom 12 ods. 1;</w:t>
      </w:r>
    </w:p>
    <w:p w14:paraId="66C3CEF4" w14:textId="77777777" w:rsidR="00B20BED" w:rsidRPr="000D42E3" w:rsidRDefault="00B20BED" w:rsidP="006A0B86">
      <w:pPr>
        <w:spacing w:after="240"/>
        <w:ind w:left="567" w:hanging="567"/>
      </w:pPr>
      <w:r w:rsidRPr="000D42E3">
        <w:t>7.</w:t>
      </w:r>
      <w:r w:rsidRPr="000D42E3">
        <w:tab/>
        <w:t>schvaľuje rozhodnutie, ktoré je uvedené v prílohe k tomuto uzneseniu;</w:t>
      </w:r>
    </w:p>
    <w:p w14:paraId="00E764D3" w14:textId="77777777" w:rsidR="00B20BED" w:rsidRPr="000D42E3" w:rsidRDefault="00B20BED" w:rsidP="006A0B86">
      <w:pPr>
        <w:spacing w:after="240"/>
        <w:ind w:left="567" w:hanging="567"/>
      </w:pPr>
      <w:r w:rsidRPr="000D42E3">
        <w:t>8.</w:t>
      </w:r>
      <w:r w:rsidRPr="000D42E3">
        <w:tab/>
        <w:t xml:space="preserve">poveruje svoju predsedníčku, aby podpísala toto rozhodnutie spoločne s predsedom Rady a aby zabezpečila jeho uverejnenie v </w:t>
      </w:r>
      <w:r w:rsidRPr="000D42E3">
        <w:rPr>
          <w:i/>
          <w:iCs/>
        </w:rPr>
        <w:t>Úradnom vestníku Európskej únie</w:t>
      </w:r>
      <w:r w:rsidRPr="000D42E3">
        <w:t>;</w:t>
      </w:r>
    </w:p>
    <w:p w14:paraId="4813A1A2" w14:textId="77777777" w:rsidR="00B20BED" w:rsidRPr="000D42E3" w:rsidRDefault="00B20BED" w:rsidP="006A0B86">
      <w:pPr>
        <w:spacing w:after="240"/>
        <w:ind w:left="567" w:hanging="567"/>
      </w:pPr>
      <w:r w:rsidRPr="000D42E3">
        <w:t>9.</w:t>
      </w:r>
      <w:r w:rsidRPr="000D42E3">
        <w:tab/>
        <w:t>poveruje svoju predsedníčku, aby postúpila toto uznesenie spolu s prílohou Rade a Komisii.</w:t>
      </w:r>
    </w:p>
    <w:p w14:paraId="2E0693CF" w14:textId="77777777" w:rsidR="00B20BED" w:rsidRPr="000D42E3" w:rsidRDefault="00B20BED" w:rsidP="00B20BED">
      <w:pPr>
        <w:rPr>
          <w:noProof/>
        </w:rPr>
      </w:pPr>
    </w:p>
    <w:p w14:paraId="4D61424B" w14:textId="77777777" w:rsidR="00B20BED" w:rsidRPr="000D42E3" w:rsidRDefault="00B20BED" w:rsidP="00B20BED">
      <w:pPr>
        <w:pStyle w:val="PageHeading"/>
        <w:rPr>
          <w:noProof/>
        </w:rPr>
        <w:sectPr w:rsidR="00B20BED" w:rsidRPr="000D42E3" w:rsidSect="002D5425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6B9A4A" w14:textId="47865257" w:rsidR="006A0B86" w:rsidRPr="000D42E3" w:rsidRDefault="00B20BED" w:rsidP="00B20BED">
      <w:pPr>
        <w:pStyle w:val="PageHeading"/>
        <w:rPr>
          <w:rFonts w:ascii="Times New Roman" w:hAnsi="Times New Roman" w:cs="Times New Roman"/>
        </w:rPr>
      </w:pPr>
      <w:bookmarkStart w:id="7" w:name="_Toc202434885"/>
      <w:r w:rsidRPr="000D42E3">
        <w:rPr>
          <w:rFonts w:ascii="Times New Roman" w:hAnsi="Times New Roman" w:cs="Times New Roman"/>
        </w:rPr>
        <w:lastRenderedPageBreak/>
        <w:t>PRÍLOHA</w:t>
      </w:r>
    </w:p>
    <w:p w14:paraId="273905C6" w14:textId="79C20CA2" w:rsidR="00B20BED" w:rsidRPr="000D42E3" w:rsidRDefault="00B20BED" w:rsidP="00B20BED">
      <w:pPr>
        <w:pStyle w:val="PageHeading"/>
        <w:rPr>
          <w:rFonts w:ascii="Times New Roman" w:hAnsi="Times New Roman" w:cs="Times New Roman"/>
          <w:noProof/>
        </w:rPr>
      </w:pPr>
      <w:r w:rsidRPr="000D42E3">
        <w:rPr>
          <w:rFonts w:ascii="Times New Roman" w:hAnsi="Times New Roman" w:cs="Times New Roman"/>
        </w:rPr>
        <w:t>ROZHODNUTIE EURÓPSKEHO PARLAMENTU A RADY</w:t>
      </w:r>
      <w:bookmarkEnd w:id="7"/>
    </w:p>
    <w:p w14:paraId="519F3E31" w14:textId="77777777" w:rsidR="00B20BED" w:rsidRDefault="00B20BED" w:rsidP="00B20BED">
      <w:pPr>
        <w:pStyle w:val="Titreobjet"/>
        <w:widowControl/>
        <w:spacing w:before="360" w:after="360"/>
        <w:ind w:left="0"/>
        <w:jc w:val="center"/>
        <w:rPr>
          <w:b/>
        </w:rPr>
      </w:pPr>
      <w:r w:rsidRPr="000D42E3">
        <w:rPr>
          <w:b/>
        </w:rPr>
        <w:t>o mobilizácii Európskeho fondu na prispôsobenie sa globalizácii na pomoc pracovníkom, ktorí prišli o zamestnanie (EGF/2025/000 TA 2025 – Technická pomoc na podnet Komisie)</w:t>
      </w:r>
    </w:p>
    <w:p w14:paraId="1665AC35" w14:textId="069EDA0D" w:rsidR="00E3444B" w:rsidRPr="00731EF8" w:rsidRDefault="00E3444B" w:rsidP="00E3444B">
      <w:pPr>
        <w:rPr>
          <w:i/>
          <w:iCs/>
        </w:rPr>
      </w:pPr>
      <w:r w:rsidRPr="00E3444B">
        <w:rPr>
          <w:bCs/>
          <w:i/>
          <w:iCs/>
        </w:rPr>
        <w:t>(Znenie tejto prílohy sa neuvádza, pretože zodpovedá konečnému aktu, rozhodnutiu (EÚ) 2025/1</w:t>
      </w:r>
      <w:r>
        <w:rPr>
          <w:bCs/>
          <w:i/>
          <w:iCs/>
        </w:rPr>
        <w:t>524</w:t>
      </w:r>
      <w:r w:rsidRPr="00E3444B">
        <w:rPr>
          <w:bCs/>
          <w:i/>
          <w:iCs/>
        </w:rPr>
        <w:t>.)</w:t>
      </w:r>
    </w:p>
    <w:p w14:paraId="79BA2961" w14:textId="77777777" w:rsidR="00E3444B" w:rsidRDefault="00E3444B" w:rsidP="00E3444B">
      <w:pPr>
        <w:rPr>
          <w:rFonts w:eastAsiaTheme="minorHAnsi"/>
          <w:lang w:eastAsia="en-US"/>
        </w:rPr>
      </w:pPr>
    </w:p>
    <w:sectPr w:rsidR="00E3444B" w:rsidSect="002D54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A1820" w14:textId="77777777" w:rsidR="00734D83" w:rsidRPr="002D5425" w:rsidRDefault="00734D83">
      <w:r w:rsidRPr="002D5425">
        <w:separator/>
      </w:r>
    </w:p>
  </w:endnote>
  <w:endnote w:type="continuationSeparator" w:id="0">
    <w:p w14:paraId="3C222D77" w14:textId="77777777" w:rsidR="00734D83" w:rsidRPr="002D5425" w:rsidRDefault="00734D83">
      <w:r w:rsidRPr="002D54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85DF8" w14:textId="77777777" w:rsidR="00B20BED" w:rsidRPr="002D5425" w:rsidRDefault="00B20BED" w:rsidP="006736EC">
    <w:pPr>
      <w:pStyle w:val="EPFooter"/>
    </w:pPr>
    <w:r w:rsidRPr="002D5425">
      <w:t>PE</w:t>
    </w:r>
    <w:r w:rsidRPr="002D5425">
      <w:rPr>
        <w:rStyle w:val="HideTWBExt"/>
      </w:rPr>
      <w:t>&lt;NoPE&gt;</w:t>
    </w:r>
    <w:r w:rsidRPr="002D5425">
      <w:t>774.309</w:t>
    </w:r>
    <w:r w:rsidRPr="002D5425">
      <w:rPr>
        <w:rStyle w:val="HideTWBExt"/>
      </w:rPr>
      <w:t>&lt;/NoPE&gt;&lt;Version&gt;</w:t>
    </w:r>
    <w:r w:rsidRPr="002D5425">
      <w:t>v02-00</w:t>
    </w:r>
    <w:r w:rsidRPr="002D5425">
      <w:rPr>
        <w:rStyle w:val="HideTWBExt"/>
      </w:rPr>
      <w:t>&lt;/Version&gt;</w:t>
    </w:r>
    <w:r w:rsidRPr="002D5425">
      <w:tab/>
    </w:r>
    <w:r w:rsidRPr="002D5425">
      <w:fldChar w:fldCharType="begin"/>
    </w:r>
    <w:r w:rsidRPr="002D5425">
      <w:instrText xml:space="preserve"> PAGE  \* MERGEFORMAT </w:instrText>
    </w:r>
    <w:r w:rsidRPr="002D5425">
      <w:fldChar w:fldCharType="separate"/>
    </w:r>
    <w:r w:rsidRPr="002D5425">
      <w:rPr>
        <w:noProof/>
      </w:rPr>
      <w:t>2</w:t>
    </w:r>
    <w:r w:rsidRPr="002D5425">
      <w:fldChar w:fldCharType="end"/>
    </w:r>
    <w:r w:rsidRPr="002D5425">
      <w:t>/</w:t>
    </w:r>
    <w:fldSimple w:instr=" NUMPAGES  \* MERGEFORMAT ">
      <w:r w:rsidRPr="002D5425">
        <w:rPr>
          <w:noProof/>
        </w:rPr>
        <w:t>12</w:t>
      </w:r>
    </w:fldSimple>
    <w:r w:rsidRPr="002D5425">
      <w:tab/>
    </w:r>
    <w:r w:rsidRPr="002D5425">
      <w:rPr>
        <w:rStyle w:val="HideTWBExt"/>
      </w:rPr>
      <w:t>&lt;PathFdR&gt;</w:t>
    </w:r>
    <w:r w:rsidRPr="002D5425">
      <w:t>RR\1323805SK.docx</w:t>
    </w:r>
    <w:r w:rsidRPr="002D5425">
      <w:rPr>
        <w:rStyle w:val="HideTWBExt"/>
      </w:rPr>
      <w:t>&lt;/PathFdR&gt;</w:t>
    </w:r>
  </w:p>
  <w:p w14:paraId="6649B2EE" w14:textId="77777777" w:rsidR="00B20BED" w:rsidRPr="002D5425" w:rsidRDefault="00B20BED" w:rsidP="006736EC">
    <w:pPr>
      <w:pStyle w:val="EPFooter2"/>
    </w:pPr>
    <w:r w:rsidRPr="002D5425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C59B3" w14:textId="77777777" w:rsidR="00B20BED" w:rsidRPr="002D5425" w:rsidRDefault="00B20BED" w:rsidP="006736EC">
    <w:pPr>
      <w:pStyle w:val="EPFooter"/>
    </w:pPr>
    <w:r w:rsidRPr="002D5425">
      <w:rPr>
        <w:rStyle w:val="HideTWBExt"/>
      </w:rPr>
      <w:t>&lt;PathFdR&gt;</w:t>
    </w:r>
    <w:r w:rsidRPr="002D5425">
      <w:t>RR\1323805SK.docx</w:t>
    </w:r>
    <w:r w:rsidRPr="002D5425">
      <w:rPr>
        <w:rStyle w:val="HideTWBExt"/>
      </w:rPr>
      <w:t>&lt;/PathFdR&gt;</w:t>
    </w:r>
    <w:r w:rsidRPr="002D5425">
      <w:tab/>
    </w:r>
    <w:r w:rsidRPr="002D5425">
      <w:tab/>
      <w:t>PE</w:t>
    </w:r>
    <w:r w:rsidRPr="002D5425">
      <w:rPr>
        <w:rStyle w:val="HideTWBExt"/>
      </w:rPr>
      <w:t>&lt;NoPE&gt;</w:t>
    </w:r>
    <w:r w:rsidRPr="002D5425">
      <w:t>774.309</w:t>
    </w:r>
    <w:r w:rsidRPr="002D5425">
      <w:rPr>
        <w:rStyle w:val="HideTWBExt"/>
      </w:rPr>
      <w:t>&lt;/NoPE&gt;&lt;Version&gt;</w:t>
    </w:r>
    <w:r w:rsidRPr="002D5425">
      <w:t>v02-00</w:t>
    </w:r>
    <w:r w:rsidRPr="002D5425">
      <w:rPr>
        <w:rStyle w:val="HideTWBExt"/>
      </w:rPr>
      <w:t>&lt;/Version&gt;</w:t>
    </w:r>
  </w:p>
  <w:p w14:paraId="3189D2E3" w14:textId="77777777" w:rsidR="00B20BED" w:rsidRPr="002D5425" w:rsidRDefault="00B20BED" w:rsidP="006736EC">
    <w:pPr>
      <w:pStyle w:val="EPFooter2"/>
    </w:pPr>
    <w:r w:rsidRPr="002D5425">
      <w:t>SK</w:t>
    </w:r>
    <w:r w:rsidRPr="002D5425">
      <w:tab/>
    </w:r>
    <w:r w:rsidRPr="002D5425">
      <w:rPr>
        <w:b w:val="0"/>
        <w:i/>
        <w:color w:val="C0C0C0"/>
        <w:sz w:val="22"/>
      </w:rPr>
      <w:t>Zjednotení v rozmanitosti</w:t>
    </w:r>
    <w:r w:rsidRPr="002D5425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837CF" w14:textId="77777777" w:rsidR="00064002" w:rsidRPr="002D542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1EB9" w14:textId="77777777" w:rsidR="00064002" w:rsidRPr="002D542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76081" w14:textId="77777777" w:rsidR="00064002" w:rsidRPr="002D54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D29D2" w14:textId="77777777" w:rsidR="00734D83" w:rsidRPr="002D5425" w:rsidRDefault="00734D83">
      <w:r w:rsidRPr="002D5425">
        <w:separator/>
      </w:r>
    </w:p>
  </w:footnote>
  <w:footnote w:type="continuationSeparator" w:id="0">
    <w:p w14:paraId="05296FFF" w14:textId="77777777" w:rsidR="00734D83" w:rsidRPr="002D5425" w:rsidRDefault="00734D83">
      <w:r w:rsidRPr="002D5425">
        <w:continuationSeparator/>
      </w:r>
    </w:p>
  </w:footnote>
  <w:footnote w:id="1">
    <w:p w14:paraId="73F77F99" w14:textId="59EA72A5" w:rsidR="00B20BED" w:rsidRPr="002D5425" w:rsidRDefault="00B20BED" w:rsidP="002D5425">
      <w:pPr>
        <w:pStyle w:val="FootnoteText"/>
        <w:ind w:left="567" w:hanging="567"/>
        <w:rPr>
          <w:sz w:val="24"/>
          <w:lang w:val="sk-SK"/>
        </w:rPr>
      </w:pPr>
      <w:r w:rsidRPr="002D5425">
        <w:rPr>
          <w:rStyle w:val="FootnoteReference"/>
          <w:sz w:val="24"/>
          <w:lang w:val="sk-SK"/>
        </w:rPr>
        <w:footnoteRef/>
      </w:r>
      <w:r w:rsidR="002D5425" w:rsidRPr="002D5425">
        <w:rPr>
          <w:sz w:val="24"/>
          <w:lang w:val="sk-SK"/>
        </w:rPr>
        <w:t xml:space="preserve"> </w:t>
      </w:r>
      <w:r w:rsidR="002D5425" w:rsidRPr="002D5425">
        <w:rPr>
          <w:sz w:val="24"/>
          <w:lang w:val="sk-SK"/>
        </w:rPr>
        <w:tab/>
      </w:r>
      <w:r w:rsidRPr="002D5425">
        <w:rPr>
          <w:sz w:val="24"/>
          <w:lang w:val="sk-SK"/>
        </w:rPr>
        <w:t xml:space="preserve">Ú. v. EÚ L 153, 3.5.2021, s. 48, ELI: </w:t>
      </w:r>
      <w:hyperlink r:id="rId1" w:history="1">
        <w:r w:rsidRPr="002D5425">
          <w:rPr>
            <w:rStyle w:val="Hyperlink"/>
            <w:sz w:val="24"/>
            <w:lang w:val="sk-SK"/>
          </w:rPr>
          <w:t>http://data.europa.eu/eli/reg/2021/691/oj</w:t>
        </w:r>
      </w:hyperlink>
      <w:r w:rsidRPr="002D5425">
        <w:rPr>
          <w:sz w:val="24"/>
          <w:lang w:val="sk-SK"/>
        </w:rPr>
        <w:t>.</w:t>
      </w:r>
    </w:p>
  </w:footnote>
  <w:footnote w:id="2">
    <w:p w14:paraId="78E70F22" w14:textId="50A0ABCC" w:rsidR="00B20BED" w:rsidRPr="002D5425" w:rsidRDefault="00B20BED" w:rsidP="002D5425">
      <w:pPr>
        <w:ind w:left="567" w:hanging="567"/>
      </w:pPr>
      <w:r w:rsidRPr="002D5425">
        <w:rPr>
          <w:rStyle w:val="FootnoteReference"/>
        </w:rPr>
        <w:footnoteRef/>
      </w:r>
      <w:r w:rsidR="002D5425" w:rsidRPr="002D5425">
        <w:t xml:space="preserve"> </w:t>
      </w:r>
      <w:r w:rsidR="002D5425" w:rsidRPr="002D5425">
        <w:tab/>
      </w:r>
      <w:r w:rsidRPr="002D5425">
        <w:t xml:space="preserve">Ú. v. EÚ L 433 I, 22.12.2020, s. 11, ELI: </w:t>
      </w:r>
      <w:hyperlink r:id="rId2" w:history="1">
        <w:r w:rsidRPr="002D5425">
          <w:rPr>
            <w:rStyle w:val="Hyperlink"/>
          </w:rPr>
          <w:t>http://data.europa.eu/eli/reg/2020/2093/oj.</w:t>
        </w:r>
      </w:hyperlink>
    </w:p>
  </w:footnote>
  <w:footnote w:id="3">
    <w:p w14:paraId="533C839C" w14:textId="7FE8D283" w:rsidR="00B20BED" w:rsidRPr="002D5425" w:rsidRDefault="00B20BED" w:rsidP="002D5425">
      <w:pPr>
        <w:ind w:left="567" w:hanging="567"/>
      </w:pPr>
      <w:r w:rsidRPr="002D5425">
        <w:rPr>
          <w:rStyle w:val="FootnoteReference"/>
        </w:rPr>
        <w:footnoteRef/>
      </w:r>
      <w:r w:rsidR="002D5425" w:rsidRPr="002D5425">
        <w:t xml:space="preserve"> </w:t>
      </w:r>
      <w:r w:rsidR="002D5425" w:rsidRPr="002D5425">
        <w:tab/>
      </w:r>
      <w:r w:rsidRPr="002D5425">
        <w:t xml:space="preserve">Ú. v. EÚ L, 2024/765, 29.2.2024, ELI: </w:t>
      </w:r>
      <w:hyperlink r:id="rId3" w:history="1">
        <w:r w:rsidRPr="002D5425">
          <w:rPr>
            <w:rStyle w:val="Hyperlink"/>
          </w:rPr>
          <w:t>https://eur-lex.europa.eu/eli/reg/2024/765/oj</w:t>
        </w:r>
      </w:hyperlink>
      <w:r w:rsidRPr="002D5425">
        <w:t>.</w:t>
      </w:r>
    </w:p>
  </w:footnote>
  <w:footnote w:id="4">
    <w:p w14:paraId="5391E60A" w14:textId="0C2ED367" w:rsidR="00B20BED" w:rsidRPr="002D5425" w:rsidRDefault="00B20BED" w:rsidP="002D5425">
      <w:pPr>
        <w:pStyle w:val="FootnoteText"/>
        <w:ind w:left="567" w:hanging="567"/>
        <w:rPr>
          <w:sz w:val="24"/>
          <w:lang w:val="sk-SK"/>
        </w:rPr>
      </w:pPr>
      <w:r w:rsidRPr="002D5425">
        <w:rPr>
          <w:rStyle w:val="FootnoteReference"/>
          <w:sz w:val="24"/>
          <w:lang w:val="sk-SK"/>
        </w:rPr>
        <w:footnoteRef/>
      </w:r>
      <w:r w:rsidR="002D5425" w:rsidRPr="002D5425">
        <w:rPr>
          <w:sz w:val="24"/>
          <w:lang w:val="sk-SK"/>
        </w:rPr>
        <w:t xml:space="preserve"> </w:t>
      </w:r>
      <w:r w:rsidR="002D5425" w:rsidRPr="002D5425">
        <w:rPr>
          <w:sz w:val="24"/>
          <w:lang w:val="sk-SK"/>
        </w:rPr>
        <w:tab/>
      </w:r>
      <w:r w:rsidRPr="002D5425">
        <w:rPr>
          <w:sz w:val="24"/>
          <w:lang w:val="sk-SK"/>
        </w:rPr>
        <w:t xml:space="preserve">Ú. v. EÚ L 433 I, 22.12.2020, s. </w:t>
      </w:r>
      <w:r w:rsidRPr="002D5425">
        <w:rPr>
          <w:sz w:val="24"/>
          <w:lang w:val="sk-SK"/>
        </w:rPr>
        <w:t xml:space="preserve">28, ELI: </w:t>
      </w:r>
      <w:hyperlink r:id="rId4" w:history="1">
        <w:r w:rsidRPr="002D5425">
          <w:rPr>
            <w:rStyle w:val="Hyperlink"/>
            <w:sz w:val="24"/>
            <w:lang w:val="sk-SK"/>
          </w:rPr>
          <w:t>http://data.europa.eu/eli/agree_interinstit/2020/1222/oj.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CD95" w14:textId="77777777" w:rsidR="00064002" w:rsidRPr="002D54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9FA4" w14:textId="77777777" w:rsidR="00064002" w:rsidRPr="002D54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A28D" w14:textId="77777777" w:rsidR="00064002" w:rsidRPr="002D54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0621781">
    <w:abstractNumId w:val="9"/>
  </w:num>
  <w:num w:numId="2" w16cid:durableId="76174577">
    <w:abstractNumId w:val="9"/>
  </w:num>
  <w:num w:numId="3" w16cid:durableId="1691757050">
    <w:abstractNumId w:val="7"/>
  </w:num>
  <w:num w:numId="4" w16cid:durableId="1572428510">
    <w:abstractNumId w:val="7"/>
  </w:num>
  <w:num w:numId="5" w16cid:durableId="1137409179">
    <w:abstractNumId w:val="6"/>
  </w:num>
  <w:num w:numId="6" w16cid:durableId="933323670">
    <w:abstractNumId w:val="6"/>
  </w:num>
  <w:num w:numId="7" w16cid:durableId="1814443646">
    <w:abstractNumId w:val="5"/>
  </w:num>
  <w:num w:numId="8" w16cid:durableId="489519885">
    <w:abstractNumId w:val="5"/>
  </w:num>
  <w:num w:numId="9" w16cid:durableId="1617979113">
    <w:abstractNumId w:val="4"/>
  </w:num>
  <w:num w:numId="10" w16cid:durableId="1006520370">
    <w:abstractNumId w:val="4"/>
  </w:num>
  <w:num w:numId="11" w16cid:durableId="1602952808">
    <w:abstractNumId w:val="8"/>
  </w:num>
  <w:num w:numId="12" w16cid:durableId="714544543">
    <w:abstractNumId w:val="8"/>
  </w:num>
  <w:num w:numId="13" w16cid:durableId="1412508136">
    <w:abstractNumId w:val="3"/>
  </w:num>
  <w:num w:numId="14" w16cid:durableId="745613921">
    <w:abstractNumId w:val="3"/>
  </w:num>
  <w:num w:numId="15" w16cid:durableId="45105346">
    <w:abstractNumId w:val="2"/>
  </w:num>
  <w:num w:numId="16" w16cid:durableId="1391538934">
    <w:abstractNumId w:val="2"/>
  </w:num>
  <w:num w:numId="17" w16cid:durableId="1476409874">
    <w:abstractNumId w:val="1"/>
  </w:num>
  <w:num w:numId="18" w16cid:durableId="1776903081">
    <w:abstractNumId w:val="1"/>
  </w:num>
  <w:num w:numId="19" w16cid:durableId="1662343370">
    <w:abstractNumId w:val="0"/>
  </w:num>
  <w:num w:numId="20" w16cid:durableId="937374489">
    <w:abstractNumId w:val="0"/>
  </w:num>
  <w:num w:numId="21" w16cid:durableId="1144663372">
    <w:abstractNumId w:val="9"/>
  </w:num>
  <w:num w:numId="22" w16cid:durableId="1739404017">
    <w:abstractNumId w:val="7"/>
  </w:num>
  <w:num w:numId="23" w16cid:durableId="1354185551">
    <w:abstractNumId w:val="6"/>
  </w:num>
  <w:num w:numId="24" w16cid:durableId="1769691438">
    <w:abstractNumId w:val="5"/>
  </w:num>
  <w:num w:numId="25" w16cid:durableId="700665791">
    <w:abstractNumId w:val="4"/>
  </w:num>
  <w:num w:numId="26" w16cid:durableId="1990207601">
    <w:abstractNumId w:val="8"/>
  </w:num>
  <w:num w:numId="27" w16cid:durableId="1593539951">
    <w:abstractNumId w:val="3"/>
  </w:num>
  <w:num w:numId="28" w16cid:durableId="808204296">
    <w:abstractNumId w:val="2"/>
  </w:num>
  <w:num w:numId="29" w16cid:durableId="170065997">
    <w:abstractNumId w:val="1"/>
  </w:num>
  <w:num w:numId="30" w16cid:durableId="191110637">
    <w:abstractNumId w:val="0"/>
  </w:num>
  <w:num w:numId="31" w16cid:durableId="405960964">
    <w:abstractNumId w:val="9"/>
  </w:num>
  <w:num w:numId="32" w16cid:durableId="807018648">
    <w:abstractNumId w:val="7"/>
  </w:num>
  <w:num w:numId="33" w16cid:durableId="1250385722">
    <w:abstractNumId w:val="6"/>
  </w:num>
  <w:num w:numId="34" w16cid:durableId="775562722">
    <w:abstractNumId w:val="5"/>
  </w:num>
  <w:num w:numId="35" w16cid:durableId="2003852970">
    <w:abstractNumId w:val="4"/>
  </w:num>
  <w:num w:numId="36" w16cid:durableId="932708758">
    <w:abstractNumId w:val="8"/>
  </w:num>
  <w:num w:numId="37" w16cid:durableId="1257591423">
    <w:abstractNumId w:val="3"/>
  </w:num>
  <w:num w:numId="38" w16cid:durableId="821039747">
    <w:abstractNumId w:val="2"/>
  </w:num>
  <w:num w:numId="39" w16cid:durableId="319231904">
    <w:abstractNumId w:val="1"/>
  </w:num>
  <w:num w:numId="40" w16cid:durableId="267274100">
    <w:abstractNumId w:val="0"/>
  </w:num>
  <w:num w:numId="41" w16cid:durableId="464659225">
    <w:abstractNumId w:val="10"/>
  </w:num>
  <w:num w:numId="42" w16cid:durableId="1776829709">
    <w:abstractNumId w:val="10"/>
  </w:num>
  <w:num w:numId="43" w16cid:durableId="951323963">
    <w:abstractNumId w:val="10"/>
  </w:num>
  <w:num w:numId="44" w16cid:durableId="1654333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SK"/>
    <w:docVar w:name="dvnumam" w:val="0"/>
    <w:docVar w:name="dvpe" w:val="774.309"/>
    <w:docVar w:name="dvrapporteur" w:val="Spravodajca: "/>
    <w:docVar w:name="dvtitre" w:val="Uznesenie Európskeho parlamentu z xx. júla 2025 o návrhu rozhodnutia Európskeho parlamentu a Rady o mobilizácii Európskeho fondu na prispôsobenie sa globalizácii na pomoc pracovníkom, ktorí prišli o zamestnanie (EGF/2025/000 TA 2025 – Technická pomoc na podnet Komisie)(COM(2025)0680 – C10-0103/2025 – 2025/0135(BUD))"/>
  </w:docVars>
  <w:rsids>
    <w:rsidRoot w:val="00734D83"/>
    <w:rsid w:val="00002272"/>
    <w:rsid w:val="0001486E"/>
    <w:rsid w:val="00054AD6"/>
    <w:rsid w:val="00064002"/>
    <w:rsid w:val="000677B9"/>
    <w:rsid w:val="000831BA"/>
    <w:rsid w:val="000A42CC"/>
    <w:rsid w:val="000D42E3"/>
    <w:rsid w:val="000D4984"/>
    <w:rsid w:val="000E7DD9"/>
    <w:rsid w:val="0010095E"/>
    <w:rsid w:val="00125B37"/>
    <w:rsid w:val="00187494"/>
    <w:rsid w:val="001F32AE"/>
    <w:rsid w:val="002767FF"/>
    <w:rsid w:val="002B18FE"/>
    <w:rsid w:val="002B5493"/>
    <w:rsid w:val="002D542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0B86"/>
    <w:rsid w:val="006F74FA"/>
    <w:rsid w:val="00731ADD"/>
    <w:rsid w:val="00734777"/>
    <w:rsid w:val="00734D83"/>
    <w:rsid w:val="00747932"/>
    <w:rsid w:val="00751A4A"/>
    <w:rsid w:val="00756632"/>
    <w:rsid w:val="00762C74"/>
    <w:rsid w:val="00786EC0"/>
    <w:rsid w:val="007962D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4AF"/>
    <w:rsid w:val="009035BD"/>
    <w:rsid w:val="00930C23"/>
    <w:rsid w:val="0093193B"/>
    <w:rsid w:val="00947BC6"/>
    <w:rsid w:val="009509D8"/>
    <w:rsid w:val="00950B64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BED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C64"/>
    <w:rsid w:val="00D56C11"/>
    <w:rsid w:val="00D834A0"/>
    <w:rsid w:val="00D872DF"/>
    <w:rsid w:val="00D91E21"/>
    <w:rsid w:val="00DA7FCD"/>
    <w:rsid w:val="00E21786"/>
    <w:rsid w:val="00E3444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49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42D19"/>
  <w15:chartTrackingRefBased/>
  <w15:docId w15:val="{92E9E5A0-DE0F-4B8E-9F14-7AB40139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20B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20B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B20BE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20B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0BED"/>
    <w:rPr>
      <w:sz w:val="24"/>
      <w:lang w:val="sk-SK"/>
    </w:rPr>
  </w:style>
  <w:style w:type="paragraph" w:customStyle="1" w:styleId="EPFooter">
    <w:name w:val="EPFooter"/>
    <w:basedOn w:val="Normal"/>
    <w:rsid w:val="00B20B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20BED"/>
    <w:pPr>
      <w:spacing w:before="480" w:after="240"/>
    </w:pPr>
  </w:style>
  <w:style w:type="character" w:styleId="Hyperlink">
    <w:name w:val="Hyperlink"/>
    <w:basedOn w:val="DefaultParagraphFont"/>
    <w:rsid w:val="00B20BED"/>
    <w:rPr>
      <w:color w:val="0563C1" w:themeColor="hyperlink"/>
      <w:u w:val="single"/>
    </w:rPr>
  </w:style>
  <w:style w:type="paragraph" w:customStyle="1" w:styleId="Visa">
    <w:name w:val="Visa"/>
    <w:basedOn w:val="Normal"/>
    <w:rsid w:val="00B20BED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Institutionquiagit">
    <w:name w:val="Institution qui agit"/>
    <w:basedOn w:val="Normal"/>
    <w:next w:val="Normal"/>
    <w:rsid w:val="00B20BED"/>
    <w:pPr>
      <w:keepNext/>
      <w:snapToGrid w:val="0"/>
      <w:spacing w:after="240"/>
    </w:pPr>
    <w:rPr>
      <w:i/>
      <w:lang w:eastAsia="en-US"/>
    </w:rPr>
  </w:style>
  <w:style w:type="paragraph" w:customStyle="1" w:styleId="Titreobjet">
    <w:name w:val="Titre objet"/>
    <w:basedOn w:val="Normal"/>
    <w:next w:val="Normal"/>
    <w:rsid w:val="00B20BED"/>
    <w:pPr>
      <w:snapToGrid w:val="0"/>
      <w:ind w:left="1418"/>
    </w:pPr>
    <w:rPr>
      <w:lang w:eastAsia="en-US"/>
    </w:rPr>
  </w:style>
  <w:style w:type="paragraph" w:customStyle="1" w:styleId="Fait">
    <w:name w:val="Fait à"/>
    <w:basedOn w:val="Normal"/>
    <w:next w:val="Normal"/>
    <w:rsid w:val="00B20BED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B20BED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B20BED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B20BED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B20BE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20BE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6A0B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A0B86"/>
    <w:rPr>
      <w:sz w:val="24"/>
      <w:lang w:val="sk-SK"/>
    </w:rPr>
  </w:style>
  <w:style w:type="paragraph" w:styleId="Revision">
    <w:name w:val="Revision"/>
    <w:hidden/>
    <w:uiPriority w:val="99"/>
    <w:semiHidden/>
    <w:rsid w:val="006A0B86"/>
    <w:rPr>
      <w:sz w:val="24"/>
      <w:lang w:val="sk-SK"/>
    </w:rPr>
  </w:style>
  <w:style w:type="character" w:styleId="CommentReference">
    <w:name w:val="annotation reference"/>
    <w:basedOn w:val="DefaultParagraphFont"/>
    <w:rsid w:val="000D49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498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4984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0D49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4984"/>
    <w:rPr>
      <w:b/>
      <w:bCs/>
      <w:lang w:val="sk-SK"/>
    </w:rPr>
  </w:style>
  <w:style w:type="paragraph" w:styleId="BalloonText">
    <w:name w:val="Balloon Text"/>
    <w:basedOn w:val="Normal"/>
    <w:link w:val="BalloonTextChar"/>
    <w:rsid w:val="00903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35BD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2AB0C-0586-4EC2-8E17-ABE7333D0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2025-10-21T14:14:00Z</dcterms:created>
  <dcterms:modified xsi:type="dcterms:W3CDTF">2025-10-21T14:14:00Z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P10_TA(2025)0153_</vt:lpwstr>
  </property>
  <property fmtid="{D5CDD505-2E9C-101B-9397-08002B2CF9AE}" pid="4" name="&lt;Type&gt;">
    <vt:lpwstr>RR</vt:lpwstr>
  </property>
</Properties>
</file>