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32E5" w14:paraId="6ED42F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0197CC" w14:textId="77777777" w:rsidR="00751A4A" w:rsidRPr="003732E5" w:rsidRDefault="009E307D" w:rsidP="0010095E">
            <w:pPr>
              <w:pStyle w:val="EPName"/>
            </w:pPr>
            <w:r w:rsidRPr="003732E5">
              <w:t>Evropski parlament</w:t>
            </w:r>
          </w:p>
          <w:p w14:paraId="2E2952A3" w14:textId="77777777" w:rsidR="00751A4A" w:rsidRPr="003732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32E5">
              <w:t>2024</w:t>
            </w:r>
            <w:r w:rsidR="00817416" w:rsidRPr="003732E5">
              <w:t>-202</w:t>
            </w:r>
            <w:r w:rsidRPr="003732E5">
              <w:t>9</w:t>
            </w:r>
          </w:p>
        </w:tc>
        <w:tc>
          <w:tcPr>
            <w:tcW w:w="2268" w:type="dxa"/>
            <w:shd w:val="clear" w:color="auto" w:fill="auto"/>
          </w:tcPr>
          <w:p w14:paraId="025415C7" w14:textId="77777777" w:rsidR="00751A4A" w:rsidRPr="003732E5" w:rsidRDefault="00187494" w:rsidP="0010095E">
            <w:pPr>
              <w:pStyle w:val="EPLogo"/>
            </w:pPr>
            <w:r w:rsidRPr="003732E5">
              <w:rPr>
                <w:noProof/>
                <w:lang w:val="en-GB"/>
              </w:rPr>
              <w:drawing>
                <wp:inline distT="0" distB="0" distL="0" distR="0" wp14:anchorId="6285914D" wp14:editId="39241F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355FB" w14:textId="77777777" w:rsidR="00D058B8" w:rsidRPr="003732E5" w:rsidRDefault="00D058B8" w:rsidP="004C5D52">
      <w:pPr>
        <w:pStyle w:val="LineTop"/>
      </w:pPr>
    </w:p>
    <w:p w14:paraId="157654BB" w14:textId="77777777" w:rsidR="00680577" w:rsidRPr="003732E5" w:rsidRDefault="009E307D" w:rsidP="00680577">
      <w:pPr>
        <w:pStyle w:val="EPBodyTA1"/>
      </w:pPr>
      <w:r w:rsidRPr="003732E5">
        <w:t>SPREJETA BESEDILA</w:t>
      </w:r>
    </w:p>
    <w:p w14:paraId="779D358A" w14:textId="77777777" w:rsidR="00D058B8" w:rsidRPr="003732E5" w:rsidRDefault="00D058B8" w:rsidP="00D058B8">
      <w:pPr>
        <w:pStyle w:val="LineBottom"/>
      </w:pPr>
    </w:p>
    <w:p w14:paraId="651BE465" w14:textId="4E1D8ABB" w:rsidR="009E307D" w:rsidRPr="003732E5" w:rsidRDefault="009E307D" w:rsidP="009E307D">
      <w:pPr>
        <w:pStyle w:val="ATHeading1"/>
      </w:pPr>
      <w:bookmarkStart w:id="0" w:name="TANumber"/>
      <w:r w:rsidRPr="003732E5">
        <w:t>P10_TA(2025)</w:t>
      </w:r>
      <w:bookmarkEnd w:id="0"/>
      <w:r w:rsidR="000524BC">
        <w:t>015</w:t>
      </w:r>
      <w:r w:rsidR="00F24ED9">
        <w:t>3</w:t>
      </w:r>
    </w:p>
    <w:p w14:paraId="7A15DADE" w14:textId="0CFF3CDB" w:rsidR="009E307D" w:rsidRPr="003732E5" w:rsidRDefault="000524BC" w:rsidP="000524BC">
      <w:pPr>
        <w:pStyle w:val="ATHeading2"/>
      </w:pPr>
      <w:r>
        <w:t>Uporaba Evropskega sklada za prilagoditev globalizaciji: vloga EGF/2025/000 TA 2025 – tehnična pomoč na pobudo Komisije</w:t>
      </w:r>
    </w:p>
    <w:p w14:paraId="337A713B" w14:textId="77777777" w:rsidR="009E307D" w:rsidRPr="003732E5" w:rsidRDefault="009E307D" w:rsidP="009E307D">
      <w:pPr>
        <w:rPr>
          <w:i/>
          <w:vanish/>
        </w:rPr>
      </w:pPr>
      <w:r w:rsidRPr="003732E5">
        <w:rPr>
          <w:i/>
        </w:rPr>
        <w:fldChar w:fldCharType="begin"/>
      </w:r>
      <w:r w:rsidRPr="003732E5">
        <w:rPr>
          <w:i/>
        </w:rPr>
        <w:instrText xml:space="preserve"> TC"(</w:instrText>
      </w:r>
      <w:bookmarkStart w:id="1" w:name="DocNumber"/>
      <w:r w:rsidRPr="003732E5">
        <w:rPr>
          <w:i/>
        </w:rPr>
        <w:instrText>A10-0115/2025</w:instrText>
      </w:r>
      <w:bookmarkEnd w:id="1"/>
      <w:r w:rsidRPr="003732E5">
        <w:rPr>
          <w:i/>
        </w:rPr>
        <w:instrText xml:space="preserve"> - Poročevalec: Jean-Marc Germain)"\l3 \n&gt; \* MERGEFORMAT </w:instrText>
      </w:r>
      <w:r w:rsidRPr="003732E5">
        <w:rPr>
          <w:i/>
        </w:rPr>
        <w:fldChar w:fldCharType="end"/>
      </w:r>
    </w:p>
    <w:p w14:paraId="7B56C490" w14:textId="77777777" w:rsidR="009E307D" w:rsidRPr="003732E5" w:rsidRDefault="009E307D" w:rsidP="009E307D">
      <w:pPr>
        <w:rPr>
          <w:vanish/>
        </w:rPr>
      </w:pPr>
      <w:bookmarkStart w:id="2" w:name="Commission"/>
      <w:r w:rsidRPr="003732E5">
        <w:rPr>
          <w:vanish/>
        </w:rPr>
        <w:t>Odbor za proračun</w:t>
      </w:r>
      <w:bookmarkEnd w:id="2"/>
    </w:p>
    <w:p w14:paraId="4ABFCA3D" w14:textId="77777777" w:rsidR="009E307D" w:rsidRPr="003732E5" w:rsidRDefault="009E307D" w:rsidP="009E307D">
      <w:pPr>
        <w:rPr>
          <w:vanish/>
        </w:rPr>
      </w:pPr>
      <w:bookmarkStart w:id="3" w:name="PE"/>
      <w:r w:rsidRPr="003732E5">
        <w:rPr>
          <w:vanish/>
        </w:rPr>
        <w:t>PE774.309</w:t>
      </w:r>
      <w:bookmarkEnd w:id="3"/>
    </w:p>
    <w:p w14:paraId="3ABE5ECD" w14:textId="77777777" w:rsidR="009E307D" w:rsidRPr="003732E5" w:rsidRDefault="00A27D2C" w:rsidP="009E307D">
      <w:pPr>
        <w:pStyle w:val="ATHeading3"/>
      </w:pPr>
      <w:bookmarkStart w:id="4" w:name="Sujet"/>
      <w:r>
        <w:t>R</w:t>
      </w:r>
      <w:r w:rsidR="009E307D" w:rsidRPr="003732E5">
        <w:t xml:space="preserve">esolucija Evropskega parlamenta z dne </w:t>
      </w:r>
      <w:r>
        <w:t>9. julija</w:t>
      </w:r>
      <w:r w:rsidR="009E307D" w:rsidRPr="003732E5">
        <w:t xml:space="preserve"> 2025 o predlogu sklepa Evropskega parlamenta in Sveta o uporabi Evropskega sklada za prilagoditev globalizaciji za presežne delavce (EGF/2025/000 TA 2025 – tehnična pomoč na pobudo Komisije)</w:t>
      </w:r>
      <w:bookmarkEnd w:id="4"/>
      <w:r w:rsidR="009E307D" w:rsidRPr="003732E5">
        <w:t xml:space="preserve"> </w:t>
      </w:r>
      <w:bookmarkStart w:id="5" w:name="References"/>
      <w:r w:rsidR="009E307D" w:rsidRPr="003732E5">
        <w:t>(COM(2025)0680 – C10-0103/2025 – 2025/0135(BUD))</w:t>
      </w:r>
      <w:bookmarkEnd w:id="5"/>
    </w:p>
    <w:p w14:paraId="3447B3BE" w14:textId="77777777" w:rsidR="002A6C00" w:rsidRPr="003732E5" w:rsidRDefault="002A6C00" w:rsidP="002A6C00">
      <w:pPr>
        <w:pStyle w:val="EPComma"/>
        <w:rPr>
          <w:noProof/>
        </w:rPr>
      </w:pPr>
      <w:r w:rsidRPr="003732E5">
        <w:rPr>
          <w:i/>
        </w:rPr>
        <w:t>Evropski parlament</w:t>
      </w:r>
      <w:r w:rsidRPr="003732E5">
        <w:t>,</w:t>
      </w:r>
    </w:p>
    <w:p w14:paraId="3DC74EA0" w14:textId="77777777" w:rsidR="002A6C00" w:rsidRPr="003732E5" w:rsidRDefault="002A6C00" w:rsidP="00A27D2C">
      <w:pPr>
        <w:pStyle w:val="NormalHanging12a"/>
        <w:rPr>
          <w:noProof/>
        </w:rPr>
      </w:pPr>
      <w:r w:rsidRPr="003732E5">
        <w:t>–</w:t>
      </w:r>
      <w:r w:rsidRPr="003732E5">
        <w:tab/>
        <w:t>ob upoštevanju predloga Komisije Evropskemu parlamentu in Svetu (COM(2025)0680 – C10</w:t>
      </w:r>
      <w:r w:rsidRPr="003732E5">
        <w:noBreakHyphen/>
        <w:t>0103/2025),</w:t>
      </w:r>
    </w:p>
    <w:p w14:paraId="2220185C" w14:textId="29C872E2" w:rsidR="002A6C00" w:rsidRPr="003732E5" w:rsidRDefault="002A6C00" w:rsidP="00A27D2C">
      <w:pPr>
        <w:pStyle w:val="NormalHanging12a"/>
        <w:rPr>
          <w:noProof/>
        </w:rPr>
      </w:pPr>
      <w:r w:rsidRPr="003732E5">
        <w:t>–</w:t>
      </w:r>
      <w:r w:rsidRPr="003732E5">
        <w:tab/>
        <w:t>ob upoštevanju Uredbe (EU) 2021/691 Evropskega parlamenta in Sveta z dne 28. aprila 2021 o Evropskem skladu za prilagoditev globalizaciji za presežne delavce (ESPG) in razveljavitvi Uredbe (EU) št. 1309/2013</w:t>
      </w:r>
      <w:r w:rsidRPr="003732E5">
        <w:rPr>
          <w:rStyle w:val="FootnoteReference"/>
        </w:rPr>
        <w:footnoteReference w:id="1"/>
      </w:r>
      <w:r w:rsidRPr="003732E5">
        <w:t xml:space="preserve"> (</w:t>
      </w:r>
      <w:r w:rsidR="00B3303D">
        <w:t xml:space="preserve">v nadaljnjem besedilu: </w:t>
      </w:r>
      <w:r w:rsidRPr="003732E5">
        <w:t>uredba o ESPG),</w:t>
      </w:r>
    </w:p>
    <w:p w14:paraId="445338CB" w14:textId="77777777" w:rsidR="002A6C00" w:rsidRPr="003732E5" w:rsidRDefault="002A6C00" w:rsidP="00A27D2C">
      <w:pPr>
        <w:widowControl/>
        <w:spacing w:after="240"/>
        <w:ind w:left="567" w:hanging="567"/>
        <w:rPr>
          <w:noProof/>
        </w:rPr>
      </w:pPr>
      <w:r w:rsidRPr="003732E5">
        <w:t>–</w:t>
      </w:r>
      <w:r w:rsidRPr="003732E5">
        <w:tab/>
      </w:r>
      <w:r w:rsidRPr="003732E5">
        <w:rPr>
          <w:snapToGrid w:val="0"/>
        </w:rPr>
        <w:t>ob upoštevanju Uredbe Sveta (EU, Euratom) 2020/2093 z dne 17. decembra 2020 o določitvi večletnega finančnega okvira za obdobje 2021–2027</w:t>
      </w:r>
      <w:r w:rsidRPr="003732E5">
        <w:rPr>
          <w:rStyle w:val="FootnoteReference"/>
          <w:snapToGrid w:val="0"/>
        </w:rPr>
        <w:footnoteReference w:id="2"/>
      </w:r>
      <w:r w:rsidRPr="003732E5">
        <w:rPr>
          <w:snapToGrid w:val="0"/>
        </w:rPr>
        <w:t>, kot je bila spremenjena z Uredbo (EU, Euratom) 2024/765</w:t>
      </w:r>
      <w:r w:rsidRPr="003732E5">
        <w:rPr>
          <w:rStyle w:val="FootnoteReference"/>
          <w:snapToGrid w:val="0"/>
          <w:bdr w:val="none" w:sz="0" w:space="0" w:color="auto" w:frame="1"/>
        </w:rPr>
        <w:footnoteReference w:id="3"/>
      </w:r>
      <w:r w:rsidRPr="003732E5">
        <w:rPr>
          <w:snapToGrid w:val="0"/>
        </w:rPr>
        <w:t>, in zlasti člena 8 Uredbe</w:t>
      </w:r>
      <w:r w:rsidRPr="003732E5">
        <w:t>,</w:t>
      </w:r>
    </w:p>
    <w:p w14:paraId="47B6A680" w14:textId="77777777" w:rsidR="002A6C00" w:rsidRPr="003732E5" w:rsidRDefault="002A6C00" w:rsidP="00A27D2C">
      <w:pPr>
        <w:tabs>
          <w:tab w:val="left" w:pos="567"/>
        </w:tabs>
        <w:spacing w:after="240"/>
        <w:ind w:left="567" w:hanging="567"/>
      </w:pPr>
      <w:r w:rsidRPr="003732E5">
        <w:t>–</w:t>
      </w:r>
      <w:r w:rsidRPr="003732E5">
        <w:tab/>
        <w:t xml:space="preserve">ob upoštevanju Medinstitucionalnega sporazuma z dne 16. decembra 2020 med Evropskim parlamentom, Svetom Evropske unije in Evropsko komisijo o proračunski disciplini, sodelovanju v proračunskih zadevah in dobrem finančnem </w:t>
      </w:r>
      <w:proofErr w:type="spellStart"/>
      <w:r w:rsidRPr="003732E5">
        <w:t>poslovodenju</w:t>
      </w:r>
      <w:proofErr w:type="spellEnd"/>
      <w:r w:rsidRPr="003732E5">
        <w:t xml:space="preserve"> ter novih virih lastnih sredstev, vključno s časovnim načrtom za uvedbo novih virov lastnih sredstev</w:t>
      </w:r>
      <w:r w:rsidRPr="003732E5">
        <w:rPr>
          <w:rStyle w:val="FootnoteReference"/>
        </w:rPr>
        <w:footnoteReference w:id="4"/>
      </w:r>
      <w:r w:rsidRPr="003732E5">
        <w:t>, ter zlasti točke 9 Sporazuma,</w:t>
      </w:r>
    </w:p>
    <w:p w14:paraId="451E65C6" w14:textId="77777777" w:rsidR="002A6C00" w:rsidRPr="003732E5" w:rsidRDefault="002A6C00" w:rsidP="000D7F9D">
      <w:pPr>
        <w:pStyle w:val="NormalHanging12a"/>
      </w:pPr>
      <w:r w:rsidRPr="003732E5">
        <w:t>–</w:t>
      </w:r>
      <w:r w:rsidRPr="003732E5">
        <w:tab/>
        <w:t>ob upoštevanju poročila Odbora za proračun (A10</w:t>
      </w:r>
      <w:r w:rsidRPr="003732E5">
        <w:noBreakHyphen/>
        <w:t>0115/2025),</w:t>
      </w:r>
    </w:p>
    <w:p w14:paraId="3A333EA3" w14:textId="3EBFE9DE" w:rsidR="002A6C00" w:rsidRPr="003732E5" w:rsidRDefault="002A6C00" w:rsidP="00A27D2C">
      <w:pPr>
        <w:tabs>
          <w:tab w:val="left" w:pos="567"/>
        </w:tabs>
        <w:spacing w:after="240"/>
        <w:ind w:left="567" w:hanging="567"/>
      </w:pPr>
      <w:r w:rsidRPr="003732E5">
        <w:t>A.</w:t>
      </w:r>
      <w:r w:rsidRPr="003732E5">
        <w:tab/>
        <w:t xml:space="preserve">ker je Unija vzpostavila zakonodajne in proračunske instrumente za dodatno podporo </w:t>
      </w:r>
      <w:r w:rsidRPr="003732E5">
        <w:lastRenderedPageBreak/>
        <w:t>delavcem, ki so jih prizadele posledice globalizacije ter tehnoloških in okoljskih sprememb, kot so spremembe v svetovnih trgovinskih tokovih, trgovinski spori, znatne spremembe v trgovinskih odnosih Unije ali sestavi notranjega trga ter finančna ali gospodarsk</w:t>
      </w:r>
      <w:r w:rsidR="003A1079">
        <w:t>e</w:t>
      </w:r>
      <w:r w:rsidRPr="003732E5">
        <w:t xml:space="preserve"> kriz</w:t>
      </w:r>
      <w:r w:rsidR="003A1079">
        <w:t>e</w:t>
      </w:r>
      <w:r w:rsidRPr="003732E5">
        <w:t xml:space="preserve">, pa tudi prehod na </w:t>
      </w:r>
      <w:proofErr w:type="spellStart"/>
      <w:r w:rsidRPr="003732E5">
        <w:t>nizkoogljično</w:t>
      </w:r>
      <w:proofErr w:type="spellEnd"/>
      <w:r w:rsidRPr="003732E5">
        <w:t xml:space="preserve"> gospodarstvo, oziroma posledice digitalizacije ali avtomatizacije;</w:t>
      </w:r>
    </w:p>
    <w:p w14:paraId="5AF6C7A8" w14:textId="1EED59BD" w:rsidR="002A6C00" w:rsidRPr="003732E5" w:rsidRDefault="002A6C00" w:rsidP="00A27D2C">
      <w:pPr>
        <w:tabs>
          <w:tab w:val="left" w:pos="567"/>
        </w:tabs>
        <w:spacing w:after="240"/>
        <w:ind w:left="567" w:hanging="567"/>
      </w:pPr>
      <w:r w:rsidRPr="003732E5">
        <w:t>B.</w:t>
      </w:r>
      <w:r w:rsidRPr="003732E5">
        <w:tab/>
        <w:t xml:space="preserve">ker bi morala biti pomoč Unije za presežne delavce usmerjena predvsem v aktivne ukrepe na trgu dela in prilagojene storitve, katerih cilj je hitra ponovna vključitev upravičencev v dostojno in trajnostno zaposlitev, </w:t>
      </w:r>
      <w:r w:rsidR="003A1079">
        <w:t>pri čemer se jih hkrati</w:t>
      </w:r>
      <w:r w:rsidRPr="003732E5">
        <w:t xml:space="preserve"> pripravi na bolj zeleno in bolj digitalno evropsko gospodarstvo, ob upoštevanju medinstitucionalnega sporazuma z dne 16. decembra 2020, kar zadeva sprejemanje sklepov o uporabi sredstev Evropskega sklada za prilagoditev globalizaciji za presežne delavce (ESPG);</w:t>
      </w:r>
    </w:p>
    <w:p w14:paraId="48566D12" w14:textId="77777777" w:rsidR="002A6C00" w:rsidRPr="003732E5" w:rsidRDefault="002A6C00" w:rsidP="008B464C">
      <w:pPr>
        <w:spacing w:after="240"/>
        <w:ind w:left="567" w:hanging="567"/>
      </w:pPr>
      <w:r w:rsidRPr="003732E5">
        <w:t>C.</w:t>
      </w:r>
      <w:r w:rsidRPr="003732E5">
        <w:tab/>
        <w:t>ker je Unija najprej razširila področje uporabe ESPG, da bi zagotovila finančno podporo v primeru večjih prestrukturiranj in tako zajela tudi gospodarske posledice krize zaradi covida-19;</w:t>
      </w:r>
    </w:p>
    <w:p w14:paraId="36A31ABD" w14:textId="77777777" w:rsidR="002A6C00" w:rsidRPr="003732E5" w:rsidRDefault="002A6C00" w:rsidP="00A27D2C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3732E5">
        <w:t>D.</w:t>
      </w:r>
      <w:r w:rsidRPr="003732E5">
        <w:tab/>
        <w:t xml:space="preserve">ker je bilo s sprejetjem nove uredbe o ESPG leta 2021 področje uporabe ESPG dodatno razširjeno na večja prestrukturiranja, ki so posledica prehoda na </w:t>
      </w:r>
      <w:proofErr w:type="spellStart"/>
      <w:r w:rsidRPr="003732E5">
        <w:t>nizkoogljično</w:t>
      </w:r>
      <w:proofErr w:type="spellEnd"/>
      <w:r w:rsidRPr="003732E5">
        <w:t xml:space="preserve"> gospodarstvo ali digitalizacije oziroma avtomatizacije, hkrati pa se je zahtevani prag za aktivacijo ESPG znižal s 500 na 200 odpuščenih delavcev;</w:t>
      </w:r>
    </w:p>
    <w:p w14:paraId="2A459E47" w14:textId="77777777" w:rsidR="002A6C00" w:rsidRPr="003732E5" w:rsidRDefault="002A6C00" w:rsidP="00A27D2C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3732E5">
        <w:rPr>
          <w:color w:val="000000"/>
          <w:bdr w:val="none" w:sz="0" w:space="0" w:color="auto" w:frame="1"/>
        </w:rPr>
        <w:t>E.</w:t>
      </w:r>
      <w:r w:rsidRPr="003732E5">
        <w:rPr>
          <w:color w:val="000000"/>
          <w:bdr w:val="none" w:sz="0" w:space="0" w:color="auto" w:frame="1"/>
        </w:rPr>
        <w:tab/>
      </w:r>
      <w:r w:rsidRPr="003732E5">
        <w:rPr>
          <w:bdr w:val="none" w:sz="0" w:space="0" w:color="auto" w:frame="1"/>
        </w:rPr>
        <w:t>ker je bil pri reviziji večletnega finančnega okvira najvišji letni znesek za ESPG zmanjšan s 186 milijonov EUR na 30 milijonov EUR (v cenah iz leta 2018), kot je določeno v členu 8 Uredbe Sveta (EU, Euratom) 2020/2093, kakor je bila spremenjena z Uredbo (EU, Euratom) 2024/765;</w:t>
      </w:r>
      <w:r w:rsidRPr="003732E5">
        <w:rPr>
          <w:color w:val="000000"/>
          <w:bdr w:val="none" w:sz="0" w:space="0" w:color="auto" w:frame="1"/>
        </w:rPr>
        <w:t xml:space="preserve"> ker morajo vse institucije zagotoviti, da bodo lahko delavci, ki so postali presežni, kljub temu zmanjšanju računali na solidarnost EU prek podpore iz ESPG;</w:t>
      </w:r>
    </w:p>
    <w:p w14:paraId="4BD5C68F" w14:textId="697B13CB" w:rsidR="002A6C00" w:rsidRPr="003732E5" w:rsidRDefault="002A6C00" w:rsidP="00A27D2C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3732E5">
        <w:rPr>
          <w:color w:val="000000"/>
          <w:bdr w:val="none" w:sz="0" w:space="0" w:color="auto" w:frame="1"/>
        </w:rPr>
        <w:t>F.</w:t>
      </w:r>
      <w:r w:rsidRPr="003732E5">
        <w:rPr>
          <w:color w:val="000000"/>
          <w:bdr w:val="none" w:sz="0" w:space="0" w:color="auto" w:frame="1"/>
        </w:rPr>
        <w:tab/>
      </w:r>
      <w:r w:rsidRPr="003732E5">
        <w:t>ker je v členu 11(1) uredbe o ESPG navedeno, da je lahko na pobudo Komisije 0,5 % tega najvišjega zneska na voljo za tehnično pomoč</w:t>
      </w:r>
      <w:r w:rsidR="00766871">
        <w:t>;</w:t>
      </w:r>
    </w:p>
    <w:p w14:paraId="632F41B3" w14:textId="77777777" w:rsidR="002A6C00" w:rsidRPr="003732E5" w:rsidRDefault="002A6C00" w:rsidP="00A27D2C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3732E5">
        <w:rPr>
          <w:color w:val="000000"/>
          <w:bdr w:val="none" w:sz="0" w:space="0" w:color="auto" w:frame="1"/>
        </w:rPr>
        <w:t>G.</w:t>
      </w:r>
      <w:r w:rsidRPr="003732E5">
        <w:rPr>
          <w:color w:val="000000"/>
          <w:bdr w:val="none" w:sz="0" w:space="0" w:color="auto" w:frame="1"/>
        </w:rPr>
        <w:tab/>
        <w:t>ker lahko tehnično pomoč sestavljajo tehnični in upravni odhodki za izvajanje ESPG, kot so dejavnosti priprave, spremljanja, nadzora, revizije in ocenjevanja ter zbiranje podatkov, tudi v zvezi s korporativnimi sistemi informacijske tehnologije, komunikacijskimi dejavnostmi in dejavnostmi za povečanje prepoznavnosti ESPG kot sklada ali v zvezi s posebnimi projekti in drugimi ukrepi tehnične pomoči;</w:t>
      </w:r>
    </w:p>
    <w:p w14:paraId="26F8637E" w14:textId="77777777" w:rsidR="002A6C00" w:rsidRPr="003732E5" w:rsidRDefault="002A6C00" w:rsidP="00A27D2C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3732E5">
        <w:rPr>
          <w:snapToGrid w:val="0"/>
          <w:color w:val="000000"/>
          <w:bdr w:val="none" w:sz="0" w:space="0" w:color="auto" w:frame="1"/>
        </w:rPr>
        <w:t>H.</w:t>
      </w:r>
      <w:r w:rsidRPr="003732E5">
        <w:rPr>
          <w:snapToGrid w:val="0"/>
          <w:color w:val="000000"/>
          <w:bdr w:val="none" w:sz="0" w:space="0" w:color="auto" w:frame="1"/>
        </w:rPr>
        <w:tab/>
      </w:r>
      <w:r w:rsidRPr="003732E5">
        <w:rPr>
          <w:snapToGrid w:val="0"/>
        </w:rPr>
        <w:t>ker predlagani znesek 170</w:t>
      </w:r>
      <w:r w:rsidR="00545E5A">
        <w:rPr>
          <w:snapToGrid w:val="0"/>
        </w:rPr>
        <w:t> </w:t>
      </w:r>
      <w:r w:rsidRPr="003732E5">
        <w:rPr>
          <w:snapToGrid w:val="0"/>
        </w:rPr>
        <w:t>000 EUR ustreza približno 0,49 % najvišjega letnega proračuna, ki je na voljo za ESPG v letu 2025;</w:t>
      </w:r>
    </w:p>
    <w:p w14:paraId="220DAF18" w14:textId="1C698045" w:rsidR="002A6C00" w:rsidRPr="003732E5" w:rsidRDefault="002A6C00" w:rsidP="00A27D2C">
      <w:pPr>
        <w:spacing w:after="240"/>
        <w:ind w:left="567" w:hanging="567"/>
        <w:rPr>
          <w:bdr w:val="none" w:sz="0" w:space="0" w:color="auto" w:frame="1"/>
        </w:rPr>
      </w:pPr>
      <w:r w:rsidRPr="003732E5">
        <w:rPr>
          <w:bdr w:val="none" w:sz="0" w:space="0" w:color="auto" w:frame="1"/>
        </w:rPr>
        <w:t>1.</w:t>
      </w:r>
      <w:r w:rsidRPr="003732E5">
        <w:rPr>
          <w:bdr w:val="none" w:sz="0" w:space="0" w:color="auto" w:frame="1"/>
        </w:rPr>
        <w:tab/>
        <w:t>soglaša, da se zagotovijo sredstva v višini 170</w:t>
      </w:r>
      <w:r w:rsidR="00545E5A">
        <w:rPr>
          <w:bdr w:val="none" w:sz="0" w:space="0" w:color="auto" w:frame="1"/>
        </w:rPr>
        <w:t> </w:t>
      </w:r>
      <w:r w:rsidRPr="003732E5">
        <w:rPr>
          <w:bdr w:val="none" w:sz="0" w:space="0" w:color="auto" w:frame="1"/>
        </w:rPr>
        <w:t>000 EUR in da se ukrepi, ki jih predlaga Komisija, financirajo kot tehnična pomoč v skladu s členom 11(1) in (4) ter členom 12(2), (3) in (4) uredbe o ESPG;</w:t>
      </w:r>
    </w:p>
    <w:p w14:paraId="0202E8CA" w14:textId="142E9BAF" w:rsidR="002A6C00" w:rsidRPr="003732E5" w:rsidRDefault="002A6C00" w:rsidP="00A27D2C">
      <w:pPr>
        <w:spacing w:after="240"/>
        <w:ind w:left="567" w:hanging="567"/>
      </w:pPr>
      <w:r w:rsidRPr="003732E5">
        <w:t>2.</w:t>
      </w:r>
      <w:r w:rsidRPr="003732E5">
        <w:tab/>
        <w:t>pozdravlja stalno delo v zvezi s standardiziranimi postopki za vloge in upravljanje ESPG z uporabo funkcij elektronskega sistema za izmenjavo podatkov (skupn</w:t>
      </w:r>
      <w:r w:rsidR="00364324">
        <w:t>i</w:t>
      </w:r>
      <w:r w:rsidRPr="003732E5">
        <w:t xml:space="preserve"> sistem za deljeno upravljanje skladov – SFC), ki omogoča poenostavitev in hitrejšo obdelavo vlog ter izboljšano poročanje;</w:t>
      </w:r>
    </w:p>
    <w:p w14:paraId="44A94248" w14:textId="5B173D66" w:rsidR="002A6C00" w:rsidRPr="003732E5" w:rsidRDefault="002A6C00" w:rsidP="00A27D2C">
      <w:pPr>
        <w:spacing w:after="240"/>
        <w:ind w:left="567" w:hanging="567"/>
      </w:pPr>
      <w:r w:rsidRPr="003732E5">
        <w:t>3.</w:t>
      </w:r>
      <w:r w:rsidRPr="003732E5">
        <w:tab/>
        <w:t xml:space="preserve">ugotavlja, da bo Komisija razpoložljiva proračunska sredstva v okviru upravne podpore uporabila za organizacijo srečanj strokovne skupine kontaktnih oseb za ESPG (dva člana iz vsake države članice) in za seminar, na katerem bodo sodelovali izvajalski </w:t>
      </w:r>
      <w:r w:rsidRPr="003732E5">
        <w:lastRenderedPageBreak/>
        <w:t xml:space="preserve">organi ESPG in socialni partnerji, da bi spodbudili </w:t>
      </w:r>
      <w:r w:rsidR="00364324">
        <w:t>mreženje</w:t>
      </w:r>
      <w:r w:rsidRPr="003732E5">
        <w:t xml:space="preserve"> med državami članicami; poziva Komisijo, naj Parlament še naprej sistematično vabi na ta srečanja in seminarje v skladu z ustreznimi določbami iz okvirnega sporazuma o odnosih med Parlamentom in Komisijo;</w:t>
      </w:r>
    </w:p>
    <w:p w14:paraId="2C60A724" w14:textId="76FECD5A" w:rsidR="002A6C00" w:rsidRPr="003732E5" w:rsidRDefault="002A6C00" w:rsidP="00A27D2C">
      <w:pPr>
        <w:spacing w:after="240"/>
        <w:ind w:left="567" w:hanging="567"/>
      </w:pPr>
      <w:r w:rsidRPr="003732E5">
        <w:t>4.</w:t>
      </w:r>
      <w:r w:rsidRPr="003732E5">
        <w:tab/>
        <w:t>poziva Komisijo, naj prilagodi dobr</w:t>
      </w:r>
      <w:r w:rsidR="00E16A9E">
        <w:t>e</w:t>
      </w:r>
      <w:r w:rsidRPr="003732E5">
        <w:t xml:space="preserve"> praks</w:t>
      </w:r>
      <w:r w:rsidR="00E16A9E">
        <w:t>e</w:t>
      </w:r>
      <w:r w:rsidRPr="003732E5">
        <w:t xml:space="preserve">, ki </w:t>
      </w:r>
      <w:r w:rsidR="00E16A9E">
        <w:t xml:space="preserve">so </w:t>
      </w:r>
      <w:r w:rsidRPr="003732E5">
        <w:t>bil</w:t>
      </w:r>
      <w:r w:rsidR="00E16A9E">
        <w:t>e</w:t>
      </w:r>
      <w:r w:rsidRPr="003732E5">
        <w:t xml:space="preserve"> uveden</w:t>
      </w:r>
      <w:r w:rsidR="00E16A9E">
        <w:t>e</w:t>
      </w:r>
      <w:r w:rsidRPr="003732E5">
        <w:t xml:space="preserve"> med pandemijo covida-19, zlasti ukrepe, ki lahko prispevajo k pospešitvi vključujočega zelenega in digitalnega prehoda ter podprejo ključne prednostne naloge Unije, kot je enakost spolov;</w:t>
      </w:r>
    </w:p>
    <w:p w14:paraId="12F8D889" w14:textId="2818F84C" w:rsidR="002A6C00" w:rsidRPr="003732E5" w:rsidRDefault="002A6C00" w:rsidP="00A27D2C">
      <w:pPr>
        <w:spacing w:after="240"/>
        <w:ind w:left="567" w:hanging="567"/>
      </w:pPr>
      <w:r w:rsidRPr="003732E5">
        <w:t>5.</w:t>
      </w:r>
      <w:r w:rsidRPr="003732E5">
        <w:tab/>
        <w:t xml:space="preserve">poudarja, da je treba še povečati splošno ozaveščenost o ESPG in njegovo prepoznavnost; poudarja, da je to mogoče doseči s predstavitvijo ESPG v različnih publikacijah in avdiovizualnem gradivu Komisije, kakor je določeno v členu 11(1) uredbe o ESPG; </w:t>
      </w:r>
      <w:r w:rsidRPr="003732E5">
        <w:rPr>
          <w:bdr w:val="none" w:sz="0" w:space="0" w:color="auto" w:frame="1"/>
        </w:rPr>
        <w:t>s tem v zvezi pozdravlja vzdrževanje namenskega spletnega mesta za ESPG in poziva Komisijo, naj ga redno posodablja in razširja, da bi v javnosti povečal</w:t>
      </w:r>
      <w:r w:rsidR="00E16A9E">
        <w:rPr>
          <w:bdr w:val="none" w:sz="0" w:space="0" w:color="auto" w:frame="1"/>
        </w:rPr>
        <w:t>i</w:t>
      </w:r>
      <w:r w:rsidRPr="003732E5">
        <w:rPr>
          <w:bdr w:val="none" w:sz="0" w:space="0" w:color="auto" w:frame="1"/>
        </w:rPr>
        <w:t xml:space="preserve"> prepoznavnost evropske solidarnosti, katere dokaz je ESPG, in preglednost delovanja Unije;</w:t>
      </w:r>
    </w:p>
    <w:p w14:paraId="6F97CC0B" w14:textId="6B282978" w:rsidR="002A6C00" w:rsidRPr="003732E5" w:rsidRDefault="002A6C00" w:rsidP="00A27D2C">
      <w:pPr>
        <w:spacing w:after="240"/>
        <w:ind w:left="567" w:hanging="567"/>
      </w:pPr>
      <w:r w:rsidRPr="003732E5">
        <w:t>6.</w:t>
      </w:r>
      <w:r w:rsidRPr="003732E5">
        <w:tab/>
        <w:t xml:space="preserve">opominja države članice, ki se prijavljajo za sredstva ESPG, da imajo v skladu s členom 12 uredbe o ESPG pomembno vlogo </w:t>
      </w:r>
      <w:r w:rsidR="00E16A9E">
        <w:t xml:space="preserve">pri tem, </w:t>
      </w:r>
      <w:r w:rsidRPr="003732E5">
        <w:t xml:space="preserve"> da z ukrepi, ki se financirajo iz ESPG, obširno seznan</w:t>
      </w:r>
      <w:r w:rsidR="00E16A9E">
        <w:t>jajo</w:t>
      </w:r>
      <w:r w:rsidRPr="003732E5">
        <w:t xml:space="preserve"> ciljne prejemnike, lokalne in regionalne organe, socialne partnerje, medije in splošno javnost; poziva Komisijo, naj sistematično preverja, ali države članice ravnajo skladno z uredbo o ESPG, zlasti s členom 12(1);</w:t>
      </w:r>
    </w:p>
    <w:p w14:paraId="2D7BBEC1" w14:textId="77777777" w:rsidR="002A6C00" w:rsidRPr="003732E5" w:rsidRDefault="002A6C00" w:rsidP="00A27D2C">
      <w:pPr>
        <w:pStyle w:val="NormalHanging12a"/>
        <w:rPr>
          <w:noProof/>
        </w:rPr>
      </w:pPr>
      <w:r w:rsidRPr="003732E5">
        <w:t>7.</w:t>
      </w:r>
      <w:r w:rsidRPr="003732E5">
        <w:tab/>
        <w:t>odobri sklep, priložen tej resoluciji;</w:t>
      </w:r>
    </w:p>
    <w:p w14:paraId="7F51B638" w14:textId="77777777" w:rsidR="002A6C00" w:rsidRPr="003732E5" w:rsidRDefault="002A6C00" w:rsidP="00A27D2C">
      <w:pPr>
        <w:pStyle w:val="NormalHanging12a"/>
        <w:rPr>
          <w:noProof/>
        </w:rPr>
      </w:pPr>
      <w:r w:rsidRPr="003732E5">
        <w:t>8.</w:t>
      </w:r>
      <w:r w:rsidRPr="003732E5">
        <w:tab/>
        <w:t xml:space="preserve">naroči svoji predsednici, naj podpiše ta sklep skupaj s predsedujočim Svetu ter poskrbi za njegovo objavo v </w:t>
      </w:r>
      <w:r w:rsidRPr="003732E5">
        <w:rPr>
          <w:i/>
        </w:rPr>
        <w:t>Uradnem listu Evropske unije</w:t>
      </w:r>
      <w:r w:rsidRPr="003732E5">
        <w:t>;</w:t>
      </w:r>
    </w:p>
    <w:p w14:paraId="7CC886D0" w14:textId="77777777" w:rsidR="002A6C00" w:rsidRPr="003732E5" w:rsidRDefault="002A6C00" w:rsidP="00A27D2C">
      <w:pPr>
        <w:pStyle w:val="NormalHanging12a"/>
        <w:rPr>
          <w:noProof/>
        </w:rPr>
      </w:pPr>
      <w:r w:rsidRPr="003732E5">
        <w:t>9.</w:t>
      </w:r>
      <w:r w:rsidRPr="003732E5">
        <w:tab/>
        <w:t>naroči svoji predsednici, naj resolucijo skupaj s prilogo posreduje Svetu in Komisiji.</w:t>
      </w:r>
    </w:p>
    <w:p w14:paraId="33E8DF29" w14:textId="77777777" w:rsidR="002A6C00" w:rsidRPr="003732E5" w:rsidRDefault="002A6C00" w:rsidP="002A6C00">
      <w:pPr>
        <w:rPr>
          <w:noProof/>
        </w:rPr>
      </w:pPr>
    </w:p>
    <w:p w14:paraId="07C5FCA4" w14:textId="77777777" w:rsidR="002A6C00" w:rsidRPr="003732E5" w:rsidRDefault="002A6C00" w:rsidP="002A6C00">
      <w:pPr>
        <w:pStyle w:val="PageHeading"/>
        <w:rPr>
          <w:noProof/>
        </w:rPr>
        <w:sectPr w:rsidR="002A6C00" w:rsidRPr="003732E5" w:rsidSect="003732E5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D021B29" w14:textId="77777777" w:rsidR="00374D9C" w:rsidRPr="00374D9C" w:rsidRDefault="002A6C00" w:rsidP="00766871">
      <w:pPr>
        <w:pStyle w:val="PageHeading"/>
        <w:spacing w:before="120" w:after="240"/>
        <w:rPr>
          <w:rFonts w:ascii="Times New Roman" w:hAnsi="Times New Roman" w:cs="Times New Roman"/>
        </w:rPr>
      </w:pPr>
      <w:bookmarkStart w:id="6" w:name="_Toc202363979"/>
      <w:r w:rsidRPr="00374D9C">
        <w:rPr>
          <w:rFonts w:ascii="Times New Roman" w:hAnsi="Times New Roman" w:cs="Times New Roman"/>
        </w:rPr>
        <w:lastRenderedPageBreak/>
        <w:t>PRILOGA</w:t>
      </w:r>
    </w:p>
    <w:p w14:paraId="5179E3C3" w14:textId="6D980B9B" w:rsidR="002A6C00" w:rsidRPr="00374D9C" w:rsidRDefault="002A6C00" w:rsidP="00766871">
      <w:pPr>
        <w:pStyle w:val="PageHeading"/>
        <w:spacing w:before="120" w:after="240"/>
        <w:rPr>
          <w:rFonts w:ascii="Times New Roman" w:hAnsi="Times New Roman" w:cs="Times New Roman"/>
          <w:noProof/>
        </w:rPr>
      </w:pPr>
      <w:r w:rsidRPr="00374D9C">
        <w:rPr>
          <w:rFonts w:ascii="Times New Roman" w:hAnsi="Times New Roman" w:cs="Times New Roman"/>
        </w:rPr>
        <w:t>SKLEP EVROPSKEGA PARLAMENTA IN SVETA</w:t>
      </w:r>
      <w:bookmarkEnd w:id="6"/>
    </w:p>
    <w:p w14:paraId="4C2394EB" w14:textId="77777777" w:rsidR="002A6C00" w:rsidRDefault="002A6C00" w:rsidP="00766871">
      <w:pPr>
        <w:pStyle w:val="Titreobjet"/>
        <w:widowControl/>
        <w:spacing w:before="120" w:after="240"/>
        <w:ind w:left="0"/>
        <w:jc w:val="center"/>
        <w:rPr>
          <w:b/>
        </w:rPr>
      </w:pPr>
      <w:r w:rsidRPr="003732E5">
        <w:rPr>
          <w:b/>
        </w:rPr>
        <w:t>o uporabi Evropskega sklada za prilagoditev globalizaciji za presežne delavce (EGF/2025/000 TA 2025 – tehnična pomoč na pobudo Komisije)</w:t>
      </w:r>
    </w:p>
    <w:p w14:paraId="14B5E249" w14:textId="52B9D95B" w:rsidR="00374D9C" w:rsidRPr="00374D9C" w:rsidRDefault="00374D9C" w:rsidP="00374D9C">
      <w:pPr>
        <w:pStyle w:val="NormalBold24a"/>
        <w:rPr>
          <w:rFonts w:eastAsiaTheme="minorHAnsi"/>
          <w:lang w:eastAsia="en-US"/>
        </w:rPr>
      </w:pPr>
      <w:r w:rsidRPr="00F253D4">
        <w:rPr>
          <w:b w:val="0"/>
          <w:bCs w:val="0"/>
          <w:i/>
        </w:rPr>
        <w:t xml:space="preserve">(Besedilo te priloge tukaj ni navedeno, saj je enako končnemu aktu, Sklepu (EU) </w:t>
      </w:r>
      <w:r w:rsidRPr="00F253D4">
        <w:rPr>
          <w:rFonts w:eastAsia="Calibri"/>
          <w:b w:val="0"/>
          <w:bCs w:val="0"/>
          <w:i/>
          <w:szCs w:val="24"/>
          <w:lang w:eastAsia="en-US"/>
        </w:rPr>
        <w:t>2025/152</w:t>
      </w:r>
      <w:r>
        <w:rPr>
          <w:rFonts w:eastAsia="Calibri"/>
          <w:b w:val="0"/>
          <w:bCs w:val="0"/>
          <w:i/>
          <w:szCs w:val="24"/>
          <w:lang w:eastAsia="en-US"/>
        </w:rPr>
        <w:t>4</w:t>
      </w:r>
      <w:r w:rsidRPr="00F253D4">
        <w:rPr>
          <w:b w:val="0"/>
          <w:bCs w:val="0"/>
          <w:i/>
        </w:rPr>
        <w:t>.)</w:t>
      </w:r>
    </w:p>
    <w:sectPr w:rsidR="00374D9C" w:rsidRPr="00374D9C" w:rsidSect="003732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90F34" w14:textId="77777777" w:rsidR="009E307D" w:rsidRPr="003732E5" w:rsidRDefault="009E307D">
      <w:r w:rsidRPr="003732E5">
        <w:separator/>
      </w:r>
    </w:p>
  </w:endnote>
  <w:endnote w:type="continuationSeparator" w:id="0">
    <w:p w14:paraId="2FB82A54" w14:textId="77777777" w:rsidR="009E307D" w:rsidRPr="003732E5" w:rsidRDefault="009E307D">
      <w:r w:rsidRPr="003732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379B8" w14:textId="77777777" w:rsidR="002A6C00" w:rsidRPr="003732E5" w:rsidRDefault="002A6C00" w:rsidP="003301F1">
    <w:pPr>
      <w:pStyle w:val="EPFooter"/>
    </w:pPr>
    <w:r w:rsidRPr="003732E5">
      <w:t>PE</w:t>
    </w:r>
    <w:r w:rsidRPr="003732E5">
      <w:rPr>
        <w:rStyle w:val="HideTWBExt"/>
      </w:rPr>
      <w:t>&lt;NoPE&gt;</w:t>
    </w:r>
    <w:r w:rsidRPr="003732E5">
      <w:t>774.309</w:t>
    </w:r>
    <w:r w:rsidRPr="003732E5">
      <w:rPr>
        <w:rStyle w:val="HideTWBExt"/>
      </w:rPr>
      <w:t>&lt;/NoPE&gt;&lt;Version&gt;</w:t>
    </w:r>
    <w:r w:rsidRPr="003732E5">
      <w:t>v02-00</w:t>
    </w:r>
    <w:r w:rsidRPr="003732E5">
      <w:rPr>
        <w:rStyle w:val="HideTWBExt"/>
      </w:rPr>
      <w:t>&lt;/Version&gt;</w:t>
    </w:r>
    <w:r w:rsidRPr="003732E5">
      <w:tab/>
    </w:r>
    <w:r w:rsidRPr="003732E5">
      <w:fldChar w:fldCharType="begin"/>
    </w:r>
    <w:r w:rsidRPr="003732E5">
      <w:instrText xml:space="preserve"> PAGE  \* MERGEFORMAT </w:instrText>
    </w:r>
    <w:r w:rsidRPr="003732E5">
      <w:fldChar w:fldCharType="separate"/>
    </w:r>
    <w:r w:rsidR="003732E5" w:rsidRPr="003732E5">
      <w:rPr>
        <w:noProof/>
      </w:rPr>
      <w:t>2</w:t>
    </w:r>
    <w:r w:rsidRPr="003732E5">
      <w:fldChar w:fldCharType="end"/>
    </w:r>
    <w:r w:rsidRPr="003732E5">
      <w:t>/</w:t>
    </w:r>
    <w:fldSimple w:instr=" NUMPAGES  \* MERGEFORMAT ">
      <w:r w:rsidR="003732E5" w:rsidRPr="003732E5">
        <w:rPr>
          <w:noProof/>
        </w:rPr>
        <w:t>6</w:t>
      </w:r>
    </w:fldSimple>
    <w:r w:rsidRPr="003732E5">
      <w:tab/>
    </w:r>
    <w:r w:rsidRPr="003732E5">
      <w:rPr>
        <w:rStyle w:val="HideTWBExt"/>
      </w:rPr>
      <w:t>&lt;PathFdR&gt;</w:t>
    </w:r>
    <w:r w:rsidRPr="003732E5">
      <w:t>RR\1323805SL.docx</w:t>
    </w:r>
    <w:r w:rsidRPr="003732E5">
      <w:rPr>
        <w:rStyle w:val="HideTWBExt"/>
      </w:rPr>
      <w:t>&lt;/PathFdR&gt;</w:t>
    </w:r>
  </w:p>
  <w:p w14:paraId="04F13C4C" w14:textId="77777777" w:rsidR="002A6C00" w:rsidRPr="003732E5" w:rsidRDefault="002A6C00" w:rsidP="003301F1">
    <w:pPr>
      <w:pStyle w:val="EPFooter2"/>
    </w:pPr>
    <w:r w:rsidRPr="003732E5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C3544" w14:textId="77777777" w:rsidR="002A6C00" w:rsidRPr="003732E5" w:rsidRDefault="002A6C00" w:rsidP="003301F1">
    <w:pPr>
      <w:pStyle w:val="EPFooter"/>
    </w:pPr>
    <w:r w:rsidRPr="003732E5">
      <w:rPr>
        <w:rStyle w:val="HideTWBExt"/>
      </w:rPr>
      <w:t>&lt;PathFdR&gt;</w:t>
    </w:r>
    <w:r w:rsidRPr="003732E5">
      <w:t>RR\1323805SL.docx</w:t>
    </w:r>
    <w:r w:rsidRPr="003732E5">
      <w:rPr>
        <w:rStyle w:val="HideTWBExt"/>
      </w:rPr>
      <w:t>&lt;/PathFdR&gt;</w:t>
    </w:r>
    <w:r w:rsidRPr="003732E5">
      <w:tab/>
    </w:r>
    <w:r w:rsidRPr="003732E5">
      <w:tab/>
      <w:t>PE</w:t>
    </w:r>
    <w:r w:rsidRPr="003732E5">
      <w:rPr>
        <w:rStyle w:val="HideTWBExt"/>
      </w:rPr>
      <w:t>&lt;NoPE&gt;</w:t>
    </w:r>
    <w:r w:rsidRPr="003732E5">
      <w:t>774.309</w:t>
    </w:r>
    <w:r w:rsidRPr="003732E5">
      <w:rPr>
        <w:rStyle w:val="HideTWBExt"/>
      </w:rPr>
      <w:t>&lt;/NoPE&gt;&lt;Version&gt;</w:t>
    </w:r>
    <w:r w:rsidRPr="003732E5">
      <w:t>v02-00</w:t>
    </w:r>
    <w:r w:rsidRPr="003732E5">
      <w:rPr>
        <w:rStyle w:val="HideTWBExt"/>
      </w:rPr>
      <w:t>&lt;/Version&gt;</w:t>
    </w:r>
  </w:p>
  <w:p w14:paraId="4DD42122" w14:textId="77777777" w:rsidR="002A6C00" w:rsidRPr="003732E5" w:rsidRDefault="002A6C00" w:rsidP="003301F1">
    <w:pPr>
      <w:pStyle w:val="EPFooter2"/>
    </w:pPr>
    <w:r w:rsidRPr="003732E5">
      <w:t>SL</w:t>
    </w:r>
    <w:r w:rsidRPr="003732E5">
      <w:tab/>
    </w:r>
    <w:r w:rsidRPr="003732E5">
      <w:rPr>
        <w:b w:val="0"/>
        <w:i/>
        <w:color w:val="C0C0C0"/>
        <w:sz w:val="22"/>
      </w:rPr>
      <w:t>Združena v raznolikosti</w:t>
    </w:r>
    <w:r w:rsidRPr="003732E5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552F" w14:textId="77777777" w:rsidR="00064002" w:rsidRPr="003732E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2C03" w14:textId="77777777" w:rsidR="00064002" w:rsidRPr="003732E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B3CA" w14:textId="77777777" w:rsidR="00064002" w:rsidRPr="003732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2C6AE" w14:textId="77777777" w:rsidR="009E307D" w:rsidRPr="003732E5" w:rsidRDefault="009E307D">
      <w:r w:rsidRPr="003732E5">
        <w:separator/>
      </w:r>
    </w:p>
  </w:footnote>
  <w:footnote w:type="continuationSeparator" w:id="0">
    <w:p w14:paraId="3C790DDA" w14:textId="77777777" w:rsidR="009E307D" w:rsidRPr="003732E5" w:rsidRDefault="009E307D">
      <w:r w:rsidRPr="003732E5">
        <w:continuationSeparator/>
      </w:r>
    </w:p>
  </w:footnote>
  <w:footnote w:id="1">
    <w:p w14:paraId="6E420416" w14:textId="77777777" w:rsidR="002A6C00" w:rsidRPr="003732E5" w:rsidRDefault="002A6C00" w:rsidP="003732E5">
      <w:pPr>
        <w:pStyle w:val="FootnoteText"/>
        <w:ind w:left="567" w:hanging="567"/>
        <w:rPr>
          <w:sz w:val="24"/>
          <w:lang w:val="sl-SI"/>
        </w:rPr>
      </w:pPr>
      <w:r w:rsidRPr="003732E5">
        <w:rPr>
          <w:rStyle w:val="FootnoteReference"/>
          <w:sz w:val="24"/>
          <w:lang w:val="sl-SI"/>
        </w:rPr>
        <w:footnoteRef/>
      </w:r>
      <w:r w:rsidR="003732E5" w:rsidRPr="003732E5">
        <w:rPr>
          <w:sz w:val="24"/>
          <w:lang w:val="sl-SI"/>
        </w:rPr>
        <w:t xml:space="preserve"> </w:t>
      </w:r>
      <w:r w:rsidR="003732E5" w:rsidRPr="003732E5">
        <w:rPr>
          <w:sz w:val="24"/>
          <w:lang w:val="sl-SI"/>
        </w:rPr>
        <w:tab/>
      </w:r>
      <w:r w:rsidRPr="003732E5">
        <w:rPr>
          <w:sz w:val="24"/>
          <w:lang w:val="sl-SI"/>
        </w:rPr>
        <w:t xml:space="preserve">UL L 153, 3.5.2021, str. 48, ELI: </w:t>
      </w:r>
      <w:hyperlink r:id="rId1" w:history="1">
        <w:r w:rsidRPr="003732E5">
          <w:rPr>
            <w:rStyle w:val="Hyperlink"/>
            <w:sz w:val="24"/>
            <w:lang w:val="sl-SI"/>
          </w:rPr>
          <w:t>http://data.europa.eu/eli/reg/2021/691/oj</w:t>
        </w:r>
      </w:hyperlink>
      <w:r w:rsidRPr="003732E5">
        <w:rPr>
          <w:sz w:val="24"/>
          <w:lang w:val="sl-SI"/>
        </w:rPr>
        <w:t>.</w:t>
      </w:r>
    </w:p>
  </w:footnote>
  <w:footnote w:id="2">
    <w:p w14:paraId="75A3BE9F" w14:textId="77777777" w:rsidR="002A6C00" w:rsidRPr="003732E5" w:rsidRDefault="002A6C00" w:rsidP="003732E5">
      <w:pPr>
        <w:ind w:left="567" w:hanging="567"/>
      </w:pPr>
      <w:r w:rsidRPr="003732E5">
        <w:rPr>
          <w:rStyle w:val="FootnoteReference"/>
        </w:rPr>
        <w:footnoteRef/>
      </w:r>
      <w:r w:rsidR="003732E5" w:rsidRPr="003732E5">
        <w:t xml:space="preserve"> </w:t>
      </w:r>
      <w:r w:rsidR="003732E5" w:rsidRPr="003732E5">
        <w:tab/>
      </w:r>
      <w:r w:rsidRPr="003732E5">
        <w:t xml:space="preserve">UL L 433 I, 22.12.2020, str. 11, ELI: </w:t>
      </w:r>
      <w:hyperlink r:id="rId2" w:history="1">
        <w:r w:rsidRPr="003732E5">
          <w:rPr>
            <w:rStyle w:val="Hyperlink"/>
          </w:rPr>
          <w:t>http://data.europa.eu/eli/reg/2020/2093/oj</w:t>
        </w:r>
      </w:hyperlink>
      <w:r w:rsidRPr="003732E5">
        <w:t>.</w:t>
      </w:r>
    </w:p>
  </w:footnote>
  <w:footnote w:id="3">
    <w:p w14:paraId="25D4C07E" w14:textId="77777777" w:rsidR="002A6C00" w:rsidRPr="003732E5" w:rsidRDefault="002A6C00" w:rsidP="003732E5">
      <w:pPr>
        <w:ind w:left="567" w:hanging="567"/>
      </w:pPr>
      <w:r w:rsidRPr="003732E5">
        <w:rPr>
          <w:rStyle w:val="FootnoteReference"/>
        </w:rPr>
        <w:footnoteRef/>
      </w:r>
      <w:r w:rsidR="003732E5" w:rsidRPr="003732E5">
        <w:t xml:space="preserve"> </w:t>
      </w:r>
      <w:r w:rsidR="003732E5" w:rsidRPr="003732E5">
        <w:tab/>
      </w:r>
      <w:r w:rsidRPr="003732E5">
        <w:t xml:space="preserve">UL L, 2024/765, 29.2.2024, ELI: </w:t>
      </w:r>
      <w:hyperlink r:id="rId3" w:history="1">
        <w:r w:rsidRPr="003732E5">
          <w:rPr>
            <w:rStyle w:val="Hyperlink"/>
          </w:rPr>
          <w:t>https://eur-lex.europa.eu/eli/reg/2024/765/oj</w:t>
        </w:r>
      </w:hyperlink>
      <w:r w:rsidRPr="003732E5">
        <w:t>.</w:t>
      </w:r>
    </w:p>
  </w:footnote>
  <w:footnote w:id="4">
    <w:p w14:paraId="6DE95672" w14:textId="77777777" w:rsidR="002A6C00" w:rsidRPr="003732E5" w:rsidRDefault="002A6C00" w:rsidP="003732E5">
      <w:pPr>
        <w:pStyle w:val="FootnoteText"/>
        <w:ind w:left="567" w:hanging="567"/>
        <w:rPr>
          <w:sz w:val="24"/>
          <w:lang w:val="sl-SI"/>
        </w:rPr>
      </w:pPr>
      <w:r w:rsidRPr="003732E5">
        <w:rPr>
          <w:rStyle w:val="FootnoteReference"/>
          <w:sz w:val="24"/>
          <w:lang w:val="sl-SI"/>
        </w:rPr>
        <w:footnoteRef/>
      </w:r>
      <w:r w:rsidR="003732E5" w:rsidRPr="003732E5">
        <w:rPr>
          <w:sz w:val="24"/>
          <w:lang w:val="sl-SI"/>
        </w:rPr>
        <w:t xml:space="preserve"> </w:t>
      </w:r>
      <w:r w:rsidR="003732E5" w:rsidRPr="003732E5">
        <w:rPr>
          <w:sz w:val="24"/>
          <w:lang w:val="sl-SI"/>
        </w:rPr>
        <w:tab/>
      </w:r>
      <w:r w:rsidRPr="003732E5">
        <w:rPr>
          <w:sz w:val="24"/>
          <w:lang w:val="sl-SI"/>
        </w:rPr>
        <w:t>UL L 433 I, 22.12.2020, str. </w:t>
      </w:r>
      <w:r w:rsidRPr="003732E5">
        <w:rPr>
          <w:sz w:val="24"/>
          <w:lang w:val="sl-SI"/>
        </w:rPr>
        <w:t xml:space="preserve">28, ELI: </w:t>
      </w:r>
      <w:hyperlink r:id="rId4" w:history="1">
        <w:r w:rsidRPr="003732E5">
          <w:rPr>
            <w:rStyle w:val="Hyperlink"/>
            <w:sz w:val="24"/>
            <w:lang w:val="sl-SI"/>
          </w:rPr>
          <w:t>http://data.europa.eu/eli/agree_interinstit/2020/1222/oj</w:t>
        </w:r>
      </w:hyperlink>
      <w:r w:rsidRPr="003732E5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5DE4" w14:textId="77777777" w:rsidR="00064002" w:rsidRPr="003732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EBD7A" w14:textId="77777777" w:rsidR="00064002" w:rsidRPr="003732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866FA" w14:textId="77777777" w:rsidR="00064002" w:rsidRPr="003732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0088555">
    <w:abstractNumId w:val="9"/>
  </w:num>
  <w:num w:numId="2" w16cid:durableId="854729345">
    <w:abstractNumId w:val="9"/>
  </w:num>
  <w:num w:numId="3" w16cid:durableId="1654292104">
    <w:abstractNumId w:val="7"/>
  </w:num>
  <w:num w:numId="4" w16cid:durableId="611133544">
    <w:abstractNumId w:val="7"/>
  </w:num>
  <w:num w:numId="5" w16cid:durableId="10224446">
    <w:abstractNumId w:val="6"/>
  </w:num>
  <w:num w:numId="6" w16cid:durableId="1641570683">
    <w:abstractNumId w:val="6"/>
  </w:num>
  <w:num w:numId="7" w16cid:durableId="339359430">
    <w:abstractNumId w:val="5"/>
  </w:num>
  <w:num w:numId="8" w16cid:durableId="1734815728">
    <w:abstractNumId w:val="5"/>
  </w:num>
  <w:num w:numId="9" w16cid:durableId="812524210">
    <w:abstractNumId w:val="4"/>
  </w:num>
  <w:num w:numId="10" w16cid:durableId="1737707291">
    <w:abstractNumId w:val="4"/>
  </w:num>
  <w:num w:numId="11" w16cid:durableId="396172504">
    <w:abstractNumId w:val="8"/>
  </w:num>
  <w:num w:numId="12" w16cid:durableId="296959559">
    <w:abstractNumId w:val="8"/>
  </w:num>
  <w:num w:numId="13" w16cid:durableId="1400052410">
    <w:abstractNumId w:val="3"/>
  </w:num>
  <w:num w:numId="14" w16cid:durableId="364212684">
    <w:abstractNumId w:val="3"/>
  </w:num>
  <w:num w:numId="15" w16cid:durableId="1305348778">
    <w:abstractNumId w:val="2"/>
  </w:num>
  <w:num w:numId="16" w16cid:durableId="1641839282">
    <w:abstractNumId w:val="2"/>
  </w:num>
  <w:num w:numId="17" w16cid:durableId="1829710937">
    <w:abstractNumId w:val="1"/>
  </w:num>
  <w:num w:numId="18" w16cid:durableId="166528393">
    <w:abstractNumId w:val="1"/>
  </w:num>
  <w:num w:numId="19" w16cid:durableId="201600807">
    <w:abstractNumId w:val="0"/>
  </w:num>
  <w:num w:numId="20" w16cid:durableId="2132481036">
    <w:abstractNumId w:val="0"/>
  </w:num>
  <w:num w:numId="21" w16cid:durableId="74321633">
    <w:abstractNumId w:val="9"/>
  </w:num>
  <w:num w:numId="22" w16cid:durableId="377437752">
    <w:abstractNumId w:val="7"/>
  </w:num>
  <w:num w:numId="23" w16cid:durableId="1610894573">
    <w:abstractNumId w:val="6"/>
  </w:num>
  <w:num w:numId="24" w16cid:durableId="1830168286">
    <w:abstractNumId w:val="5"/>
  </w:num>
  <w:num w:numId="25" w16cid:durableId="1540122251">
    <w:abstractNumId w:val="4"/>
  </w:num>
  <w:num w:numId="26" w16cid:durableId="1592737644">
    <w:abstractNumId w:val="8"/>
  </w:num>
  <w:num w:numId="27" w16cid:durableId="1128356001">
    <w:abstractNumId w:val="3"/>
  </w:num>
  <w:num w:numId="28" w16cid:durableId="1201281874">
    <w:abstractNumId w:val="2"/>
  </w:num>
  <w:num w:numId="29" w16cid:durableId="1792816682">
    <w:abstractNumId w:val="1"/>
  </w:num>
  <w:num w:numId="30" w16cid:durableId="815149357">
    <w:abstractNumId w:val="0"/>
  </w:num>
  <w:num w:numId="31" w16cid:durableId="713313279">
    <w:abstractNumId w:val="9"/>
  </w:num>
  <w:num w:numId="32" w16cid:durableId="281884160">
    <w:abstractNumId w:val="7"/>
  </w:num>
  <w:num w:numId="33" w16cid:durableId="2044748211">
    <w:abstractNumId w:val="6"/>
  </w:num>
  <w:num w:numId="34" w16cid:durableId="280691073">
    <w:abstractNumId w:val="5"/>
  </w:num>
  <w:num w:numId="35" w16cid:durableId="1799835457">
    <w:abstractNumId w:val="4"/>
  </w:num>
  <w:num w:numId="36" w16cid:durableId="401954528">
    <w:abstractNumId w:val="8"/>
  </w:num>
  <w:num w:numId="37" w16cid:durableId="872693359">
    <w:abstractNumId w:val="3"/>
  </w:num>
  <w:num w:numId="38" w16cid:durableId="998850237">
    <w:abstractNumId w:val="2"/>
  </w:num>
  <w:num w:numId="39" w16cid:durableId="1014381152">
    <w:abstractNumId w:val="1"/>
  </w:num>
  <w:num w:numId="40" w16cid:durableId="200632402">
    <w:abstractNumId w:val="0"/>
  </w:num>
  <w:num w:numId="41" w16cid:durableId="1216232622">
    <w:abstractNumId w:val="10"/>
  </w:num>
  <w:num w:numId="42" w16cid:durableId="761224206">
    <w:abstractNumId w:val="10"/>
  </w:num>
  <w:num w:numId="43" w16cid:durableId="1096753139">
    <w:abstractNumId w:val="10"/>
  </w:num>
  <w:num w:numId="44" w16cid:durableId="3595533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SL"/>
    <w:docVar w:name="dvnumam" w:val="0"/>
    <w:docVar w:name="dvpe" w:val="774.309"/>
    <w:docVar w:name="dvrapporteur" w:val="Poročevalec: "/>
    <w:docVar w:name="dvtitre" w:val="Zakonodajna resolucija Evropskega parlamenta z dne … 2025 o predlogu sklepa Evropskega parlamenta in Sveta o uporabi Evropskega sklada za prilagoditev globalizaciji za presežne delavce (EGF/2025/000 TA 2025 – tehnična pomoč na pobudo Komisije)(COM(2025)0680 – C10-0103/2025 – 2025/0135(BUD))"/>
  </w:docVars>
  <w:rsids>
    <w:rsidRoot w:val="009E307D"/>
    <w:rsid w:val="00002272"/>
    <w:rsid w:val="000524BC"/>
    <w:rsid w:val="00064002"/>
    <w:rsid w:val="000677B9"/>
    <w:rsid w:val="000831BA"/>
    <w:rsid w:val="000A0311"/>
    <w:rsid w:val="000A42CC"/>
    <w:rsid w:val="000D7F9D"/>
    <w:rsid w:val="000E7DD9"/>
    <w:rsid w:val="0010095E"/>
    <w:rsid w:val="00125B37"/>
    <w:rsid w:val="00187494"/>
    <w:rsid w:val="001F32AE"/>
    <w:rsid w:val="00263EFD"/>
    <w:rsid w:val="002767FF"/>
    <w:rsid w:val="002A6C00"/>
    <w:rsid w:val="002B18FE"/>
    <w:rsid w:val="002B5493"/>
    <w:rsid w:val="00343214"/>
    <w:rsid w:val="00361C00"/>
    <w:rsid w:val="00364324"/>
    <w:rsid w:val="003732E5"/>
    <w:rsid w:val="00374D9C"/>
    <w:rsid w:val="00395FA1"/>
    <w:rsid w:val="003A107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5E5A"/>
    <w:rsid w:val="00560270"/>
    <w:rsid w:val="005C2568"/>
    <w:rsid w:val="005F1B17"/>
    <w:rsid w:val="006037C0"/>
    <w:rsid w:val="006631B6"/>
    <w:rsid w:val="00680577"/>
    <w:rsid w:val="006F74FA"/>
    <w:rsid w:val="00714A0D"/>
    <w:rsid w:val="00731ADD"/>
    <w:rsid w:val="00734777"/>
    <w:rsid w:val="00747932"/>
    <w:rsid w:val="00751A4A"/>
    <w:rsid w:val="00756632"/>
    <w:rsid w:val="00762C74"/>
    <w:rsid w:val="00766871"/>
    <w:rsid w:val="00786EC0"/>
    <w:rsid w:val="007B0DFE"/>
    <w:rsid w:val="007D1690"/>
    <w:rsid w:val="007E22AD"/>
    <w:rsid w:val="007E5330"/>
    <w:rsid w:val="00817416"/>
    <w:rsid w:val="00842779"/>
    <w:rsid w:val="00865F67"/>
    <w:rsid w:val="00880681"/>
    <w:rsid w:val="00881A7B"/>
    <w:rsid w:val="008840E5"/>
    <w:rsid w:val="00887B3E"/>
    <w:rsid w:val="008B464C"/>
    <w:rsid w:val="008C2AC6"/>
    <w:rsid w:val="008D6509"/>
    <w:rsid w:val="00930C23"/>
    <w:rsid w:val="0093193B"/>
    <w:rsid w:val="009509D8"/>
    <w:rsid w:val="00950B64"/>
    <w:rsid w:val="00981893"/>
    <w:rsid w:val="009E307D"/>
    <w:rsid w:val="00A1687D"/>
    <w:rsid w:val="00A27D2C"/>
    <w:rsid w:val="00A43E52"/>
    <w:rsid w:val="00A4678D"/>
    <w:rsid w:val="00A56D2A"/>
    <w:rsid w:val="00A57C3A"/>
    <w:rsid w:val="00A778C7"/>
    <w:rsid w:val="00A83E39"/>
    <w:rsid w:val="00AB441E"/>
    <w:rsid w:val="00AB6293"/>
    <w:rsid w:val="00AE0928"/>
    <w:rsid w:val="00AF3B82"/>
    <w:rsid w:val="00B12E95"/>
    <w:rsid w:val="00B22876"/>
    <w:rsid w:val="00B3303D"/>
    <w:rsid w:val="00B558F0"/>
    <w:rsid w:val="00BD48FE"/>
    <w:rsid w:val="00BD7BD8"/>
    <w:rsid w:val="00BE6ADC"/>
    <w:rsid w:val="00C05BFE"/>
    <w:rsid w:val="00C2201E"/>
    <w:rsid w:val="00C23CD4"/>
    <w:rsid w:val="00C61C0C"/>
    <w:rsid w:val="00C941CB"/>
    <w:rsid w:val="00CC2357"/>
    <w:rsid w:val="00CF071A"/>
    <w:rsid w:val="00D058B8"/>
    <w:rsid w:val="00D058FD"/>
    <w:rsid w:val="00D31628"/>
    <w:rsid w:val="00D56C11"/>
    <w:rsid w:val="00D834A0"/>
    <w:rsid w:val="00D872DF"/>
    <w:rsid w:val="00D91E21"/>
    <w:rsid w:val="00DA7FCD"/>
    <w:rsid w:val="00E16A9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ED9"/>
    <w:rsid w:val="00F5134D"/>
    <w:rsid w:val="00F74202"/>
    <w:rsid w:val="00F7646C"/>
    <w:rsid w:val="00F87713"/>
    <w:rsid w:val="00FB4360"/>
    <w:rsid w:val="00FC2EC5"/>
    <w:rsid w:val="00FD0C70"/>
    <w:rsid w:val="00F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A403E"/>
  <w15:chartTrackingRefBased/>
  <w15:docId w15:val="{4EA16524-6331-40E5-8011-429DE603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A6C0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A6C0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A6C0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A6C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6C00"/>
    <w:rPr>
      <w:sz w:val="24"/>
      <w:lang w:val="sl-SI"/>
    </w:rPr>
  </w:style>
  <w:style w:type="paragraph" w:customStyle="1" w:styleId="EPFooter">
    <w:name w:val="EPFooter"/>
    <w:basedOn w:val="Normal"/>
    <w:rsid w:val="002A6C0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A6C00"/>
    <w:pPr>
      <w:spacing w:before="480" w:after="240"/>
    </w:pPr>
  </w:style>
  <w:style w:type="character" w:styleId="Hyperlink">
    <w:name w:val="Hyperlink"/>
    <w:basedOn w:val="DefaultParagraphFont"/>
    <w:rsid w:val="002A6C00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2A6C00"/>
    <w:pPr>
      <w:keepNext/>
      <w:snapToGrid w:val="0"/>
      <w:spacing w:after="240"/>
    </w:pPr>
    <w:rPr>
      <w:i/>
      <w:lang w:eastAsia="en-US"/>
    </w:rPr>
  </w:style>
  <w:style w:type="paragraph" w:customStyle="1" w:styleId="Fait">
    <w:name w:val="Fait à"/>
    <w:basedOn w:val="Normal"/>
    <w:next w:val="Normal"/>
    <w:rsid w:val="002A6C00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2A6C00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2A6C00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2A6C00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2A6C0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A6C0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A6C00"/>
    <w:pPr>
      <w:snapToGrid w:val="0"/>
      <w:ind w:left="1418"/>
    </w:pPr>
    <w:rPr>
      <w:lang w:eastAsia="en-US"/>
    </w:rPr>
  </w:style>
  <w:style w:type="character" w:styleId="CommentReference">
    <w:name w:val="annotation reference"/>
    <w:basedOn w:val="DefaultParagraphFont"/>
    <w:rsid w:val="00545E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5E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5E5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45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5E5A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545E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5E5A"/>
    <w:rPr>
      <w:rFonts w:ascii="Segoe UI" w:hAnsi="Segoe UI" w:cs="Segoe UI"/>
      <w:sz w:val="18"/>
      <w:szCs w:val="18"/>
      <w:lang w:val="sl-SI"/>
    </w:rPr>
  </w:style>
  <w:style w:type="character" w:styleId="FollowedHyperlink">
    <w:name w:val="FollowedHyperlink"/>
    <w:basedOn w:val="DefaultParagraphFont"/>
    <w:rsid w:val="00A83E39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880681"/>
    <w:rPr>
      <w:i/>
      <w:iCs/>
    </w:rPr>
  </w:style>
  <w:style w:type="paragraph" w:styleId="Revision">
    <w:name w:val="Revision"/>
    <w:hidden/>
    <w:uiPriority w:val="99"/>
    <w:semiHidden/>
    <w:rsid w:val="000524BC"/>
    <w:rPr>
      <w:sz w:val="24"/>
      <w:lang w:val="sl-SI"/>
    </w:rPr>
  </w:style>
  <w:style w:type="paragraph" w:customStyle="1" w:styleId="NormalBold24a">
    <w:name w:val="NormalBold24a"/>
    <w:basedOn w:val="Normal"/>
    <w:rsid w:val="00374D9C"/>
    <w:pPr>
      <w:spacing w:after="48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5E2AD-8F54-48D6-A582-592D42441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986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2025-10-21T12:32:00Z</dcterms:created>
  <dcterms:modified xsi:type="dcterms:W3CDTF">2025-10-21T12:32:00Z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