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2488" w14:paraId="10E026E6" w14:textId="77777777" w:rsidTr="0010095E">
        <w:trPr>
          <w:trHeight w:hRule="exact" w:val="1418"/>
        </w:trPr>
        <w:tc>
          <w:tcPr>
            <w:tcW w:w="6804" w:type="dxa"/>
            <w:shd w:val="clear" w:color="auto" w:fill="auto"/>
            <w:vAlign w:val="center"/>
          </w:tcPr>
          <w:p w14:paraId="411B9398" w14:textId="460B8E49" w:rsidR="00751A4A" w:rsidRPr="004E2488" w:rsidRDefault="00682F5E" w:rsidP="0010095E">
            <w:pPr>
              <w:pStyle w:val="EPName"/>
            </w:pPr>
            <w:r w:rsidRPr="004E2488">
              <w:t>Европейски</w:t>
            </w:r>
            <w:r w:rsidR="007338F0" w:rsidRPr="004E2488">
              <w:t xml:space="preserve"> парламент</w:t>
            </w:r>
          </w:p>
          <w:p w14:paraId="59F9FADE" w14:textId="54040165" w:rsidR="00751A4A" w:rsidRPr="004E2488" w:rsidRDefault="005F1B17" w:rsidP="005F1B17">
            <w:pPr>
              <w:pStyle w:val="EPTerm"/>
              <w:rPr>
                <w:rStyle w:val="HideTWBExt"/>
                <w:noProof w:val="0"/>
                <w:vanish w:val="0"/>
                <w:color w:val="auto"/>
              </w:rPr>
            </w:pPr>
            <w:r w:rsidRPr="004E2488">
              <w:t>2024</w:t>
            </w:r>
            <w:r w:rsidR="00682F5E">
              <w:t> – </w:t>
            </w:r>
            <w:r w:rsidR="00817416" w:rsidRPr="004E2488">
              <w:t>202</w:t>
            </w:r>
            <w:r w:rsidRPr="004E2488">
              <w:t>9</w:t>
            </w:r>
          </w:p>
        </w:tc>
        <w:tc>
          <w:tcPr>
            <w:tcW w:w="2268" w:type="dxa"/>
            <w:shd w:val="clear" w:color="auto" w:fill="auto"/>
          </w:tcPr>
          <w:p w14:paraId="661A0FE1" w14:textId="77777777" w:rsidR="00751A4A" w:rsidRPr="004E2488" w:rsidRDefault="00187494" w:rsidP="0010095E">
            <w:pPr>
              <w:pStyle w:val="EPLogo"/>
            </w:pPr>
            <w:r w:rsidRPr="004E2488">
              <w:rPr>
                <w:noProof/>
                <w:lang w:val="en-GB"/>
              </w:rPr>
              <w:drawing>
                <wp:inline distT="0" distB="0" distL="0" distR="0" wp14:anchorId="31173797" wp14:editId="62BC79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40F836" w14:textId="77777777" w:rsidR="00D058B8" w:rsidRPr="004E2488" w:rsidRDefault="00D058B8" w:rsidP="004C5D52">
      <w:pPr>
        <w:pStyle w:val="LineTop"/>
      </w:pPr>
    </w:p>
    <w:p w14:paraId="117EDB01" w14:textId="08A37F5F" w:rsidR="00680577" w:rsidRPr="004E2488" w:rsidRDefault="007338F0" w:rsidP="00680577">
      <w:pPr>
        <w:pStyle w:val="EPBodyTA1"/>
      </w:pPr>
      <w:r w:rsidRPr="004E2488">
        <w:t>ПРИЕТИ ТЕКСТОВЕ</w:t>
      </w:r>
    </w:p>
    <w:p w14:paraId="4AA46F5C" w14:textId="77777777" w:rsidR="00D058B8" w:rsidRPr="004E2488" w:rsidRDefault="00D058B8" w:rsidP="00D058B8">
      <w:pPr>
        <w:pStyle w:val="LineBottom"/>
      </w:pPr>
    </w:p>
    <w:p w14:paraId="392242CF" w14:textId="78D5D130" w:rsidR="007338F0" w:rsidRPr="00C17C10" w:rsidRDefault="007338F0" w:rsidP="007338F0">
      <w:pPr>
        <w:pStyle w:val="ATHeading1"/>
      </w:pPr>
      <w:bookmarkStart w:id="0" w:name="TANumber"/>
      <w:r w:rsidRPr="004E2488">
        <w:t>P10_TA(2025)0</w:t>
      </w:r>
      <w:r w:rsidR="00175ACD">
        <w:rPr>
          <w:lang w:val="en-GB"/>
        </w:rPr>
        <w:t>15</w:t>
      </w:r>
      <w:bookmarkEnd w:id="0"/>
      <w:r w:rsidR="00C17C10">
        <w:t>4</w:t>
      </w:r>
    </w:p>
    <w:p w14:paraId="7ECC5FFE" w14:textId="77777777" w:rsidR="007338F0" w:rsidRPr="004E2488" w:rsidRDefault="007338F0" w:rsidP="007338F0">
      <w:pPr>
        <w:pStyle w:val="ATHeading2"/>
      </w:pPr>
      <w:bookmarkStart w:id="1" w:name="title"/>
      <w:r w:rsidRPr="004E2488">
        <w:t>Безопасност на продуктите и спазване на регулаторните разпоредби при електронната търговия и вноса от държави извън ЕС</w:t>
      </w:r>
      <w:bookmarkEnd w:id="1"/>
    </w:p>
    <w:p w14:paraId="7AF832EA" w14:textId="77777777" w:rsidR="007338F0" w:rsidRPr="004E2488" w:rsidRDefault="007338F0" w:rsidP="007338F0">
      <w:pPr>
        <w:rPr>
          <w:i/>
          <w:vanish/>
        </w:rPr>
      </w:pPr>
      <w:r w:rsidRPr="004E2488">
        <w:rPr>
          <w:i/>
        </w:rPr>
        <w:fldChar w:fldCharType="begin"/>
      </w:r>
      <w:r w:rsidRPr="004E2488">
        <w:rPr>
          <w:i/>
        </w:rPr>
        <w:instrText xml:space="preserve"> TC"(</w:instrText>
      </w:r>
      <w:bookmarkStart w:id="2" w:name="DocNumber"/>
      <w:r w:rsidRPr="004E2488">
        <w:rPr>
          <w:i/>
        </w:rPr>
        <w:instrText>A10-0133/2025</w:instrText>
      </w:r>
      <w:bookmarkEnd w:id="2"/>
      <w:r w:rsidRPr="004E2488">
        <w:rPr>
          <w:i/>
        </w:rPr>
        <w:instrText xml:space="preserve"> - Докладчик: Са</w:instrText>
      </w:r>
      <w:bookmarkStart w:id="3" w:name="_GoBack"/>
      <w:bookmarkEnd w:id="3"/>
      <w:r w:rsidRPr="004E2488">
        <w:rPr>
          <w:i/>
        </w:rPr>
        <w:instrText xml:space="preserve">лваторе Де </w:instrText>
      </w:r>
      <w:proofErr w:type="spellStart"/>
      <w:r w:rsidRPr="004E2488">
        <w:rPr>
          <w:i/>
        </w:rPr>
        <w:instrText>Мео</w:instrText>
      </w:r>
      <w:proofErr w:type="spellEnd"/>
      <w:r w:rsidRPr="004E2488">
        <w:rPr>
          <w:i/>
        </w:rPr>
        <w:instrText xml:space="preserve">)"\l3 \n&gt; \* MERGEFORMAT </w:instrText>
      </w:r>
      <w:r w:rsidRPr="004E2488">
        <w:rPr>
          <w:i/>
        </w:rPr>
        <w:fldChar w:fldCharType="end"/>
      </w:r>
    </w:p>
    <w:p w14:paraId="06B01746" w14:textId="77777777" w:rsidR="007338F0" w:rsidRPr="004E2488" w:rsidRDefault="007338F0" w:rsidP="007338F0">
      <w:pPr>
        <w:rPr>
          <w:vanish/>
        </w:rPr>
      </w:pPr>
      <w:bookmarkStart w:id="4" w:name="Commission"/>
      <w:r w:rsidRPr="004E2488">
        <w:rPr>
          <w:vanish/>
        </w:rPr>
        <w:t>Комисия по вътрешния пазар и защита на потребителите</w:t>
      </w:r>
      <w:bookmarkEnd w:id="4"/>
    </w:p>
    <w:p w14:paraId="2CE35C9E" w14:textId="77777777" w:rsidR="007338F0" w:rsidRPr="004E2488" w:rsidRDefault="007338F0" w:rsidP="007338F0">
      <w:pPr>
        <w:rPr>
          <w:vanish/>
        </w:rPr>
      </w:pPr>
      <w:bookmarkStart w:id="5" w:name="PE"/>
      <w:r w:rsidRPr="004E2488">
        <w:rPr>
          <w:vanish/>
        </w:rPr>
        <w:t>PE768.166</w:t>
      </w:r>
      <w:bookmarkEnd w:id="5"/>
    </w:p>
    <w:p w14:paraId="45AC6A82" w14:textId="713445FD" w:rsidR="007338F0" w:rsidRPr="004E2488" w:rsidRDefault="007338F0" w:rsidP="007338F0">
      <w:pPr>
        <w:pStyle w:val="ATHeading3"/>
      </w:pPr>
      <w:bookmarkStart w:id="6" w:name="Sujet"/>
      <w:r w:rsidRPr="004E2488">
        <w:t xml:space="preserve">Резолюция на Европейския парламент от </w:t>
      </w:r>
      <w:r w:rsidR="00CF4432">
        <w:t>9 юли</w:t>
      </w:r>
      <w:r w:rsidRPr="004E2488">
        <w:t xml:space="preserve"> 2025 г. относно безопасността на продуктите и спазването на регулаторните разпоредби при електронната търговия и вноса от държави извън ЕС</w:t>
      </w:r>
      <w:bookmarkEnd w:id="6"/>
      <w:r w:rsidRPr="004E2488">
        <w:t xml:space="preserve"> </w:t>
      </w:r>
      <w:bookmarkStart w:id="7" w:name="References"/>
      <w:r w:rsidRPr="004E2488">
        <w:t>(2025/2037(INI))</w:t>
      </w:r>
      <w:bookmarkEnd w:id="7"/>
    </w:p>
    <w:p w14:paraId="255D6625" w14:textId="77777777" w:rsidR="00B23AA6" w:rsidRPr="004E2488" w:rsidRDefault="00B23AA6" w:rsidP="00B23AA6">
      <w:pPr>
        <w:pStyle w:val="EPComma"/>
      </w:pPr>
      <w:r w:rsidRPr="004E2488">
        <w:rPr>
          <w:rStyle w:val="Italic"/>
        </w:rPr>
        <w:t>Европейският парламент</w:t>
      </w:r>
      <w:r w:rsidRPr="004E2488">
        <w:t>,</w:t>
      </w:r>
    </w:p>
    <w:p w14:paraId="0B2450BE" w14:textId="77777777" w:rsidR="00B23AA6" w:rsidRPr="004E2488" w:rsidRDefault="00B23AA6" w:rsidP="00B23AA6">
      <w:pPr>
        <w:pStyle w:val="NormalHanging12a"/>
      </w:pPr>
      <w:r w:rsidRPr="004E2488">
        <w:t>–</w:t>
      </w:r>
      <w:r w:rsidRPr="004E2488">
        <w:tab/>
        <w:t>като взе предвид доклада от 31 март 2022 г. на групата от експерти относно реформата на митническия съюз на ЕС, озаглавен   (По-съюзен характер на европейските митници: десет предложения, за да бъде митническият съюз на ЕС готов за геополитическа Европа),</w:t>
      </w:r>
    </w:p>
    <w:p w14:paraId="0B3A3E73" w14:textId="77777777" w:rsidR="00B23AA6" w:rsidRPr="004E2488" w:rsidRDefault="00B23AA6" w:rsidP="00B23AA6">
      <w:pPr>
        <w:pStyle w:val="NormalHanging12a"/>
      </w:pPr>
      <w:r w:rsidRPr="004E2488">
        <w:t>–</w:t>
      </w:r>
      <w:r w:rsidRPr="004E2488">
        <w:tab/>
        <w:t>като взе предвид своята позиция от 13 март 2024 г. относно предложението за регламент на Европейския парламент и на Съвета за създаване на Митнически кодекс на Съюза и на Митнически орган на Европейския съюз и за отмяна на Регламент (ЕС) № 952/2013</w:t>
      </w:r>
      <w:r w:rsidRPr="004E2488">
        <w:rPr>
          <w:rStyle w:val="FootnoteReference"/>
        </w:rPr>
        <w:footnoteReference w:id="1"/>
      </w:r>
      <w:r w:rsidRPr="004E2488">
        <w:t>,</w:t>
      </w:r>
    </w:p>
    <w:p w14:paraId="547A88CF" w14:textId="77777777" w:rsidR="00B23AA6" w:rsidRPr="004E2488" w:rsidRDefault="00B23AA6" w:rsidP="00B23AA6">
      <w:pPr>
        <w:pStyle w:val="NormalHanging12a"/>
        <w:rPr>
          <w:szCs w:val="24"/>
        </w:rPr>
      </w:pPr>
      <w:r w:rsidRPr="004E2488">
        <w:t>–</w:t>
      </w:r>
      <w:r w:rsidRPr="004E2488">
        <w:tab/>
        <w:t>като взе предвид съобщението на Комисията от 5 февруари 2025 г., озаглавено „Всеобхватен инструментариум на ЕС за безопасна и устойчива електронна търговия“ (COM(2025)0037),</w:t>
      </w:r>
    </w:p>
    <w:p w14:paraId="7BDF4E87" w14:textId="77777777" w:rsidR="00B23AA6" w:rsidRPr="004E2488" w:rsidRDefault="00B23AA6" w:rsidP="00B23AA6">
      <w:pPr>
        <w:pStyle w:val="NormalHanging12a"/>
        <w:rPr>
          <w:szCs w:val="24"/>
        </w:rPr>
      </w:pPr>
      <w:r w:rsidRPr="004E2488">
        <w:t>–</w:t>
      </w:r>
      <w:r w:rsidRPr="004E2488">
        <w:tab/>
        <w:t>като взе предвид Регламент (ЕС) 2024/3015 на Европейския парламент и на Съвета от 27 ноември 2024 г. за забрана на пазара на Съюза на продукти, произведени с принудителен труд, и за изменение на Директива (ЕС) 2019/1937</w:t>
      </w:r>
      <w:r w:rsidRPr="004E2488">
        <w:rPr>
          <w:vertAlign w:val="superscript"/>
        </w:rPr>
        <w:footnoteReference w:id="2"/>
      </w:r>
      <w:r w:rsidRPr="004E2488">
        <w:t>,</w:t>
      </w:r>
    </w:p>
    <w:p w14:paraId="40D48F5F" w14:textId="77777777" w:rsidR="00B23AA6" w:rsidRPr="004E2488" w:rsidRDefault="00B23AA6" w:rsidP="00B23AA6">
      <w:pPr>
        <w:pStyle w:val="NormalHanging12a"/>
        <w:rPr>
          <w:szCs w:val="24"/>
        </w:rPr>
      </w:pPr>
      <w:r w:rsidRPr="004E2488">
        <w:t>–</w:t>
      </w:r>
      <w:r w:rsidRPr="004E2488">
        <w:tab/>
        <w:t>като взе предвид Директива (ЕС) 2024/1760 на Европейския парламент и на Съвета от 13 юни 2024 г. относно дължима грижа на дружествата във връзка с устойчивостта и за изменение на Директива (ЕС) 2019/1937 и Регламент (ЕС) 2023/2859</w:t>
      </w:r>
      <w:r w:rsidRPr="004E2488">
        <w:rPr>
          <w:vertAlign w:val="superscript"/>
        </w:rPr>
        <w:footnoteReference w:id="3"/>
      </w:r>
      <w:r w:rsidRPr="004E2488">
        <w:t>,</w:t>
      </w:r>
    </w:p>
    <w:p w14:paraId="358D12F1" w14:textId="77777777" w:rsidR="00B23AA6" w:rsidRPr="004E2488" w:rsidRDefault="00B23AA6" w:rsidP="00B23AA6">
      <w:pPr>
        <w:pStyle w:val="NormalHanging12a"/>
        <w:rPr>
          <w:szCs w:val="24"/>
        </w:rPr>
      </w:pPr>
      <w:r w:rsidRPr="004E2488">
        <w:lastRenderedPageBreak/>
        <w:t>–</w:t>
      </w:r>
      <w:r w:rsidRPr="004E2488">
        <w:tab/>
        <w:t xml:space="preserve">като взе предвид доклада на Енрико Лета от април 2024 г., озаглавен </w:t>
      </w:r>
      <w:proofErr w:type="spellStart"/>
      <w:r w:rsidRPr="004E2488">
        <w:rPr>
          <w:i/>
          <w:iCs/>
        </w:rPr>
        <w:t>Much</w:t>
      </w:r>
      <w:proofErr w:type="spellEnd"/>
      <w:r w:rsidRPr="004E2488">
        <w:rPr>
          <w:i/>
          <w:iCs/>
        </w:rPr>
        <w:t xml:space="preserve"> </w:t>
      </w:r>
      <w:proofErr w:type="spellStart"/>
      <w:r w:rsidRPr="004E2488">
        <w:rPr>
          <w:i/>
          <w:iCs/>
        </w:rPr>
        <w:t>more</w:t>
      </w:r>
      <w:proofErr w:type="spellEnd"/>
      <w:r w:rsidRPr="004E2488">
        <w:rPr>
          <w:i/>
          <w:iCs/>
        </w:rPr>
        <w:t xml:space="preserve"> </w:t>
      </w:r>
      <w:proofErr w:type="spellStart"/>
      <w:r w:rsidRPr="004E2488">
        <w:rPr>
          <w:i/>
          <w:iCs/>
        </w:rPr>
        <w:t>than</w:t>
      </w:r>
      <w:proofErr w:type="spellEnd"/>
      <w:r w:rsidRPr="004E2488">
        <w:rPr>
          <w:i/>
          <w:iCs/>
        </w:rPr>
        <w:t xml:space="preserve"> a </w:t>
      </w:r>
      <w:proofErr w:type="spellStart"/>
      <w:r w:rsidRPr="004E2488">
        <w:rPr>
          <w:i/>
          <w:iCs/>
        </w:rPr>
        <w:t>market</w:t>
      </w:r>
      <w:proofErr w:type="spellEnd"/>
      <w:r w:rsidRPr="004E2488">
        <w:rPr>
          <w:i/>
          <w:iCs/>
        </w:rPr>
        <w:t>:</w:t>
      </w:r>
      <w:r w:rsidRPr="004E2488">
        <w:t xml:space="preserve"> </w:t>
      </w:r>
      <w:proofErr w:type="spellStart"/>
      <w:r w:rsidRPr="004E2488">
        <w:rPr>
          <w:i/>
          <w:iCs/>
        </w:rPr>
        <w:t>Speed</w:t>
      </w:r>
      <w:proofErr w:type="spellEnd"/>
      <w:r w:rsidRPr="004E2488">
        <w:rPr>
          <w:i/>
          <w:iCs/>
        </w:rPr>
        <w:t xml:space="preserve">, </w:t>
      </w:r>
      <w:proofErr w:type="spellStart"/>
      <w:r w:rsidRPr="004E2488">
        <w:rPr>
          <w:i/>
          <w:iCs/>
        </w:rPr>
        <w:t>Security</w:t>
      </w:r>
      <w:proofErr w:type="spellEnd"/>
      <w:r w:rsidRPr="004E2488">
        <w:rPr>
          <w:i/>
          <w:iCs/>
        </w:rPr>
        <w:t xml:space="preserve">, </w:t>
      </w:r>
      <w:proofErr w:type="spellStart"/>
      <w:r w:rsidRPr="004E2488">
        <w:rPr>
          <w:i/>
          <w:iCs/>
        </w:rPr>
        <w:t>Solidarity</w:t>
      </w:r>
      <w:proofErr w:type="spellEnd"/>
      <w:r w:rsidRPr="004E2488">
        <w:rPr>
          <w:i/>
          <w:iCs/>
        </w:rPr>
        <w:t xml:space="preserve"> – </w:t>
      </w:r>
      <w:proofErr w:type="spellStart"/>
      <w:r w:rsidRPr="004E2488">
        <w:rPr>
          <w:i/>
          <w:iCs/>
        </w:rPr>
        <w:t>Empowering</w:t>
      </w:r>
      <w:proofErr w:type="spellEnd"/>
      <w:r w:rsidRPr="004E2488">
        <w:rPr>
          <w:i/>
          <w:iCs/>
        </w:rPr>
        <w:t xml:space="preserve"> </w:t>
      </w:r>
      <w:proofErr w:type="spellStart"/>
      <w:r w:rsidRPr="004E2488">
        <w:rPr>
          <w:i/>
          <w:iCs/>
        </w:rPr>
        <w:t>the</w:t>
      </w:r>
      <w:proofErr w:type="spellEnd"/>
      <w:r w:rsidRPr="004E2488">
        <w:rPr>
          <w:i/>
          <w:iCs/>
        </w:rPr>
        <w:t xml:space="preserve"> </w:t>
      </w:r>
      <w:proofErr w:type="spellStart"/>
      <w:r w:rsidRPr="004E2488">
        <w:rPr>
          <w:i/>
          <w:iCs/>
        </w:rPr>
        <w:t>Single</w:t>
      </w:r>
      <w:proofErr w:type="spellEnd"/>
      <w:r w:rsidRPr="004E2488">
        <w:rPr>
          <w:i/>
          <w:iCs/>
        </w:rPr>
        <w:t xml:space="preserve"> Market </w:t>
      </w:r>
      <w:proofErr w:type="spellStart"/>
      <w:r w:rsidRPr="004E2488">
        <w:rPr>
          <w:i/>
          <w:iCs/>
        </w:rPr>
        <w:t>to</w:t>
      </w:r>
      <w:proofErr w:type="spellEnd"/>
      <w:r w:rsidRPr="004E2488">
        <w:rPr>
          <w:i/>
          <w:iCs/>
        </w:rPr>
        <w:t xml:space="preserve"> </w:t>
      </w:r>
      <w:proofErr w:type="spellStart"/>
      <w:r w:rsidRPr="004E2488">
        <w:rPr>
          <w:i/>
          <w:iCs/>
        </w:rPr>
        <w:t>deliver</w:t>
      </w:r>
      <w:proofErr w:type="spellEnd"/>
      <w:r w:rsidRPr="004E2488">
        <w:rPr>
          <w:i/>
          <w:iCs/>
        </w:rPr>
        <w:t xml:space="preserve"> a </w:t>
      </w:r>
      <w:proofErr w:type="spellStart"/>
      <w:r w:rsidRPr="004E2488">
        <w:rPr>
          <w:i/>
          <w:iCs/>
        </w:rPr>
        <w:t>sustainable</w:t>
      </w:r>
      <w:proofErr w:type="spellEnd"/>
      <w:r w:rsidRPr="004E2488">
        <w:rPr>
          <w:i/>
          <w:iCs/>
        </w:rPr>
        <w:t xml:space="preserve"> </w:t>
      </w:r>
      <w:proofErr w:type="spellStart"/>
      <w:r w:rsidRPr="004E2488">
        <w:rPr>
          <w:i/>
          <w:iCs/>
        </w:rPr>
        <w:t>future</w:t>
      </w:r>
      <w:proofErr w:type="spellEnd"/>
      <w:r w:rsidRPr="004E2488">
        <w:rPr>
          <w:i/>
          <w:iCs/>
        </w:rPr>
        <w:t xml:space="preserve"> </w:t>
      </w:r>
      <w:proofErr w:type="spellStart"/>
      <w:r w:rsidRPr="004E2488">
        <w:rPr>
          <w:i/>
          <w:iCs/>
        </w:rPr>
        <w:t>and</w:t>
      </w:r>
      <w:proofErr w:type="spellEnd"/>
      <w:r w:rsidRPr="004E2488">
        <w:rPr>
          <w:i/>
          <w:iCs/>
        </w:rPr>
        <w:t xml:space="preserve"> </w:t>
      </w:r>
      <w:proofErr w:type="spellStart"/>
      <w:r w:rsidRPr="004E2488">
        <w:rPr>
          <w:i/>
          <w:iCs/>
        </w:rPr>
        <w:t>prosperity</w:t>
      </w:r>
      <w:proofErr w:type="spellEnd"/>
      <w:r w:rsidRPr="004E2488">
        <w:rPr>
          <w:i/>
          <w:iCs/>
        </w:rPr>
        <w:t xml:space="preserve"> </w:t>
      </w:r>
      <w:proofErr w:type="spellStart"/>
      <w:r w:rsidRPr="004E2488">
        <w:rPr>
          <w:i/>
          <w:iCs/>
        </w:rPr>
        <w:t>for</w:t>
      </w:r>
      <w:proofErr w:type="spellEnd"/>
      <w:r w:rsidRPr="004E2488">
        <w:rPr>
          <w:i/>
          <w:iCs/>
        </w:rPr>
        <w:t xml:space="preserve"> </w:t>
      </w:r>
      <w:proofErr w:type="spellStart"/>
      <w:r w:rsidRPr="004E2488">
        <w:rPr>
          <w:i/>
          <w:iCs/>
        </w:rPr>
        <w:t>all</w:t>
      </w:r>
      <w:proofErr w:type="spellEnd"/>
      <w:r w:rsidRPr="004E2488">
        <w:rPr>
          <w:i/>
          <w:iCs/>
        </w:rPr>
        <w:t xml:space="preserve"> EU </w:t>
      </w:r>
      <w:proofErr w:type="spellStart"/>
      <w:r w:rsidRPr="004E2488">
        <w:rPr>
          <w:i/>
          <w:iCs/>
        </w:rPr>
        <w:t>Citizens</w:t>
      </w:r>
      <w:proofErr w:type="spellEnd"/>
      <w:r w:rsidRPr="004E2488">
        <w:t xml:space="preserve"> (Много повече от пазар – Бързина, сигурност, солидарност – Създаване на възможности на единния пазар за постигане на устойчиво бъдеще и просперитет за всички граждани на ЕС)</w:t>
      </w:r>
      <w:r w:rsidRPr="004E2488">
        <w:rPr>
          <w:vertAlign w:val="superscript"/>
        </w:rPr>
        <w:footnoteReference w:id="4"/>
      </w:r>
      <w:r w:rsidRPr="004E2488">
        <w:t>,</w:t>
      </w:r>
    </w:p>
    <w:p w14:paraId="001C82D1" w14:textId="77777777" w:rsidR="00B23AA6" w:rsidRPr="004E2488" w:rsidRDefault="00B23AA6" w:rsidP="00B23AA6">
      <w:pPr>
        <w:pStyle w:val="NormalHanging12a"/>
      </w:pPr>
      <w:r w:rsidRPr="004E2488">
        <w:t>–</w:t>
      </w:r>
      <w:r w:rsidRPr="004E2488">
        <w:tab/>
        <w:t>като взе предвид член 55 от своя Правилник за дейността,</w:t>
      </w:r>
    </w:p>
    <w:p w14:paraId="60D3488B" w14:textId="77777777" w:rsidR="00B23AA6" w:rsidRPr="004E2488" w:rsidRDefault="00B23AA6" w:rsidP="00B23AA6">
      <w:pPr>
        <w:pStyle w:val="NormalHanging12a"/>
      </w:pPr>
      <w:r w:rsidRPr="004E2488">
        <w:t>–</w:t>
      </w:r>
      <w:r w:rsidRPr="004E2488">
        <w:tab/>
        <w:t>като взе предвид становището на комисията по международна търговия,</w:t>
      </w:r>
    </w:p>
    <w:p w14:paraId="2492D451" w14:textId="77777777" w:rsidR="00B23AA6" w:rsidRPr="004E2488" w:rsidRDefault="00B23AA6" w:rsidP="00B23AA6">
      <w:pPr>
        <w:pStyle w:val="NormalHanging12a"/>
      </w:pPr>
      <w:r w:rsidRPr="004E2488">
        <w:t>–</w:t>
      </w:r>
      <w:r w:rsidRPr="004E2488">
        <w:tab/>
        <w:t>като взе предвид доклада на комисията по вътрешния пазар и защита на потребителите (A10-0133/2025),</w:t>
      </w:r>
    </w:p>
    <w:p w14:paraId="2FE7E4CB" w14:textId="77777777" w:rsidR="00B23AA6" w:rsidRPr="004E2488" w:rsidRDefault="00B23AA6" w:rsidP="00B23AA6">
      <w:pPr>
        <w:pStyle w:val="NormalHanging12a"/>
      </w:pPr>
      <w:r w:rsidRPr="004E2488">
        <w:t>А.</w:t>
      </w:r>
      <w:r w:rsidRPr="004E2488">
        <w:tab/>
        <w:t>като има предвид, че електронната търговия промени начина, по който потребителите купуват и комуникират с предприятията в световен мащаб, като отключи безпрецедентни възможности; като има предвид, че електронната търговия поставя значителни предизвикателства пред конкурентоспособността на ЕС и поражда опасения относно правата, здравето и безопасността на потребителите, по-специално защото определени категории продукти пораждат неотложни въпроси, свързани с опасения по отношение на тяхното въздействие върху уязвимите потребителски групи; като има предвид, че тя оказва въздействие върху околната среда, най-вече чрез повишеното генериране на отпадъци и  на въглеродни емисии, произтичащи от транспорта и логистиката; като има предвид, че електронната търговия оказва въздействие върху привлекателността на търговците на дребно и следователно допринася за обезлюдяването на градските центрове; като има предвид, че електронната търговия има и социални последици, особено по отношение на условията на труд в сектора на складирането и доставките;</w:t>
      </w:r>
    </w:p>
    <w:p w14:paraId="6E411084" w14:textId="77777777" w:rsidR="00B23AA6" w:rsidRPr="004E2488" w:rsidRDefault="00B23AA6" w:rsidP="00B23AA6">
      <w:pPr>
        <w:pStyle w:val="NormalHanging12a"/>
        <w:rPr>
          <w:szCs w:val="24"/>
        </w:rPr>
      </w:pPr>
      <w:r w:rsidRPr="004E2488">
        <w:t>Б.</w:t>
      </w:r>
      <w:r w:rsidRPr="004E2488">
        <w:tab/>
        <w:t>като има предвид, че над 75% от потребителите в ЕС пазаруват онлайн; като има предвид, че продължаващият растеж на електронната търговия подобрява достъпа на потребителите, качеството и ценовата конкуренция; като има предвид, че електронната търговия намалява пречките за навлизане на пазара за малките и средните предприятия (МСП) и предприемачите, насърчава електронното приобщаване, подкрепя общностите с недостатъчно обслужване и допринася за иновациите, производителността и икономическия растеж в рамките на единния пазар;</w:t>
      </w:r>
    </w:p>
    <w:p w14:paraId="512390D0" w14:textId="77777777" w:rsidR="00B23AA6" w:rsidRPr="004E2488" w:rsidRDefault="00B23AA6" w:rsidP="00B23AA6">
      <w:pPr>
        <w:pStyle w:val="NormalHanging12a"/>
        <w:rPr>
          <w:szCs w:val="24"/>
        </w:rPr>
      </w:pPr>
      <w:r w:rsidRPr="004E2488">
        <w:t>В.</w:t>
      </w:r>
      <w:r w:rsidRPr="004E2488">
        <w:tab/>
        <w:t xml:space="preserve">като има предвид, че с рязкото увеличаване на вноса в рамките на електронната търговия, идващ главно от Китай, продавачите, които не спазват изискванията, заобикалят регулаторните разходи и застрашават спазващите законодателството предприятия чрез средства като фалшифициране, са засилили нелоялната конкуренция;  като има предвид, че съществува спешна необходимост от </w:t>
      </w:r>
      <w:r w:rsidRPr="004E2488">
        <w:lastRenderedPageBreak/>
        <w:t>възстановяване на еднаквите условия на конкуренция за всички предприятия, и по-специално за МСП;  като има предвид, че е от критично важно значение да се гарантира, че усилията за правоприлагане са достатъчно добре финансирани и обезпечени както на национално равнище, така и на равнището на ЕС, като същевременно се избягва прекомерното делегиране на отговорности за правоприлагане на частни участници;</w:t>
      </w:r>
    </w:p>
    <w:p w14:paraId="5C7754F3" w14:textId="77777777" w:rsidR="00B23AA6" w:rsidRPr="004E2488" w:rsidRDefault="00B23AA6" w:rsidP="00B23AA6">
      <w:pPr>
        <w:pStyle w:val="NormalHanging12a"/>
      </w:pPr>
      <w:r w:rsidRPr="004E2488">
        <w:t>Г.</w:t>
      </w:r>
      <w:r w:rsidRPr="004E2488">
        <w:tab/>
        <w:t>като има предвид, че европейските предприятия, и по-специално МСП, трябва да спазват строги правила и се конкурират  при нееднакви условия с онлайн платформи за електронна търговия извън ЕС, които заобикалят тези задължения; като има предвид, че европейските предприятия отделят материални и човешки ресурси, за да гарантират спазването на регулаторните изисквания, като поемат значителна административна и финансова тежест;</w:t>
      </w:r>
    </w:p>
    <w:p w14:paraId="6902E2DD" w14:textId="77777777" w:rsidR="00B23AA6" w:rsidRPr="004E2488" w:rsidRDefault="00B23AA6" w:rsidP="00B23AA6">
      <w:pPr>
        <w:pStyle w:val="NormalHanging12a"/>
        <w:rPr>
          <w:szCs w:val="24"/>
        </w:rPr>
      </w:pPr>
      <w:r w:rsidRPr="004E2488">
        <w:t>Д.</w:t>
      </w:r>
      <w:r w:rsidRPr="004E2488">
        <w:tab/>
        <w:t>като има предвид, че някои предприятия извън ЕС не спазват европейските разпоредби за защита на данните, които гарантират високо равнище на неприкосновеност на личния живот за потребителите, и участват в практики за профилиране на потребителите чрез използване на лични данни; като има предвид, че са необходими засилено правоприлагане и сътрудничество, за да се гарантира последователна защита на неприкосновеността на личния живот за всички потребители;</w:t>
      </w:r>
    </w:p>
    <w:p w14:paraId="2EC62A67" w14:textId="77777777" w:rsidR="00B23AA6" w:rsidRPr="004E2488" w:rsidRDefault="00B23AA6" w:rsidP="00B23AA6">
      <w:pPr>
        <w:pStyle w:val="NormalHanging12a"/>
      </w:pPr>
      <w:r w:rsidRPr="004E2488">
        <w:t>Е.</w:t>
      </w:r>
      <w:r w:rsidRPr="004E2488">
        <w:tab/>
        <w:t xml:space="preserve">като има предвид, че в своите политически насоки за периода 2024 – 2029 г. председателят на Комисията Урсула фон </w:t>
      </w:r>
      <w:proofErr w:type="spellStart"/>
      <w:r w:rsidRPr="004E2488">
        <w:t>дер</w:t>
      </w:r>
      <w:proofErr w:type="spellEnd"/>
      <w:r w:rsidRPr="004E2488">
        <w:t xml:space="preserve"> </w:t>
      </w:r>
      <w:proofErr w:type="spellStart"/>
      <w:r w:rsidRPr="004E2488">
        <w:t>Лайен</w:t>
      </w:r>
      <w:proofErr w:type="spellEnd"/>
      <w:r w:rsidRPr="004E2488">
        <w:t xml:space="preserve"> посочи необходимостта от справяне с предизвикателствата с онлайн платформите, за да се гарантира, че както потребителите, така и предприятията се ползват от еднакви условия на конкуренция, основани на ефективни митнически, данъчни и свързани с безопасността проверки и стандарти за устойчивост, и възложи на няколко изпълнителни заместник-председатели и членове на Комисията да изпълнят тази мисия;</w:t>
      </w:r>
    </w:p>
    <w:p w14:paraId="03557D66" w14:textId="77777777" w:rsidR="00B23AA6" w:rsidRPr="004E2488" w:rsidRDefault="00B23AA6" w:rsidP="00B23AA6">
      <w:pPr>
        <w:pStyle w:val="NormalHanging12a"/>
        <w:rPr>
          <w:szCs w:val="24"/>
        </w:rPr>
      </w:pPr>
      <w:r w:rsidRPr="004E2488">
        <w:t>Ж.</w:t>
      </w:r>
      <w:r w:rsidRPr="004E2488">
        <w:tab/>
        <w:t>като има предвид, че процесът на адаптиране на достиженията на правото на ЕС към онлайн средата започна преди няколко години и редица законодателни актове относно продуктите, защитата на потребителите и безопасността на продуктите понастоящем включват разпоредби за осигуряване на стабилни гаранции в цифровата среда; като има предвид, че независимо от тези усилия продължават да съществуват критични недостатъци при оправомощаването на органите да търсят отговорност от цялата верига на доставки и да гарантират защитата на потребителите и че тези недостатъци трябва спешно да бъдат преодолени;</w:t>
      </w:r>
    </w:p>
    <w:p w14:paraId="01B86C94" w14:textId="77777777" w:rsidR="00B23AA6" w:rsidRPr="004E2488" w:rsidRDefault="00B23AA6" w:rsidP="00B23AA6">
      <w:pPr>
        <w:widowControl/>
        <w:spacing w:after="240"/>
        <w:ind w:left="567" w:hanging="567"/>
      </w:pPr>
      <w:r w:rsidRPr="004E2488">
        <w:lastRenderedPageBreak/>
        <w:t>З.</w:t>
      </w:r>
      <w:r w:rsidRPr="004E2488">
        <w:tab/>
        <w:t>като има предвид, че Актът за цифровите услуги</w:t>
      </w:r>
      <w:r w:rsidRPr="004E2488">
        <w:rPr>
          <w:vertAlign w:val="superscript"/>
        </w:rPr>
        <w:footnoteReference w:id="5"/>
      </w:r>
      <w:r w:rsidRPr="004E2488">
        <w:t>, Регламентът относно общата безопасност на продуктите</w:t>
      </w:r>
      <w:r w:rsidRPr="004E2488">
        <w:rPr>
          <w:vertAlign w:val="superscript"/>
        </w:rPr>
        <w:footnoteReference w:id="6"/>
      </w:r>
      <w:r w:rsidRPr="004E2488">
        <w:t>, Регламентът относно надзора на пазара</w:t>
      </w:r>
      <w:r w:rsidRPr="004E2488">
        <w:rPr>
          <w:vertAlign w:val="superscript"/>
        </w:rPr>
        <w:footnoteReference w:id="7"/>
      </w:r>
      <w:r w:rsidRPr="004E2488">
        <w:t xml:space="preserve"> и Регламентът  за защита на потребителите</w:t>
      </w:r>
      <w:r w:rsidRPr="004E2488">
        <w:rPr>
          <w:vertAlign w:val="superscript"/>
        </w:rPr>
        <w:footnoteReference w:id="8"/>
      </w:r>
      <w:r w:rsidRPr="004E2488">
        <w:t xml:space="preserve"> допринасят за по-безопасна и справедлива среда за електронна търговия, ако са добре изпълнени и приложени; като има предвид, че въпреки тези законодателни актове потребителските и други организации, както и националните органи изразиха загриженост относно големия брой опасни продукти, открити в ЕС, които не спазват законодателството на ЕС относно безопасността на продуктите, екологичните стандарти и стандартите за химикалите; като има предвид, че по-доброто финансиране на правоприлагащите органи на държавите членки и по-добрата координация между тях са от съществено значение за ефективното справяне с тези рискове;</w:t>
      </w:r>
    </w:p>
    <w:p w14:paraId="1B2A17ED" w14:textId="77777777" w:rsidR="00B23AA6" w:rsidRPr="004E2488" w:rsidRDefault="00B23AA6" w:rsidP="00B23AA6">
      <w:pPr>
        <w:pStyle w:val="NormalHanging12a"/>
        <w:rPr>
          <w:szCs w:val="24"/>
        </w:rPr>
      </w:pPr>
      <w:r w:rsidRPr="004E2488">
        <w:t>И.</w:t>
      </w:r>
      <w:r w:rsidRPr="004E2488">
        <w:tab/>
        <w:t>като има предвид, че електронната търговия може да оказва значително въздействие върху потребителите, като им предоставя безпрецедентно удобство, достъп до разнообразни продукти и конкурентни цени; като има предвид, че електронната търговия също така излага потребителите на рискове като опасни продукти, липса на прозрачност и манипулативни практики, които използват тяхната уязвимост;</w:t>
      </w:r>
    </w:p>
    <w:p w14:paraId="38E48E61" w14:textId="77777777" w:rsidR="00B23AA6" w:rsidRPr="004E2488" w:rsidRDefault="00B23AA6" w:rsidP="00B23AA6">
      <w:pPr>
        <w:pStyle w:val="NormalHanging12a"/>
        <w:rPr>
          <w:szCs w:val="24"/>
        </w:rPr>
      </w:pPr>
      <w:r w:rsidRPr="004E2488">
        <w:t>Й.</w:t>
      </w:r>
      <w:r w:rsidRPr="004E2488">
        <w:tab/>
        <w:t>като има предвид, че защитата на потребителите е от съществено значение за функционирането на вътрешния пазар на ЕС, тъй като гарантира доверие и справедливост в търговските практики, с което дава възможност за устойчив икономически растеж и иновации; като има предвид, че справянето с тези пораждащи загриженост въпроси е важно за насърчаване на прозрачността, справедливостта и отговорното развитие на цифровите услуги и електронната търговия;</w:t>
      </w:r>
    </w:p>
    <w:p w14:paraId="33370152" w14:textId="77777777" w:rsidR="00B23AA6" w:rsidRPr="004E2488" w:rsidRDefault="00B23AA6" w:rsidP="00B23AA6">
      <w:pPr>
        <w:pStyle w:val="NormalHanging12a"/>
        <w:rPr>
          <w:szCs w:val="24"/>
        </w:rPr>
      </w:pPr>
      <w:r w:rsidRPr="004E2488">
        <w:t>К.</w:t>
      </w:r>
      <w:r w:rsidRPr="004E2488">
        <w:tab/>
        <w:t>като има предвид, че хората в по-неравностойно социално-икономическо положение, включително семействата с ниски доходи и децата, са изложени в по-голяма степен на рисковете, породени от опасни продукти, поради по-ниските им цени, агресивния маркетинг и широкото им разпространение;</w:t>
      </w:r>
    </w:p>
    <w:p w14:paraId="603A77B6" w14:textId="77777777" w:rsidR="00B23AA6" w:rsidRPr="004E2488" w:rsidRDefault="00B23AA6" w:rsidP="00B23AA6">
      <w:pPr>
        <w:pStyle w:val="NormalHanging12a"/>
      </w:pPr>
      <w:r w:rsidRPr="004E2488">
        <w:lastRenderedPageBreak/>
        <w:t>Л.</w:t>
      </w:r>
      <w:r w:rsidRPr="004E2488">
        <w:tab/>
        <w:t>като има предвид, че опасенията относно пригодността за електронна търговия на митническите процедури съгласно настоящия Митнически кодекс на Съюза</w:t>
      </w:r>
      <w:r w:rsidRPr="004E2488">
        <w:rPr>
          <w:rStyle w:val="FootnoteReference"/>
        </w:rPr>
        <w:footnoteReference w:id="9"/>
      </w:r>
      <w:r w:rsidRPr="004E2488">
        <w:t xml:space="preserve"> бяха значителен двигател за пакета на Комисията за реформа на митниците, включително законодателните предложения за преразглеждане на Митническия кодекс на Съюза (МКС) и за създаване на Митнически орган на ЕС (реформа на МКС), както и премахването на прага от 150 EUR за освобождаване (</w:t>
      </w:r>
      <w:proofErr w:type="spellStart"/>
      <w:r w:rsidRPr="004E2488">
        <w:rPr>
          <w:i/>
          <w:iCs/>
        </w:rPr>
        <w:t>de</w:t>
      </w:r>
      <w:proofErr w:type="spellEnd"/>
      <w:r w:rsidRPr="004E2488">
        <w:rPr>
          <w:i/>
          <w:iCs/>
        </w:rPr>
        <w:t xml:space="preserve"> </w:t>
      </w:r>
      <w:proofErr w:type="spellStart"/>
      <w:r w:rsidRPr="004E2488">
        <w:rPr>
          <w:i/>
          <w:iCs/>
        </w:rPr>
        <w:t>minimis</w:t>
      </w:r>
      <w:proofErr w:type="spellEnd"/>
      <w:r w:rsidRPr="004E2488">
        <w:t>) от плащането на мита и ДДС върху вносни продукти;</w:t>
      </w:r>
    </w:p>
    <w:p w14:paraId="3E0F618D" w14:textId="77777777" w:rsidR="00B23AA6" w:rsidRPr="004E2488" w:rsidRDefault="00B23AA6" w:rsidP="00B23AA6">
      <w:pPr>
        <w:pStyle w:val="NormalHanging12a"/>
        <w:rPr>
          <w:szCs w:val="24"/>
        </w:rPr>
      </w:pPr>
      <w:r w:rsidRPr="004E2488">
        <w:t>М.</w:t>
      </w:r>
      <w:r w:rsidRPr="004E2488">
        <w:tab/>
        <w:t>като има предвид, че митническите органи се нуждаят от значителни инвестиции, по-специално с цел да се осигури достатъчен брой подходящо обучен персонал, за да се гарантира функционирането на митническите системи на ЕС, които са изправени пред експоненциално нарастване на случаите, в които е необходимо извършване на митнически проверки; като има предвид, че без необходимите инвестиции в персонал цифровите решения не могат да осигурят ползи от гледна точка на ефективността и хармонизацията;</w:t>
      </w:r>
    </w:p>
    <w:p w14:paraId="6F1E2F4B" w14:textId="77777777" w:rsidR="00B23AA6" w:rsidRPr="004E2488" w:rsidRDefault="00B23AA6" w:rsidP="00B23AA6">
      <w:pPr>
        <w:pStyle w:val="NormalHanging12a"/>
        <w:rPr>
          <w:szCs w:val="24"/>
        </w:rPr>
      </w:pPr>
      <w:r w:rsidRPr="004E2488">
        <w:t>Н.</w:t>
      </w:r>
      <w:r w:rsidRPr="004E2488">
        <w:tab/>
        <w:t>като има предвид, че модерните технологии за проверка като изкуствения интелект и блоковите вериги биха могли значително да подобрят капацитета на митническите органи и органите за надзор на пазара за сигнализиране за високорискови пратки и за мащабно автоматизиране на проверките за съответствие; като има предвид, че инвестициите в такива технологии остават фрагментирани и неравномерни в държавите членки; като има предвид, че по-голямото финансиране, координация и усилия на равнището на ЕС за гарантиране на оперативна съвместимост е от съществено значение, за да се ускори тяхното внедряване и да се подобри общата ефикасност и ефективност на механизмите за прилагане;</w:t>
      </w:r>
    </w:p>
    <w:p w14:paraId="74093E9D" w14:textId="77777777" w:rsidR="00B23AA6" w:rsidRPr="004E2488" w:rsidRDefault="00B23AA6" w:rsidP="00B23AA6">
      <w:pPr>
        <w:pStyle w:val="NormalHanging12a"/>
      </w:pPr>
      <w:r w:rsidRPr="004E2488">
        <w:t>О.</w:t>
      </w:r>
      <w:r w:rsidRPr="004E2488">
        <w:tab/>
        <w:t xml:space="preserve">като има предвид, че цифровите инструменти като изкуствения интелект и интернета на нещата могат да спомогнат за проследяване на несъответстващите на изискванията продукти, но че те трябва да зачитат неприкосновеността на личния живот на потребителите и  не трябва да водят до общо наблюдение на ползвателите; </w:t>
      </w:r>
    </w:p>
    <w:p w14:paraId="21B3FC4E" w14:textId="77777777" w:rsidR="00B23AA6" w:rsidRPr="004E2488" w:rsidRDefault="00B23AA6" w:rsidP="00B23AA6">
      <w:pPr>
        <w:pStyle w:val="NormalHanging12a"/>
      </w:pPr>
      <w:r w:rsidRPr="004E2488">
        <w:t>П.</w:t>
      </w:r>
      <w:r w:rsidRPr="004E2488">
        <w:tab/>
        <w:t>като има предвид, че в съобщението на Комисията от 5 февруари 2025 г., озаглавено „Всеобхватен инструментариум на ЕС за безопасна и устойчива електронна търговия“ , се подчертава, че се очаква обемът на стоките при електронната търговия, закупени от потребителите в ЕС на онлайн платформи извън ЕС, да продължи да нараства бързо, като се ползва от настоящото освобождаване от мита за пратки с ниска стойност (до 150 EUR);</w:t>
      </w:r>
    </w:p>
    <w:p w14:paraId="10E30C23" w14:textId="77777777" w:rsidR="00B23AA6" w:rsidRPr="004E2488" w:rsidRDefault="00B23AA6" w:rsidP="00B23AA6">
      <w:pPr>
        <w:pStyle w:val="Normal12a24b"/>
      </w:pPr>
      <w:r w:rsidRPr="004E2488">
        <w:rPr>
          <w:rStyle w:val="BoldItalic"/>
        </w:rPr>
        <w:t>Рязкото увеличаване на несъответстващите на изискванията стоки при електронната търговия</w:t>
      </w:r>
    </w:p>
    <w:p w14:paraId="71555F59" w14:textId="77777777" w:rsidR="00B23AA6" w:rsidRPr="004E2488" w:rsidRDefault="00B23AA6" w:rsidP="00B23AA6">
      <w:pPr>
        <w:pStyle w:val="NormalHanging12a"/>
        <w:rPr>
          <w:szCs w:val="24"/>
        </w:rPr>
      </w:pPr>
      <w:r w:rsidRPr="004E2488">
        <w:t>1.</w:t>
      </w:r>
      <w:r w:rsidRPr="004E2488">
        <w:tab/>
        <w:t xml:space="preserve">подчертава все по-големия брой покупки, извършвани от потребители от ЕС на онлайн платформи извън ЕС в рамките на модела „дружество – потребител“ и нововъзникващите модели „производител – потребител“ и „продажби директно на потребителите“; подчертава, както е описано в доклада на Лета относно бъдещето </w:t>
      </w:r>
      <w:r w:rsidRPr="004E2488">
        <w:lastRenderedPageBreak/>
        <w:t>на единния пазар</w:t>
      </w:r>
      <w:r w:rsidRPr="004E2488">
        <w:rPr>
          <w:vertAlign w:val="superscript"/>
        </w:rPr>
        <w:footnoteReference w:id="10"/>
      </w:r>
      <w:r w:rsidRPr="004E2488">
        <w:t>, че разпространението на вредни продукти на единния пазар се увеличава и че потребителите в ЕС разхищават 19,3 милиарда евро годишно за покупки на опасни продукти, които могат да доведат до наранявания и които са в ущърб на нашите икономики;</w:t>
      </w:r>
    </w:p>
    <w:p w14:paraId="7337C1DB" w14:textId="77777777" w:rsidR="00B23AA6" w:rsidRPr="004E2488" w:rsidRDefault="00B23AA6" w:rsidP="00B23AA6">
      <w:pPr>
        <w:pStyle w:val="NormalHanging12a"/>
        <w:rPr>
          <w:szCs w:val="24"/>
        </w:rPr>
      </w:pPr>
      <w:r w:rsidRPr="004E2488">
        <w:t>2.</w:t>
      </w:r>
      <w:r w:rsidRPr="004E2488">
        <w:tab/>
        <w:t>отбелязва, че през 2024 г. в ЕС са внесени 4,6 милиарда артикула при електронна търговия в рамките на прага за освобождаване при стойност до 150 евро, като 91% от тях са с произход от Китай, което възлиза на до 12 милиона малки артикула дневно в рамките на електронната търговия, като това е почти два пъти повече от отчетения брой през 2023 г. (2,4 милиарда) и над три пъти повече от броя през 2022 г. (1,4 милиарда); отбелязва, че това увеличение е задълбочило предизвикателствата, свързани със спазването на изискванията, особено по отношение на безопасността на продуктите, и че органите за надзор на пазара и независимите разследвания съобщават за тревожни нива на неспазване на изискванията;</w:t>
      </w:r>
    </w:p>
    <w:p w14:paraId="3D14D762" w14:textId="77777777" w:rsidR="00B23AA6" w:rsidRPr="004E2488" w:rsidRDefault="00B23AA6" w:rsidP="00B23AA6">
      <w:pPr>
        <w:pStyle w:val="NormalHanging12a"/>
        <w:rPr>
          <w:szCs w:val="24"/>
        </w:rPr>
      </w:pPr>
      <w:r w:rsidRPr="004E2488">
        <w:t>3.</w:t>
      </w:r>
      <w:r w:rsidRPr="004E2488">
        <w:tab/>
        <w:t>подчертава, че повечето опасни и незаконни продукти се изпращат в ЕС в големи количества индивидуални и често малки пратки, продавани на потребители в ЕС чрез онлайн платформи от държави извън ЕС, по-специално Китай; подчертава, че контролът върху такива продукти е труден, по-специално за митническите органи на входните пунктове, които са разположени предимно на големи пристанища и логистични летища за електронна търговия; подчертава, че това прави почти невъзможно спирането на влизането на такива продукти в ЕС и затруднява все повече органите за надзор на пазара да откриват и отстраняват такива продукти от вътрешния пазар, а органите за защита на потребителите – да направят това, след като продуктите достигнат до потребителите в ЕС;</w:t>
      </w:r>
    </w:p>
    <w:p w14:paraId="6397A8EF" w14:textId="77777777" w:rsidR="00B23AA6" w:rsidRPr="004E2488" w:rsidRDefault="00B23AA6" w:rsidP="00B23AA6">
      <w:pPr>
        <w:pStyle w:val="NormalHanging12a"/>
        <w:rPr>
          <w:szCs w:val="24"/>
        </w:rPr>
      </w:pPr>
      <w:r w:rsidRPr="004E2488">
        <w:t>4.</w:t>
      </w:r>
      <w:r w:rsidRPr="004E2488">
        <w:tab/>
        <w:t xml:space="preserve">изтъква, че бързият растеж на електронната търговия има значителни последици за околната среда поради проблеми като увеличаване на отпадъците от опаковки и по-голям въглероден отпечатък от нискокачествени продукти с кратък жизнен цикъл и тяхното транспортиране, както и проблеми с управлението на отпадъците и </w:t>
      </w:r>
      <w:proofErr w:type="spellStart"/>
      <w:r w:rsidRPr="004E2488">
        <w:t>нерециклируемите</w:t>
      </w:r>
      <w:proofErr w:type="spellEnd"/>
      <w:r w:rsidRPr="004E2488">
        <w:t xml:space="preserve"> материали; подчертава в тази връзка необходимостта да се гарантира спазването на законодателството в областта на околната среда и да се насърчават устойчиви начини на потребление;</w:t>
      </w:r>
    </w:p>
    <w:p w14:paraId="4C38CCF6" w14:textId="77777777" w:rsidR="00B23AA6" w:rsidRPr="004E2488" w:rsidRDefault="00B23AA6" w:rsidP="00B23AA6">
      <w:pPr>
        <w:pStyle w:val="NormalHanging12a"/>
      </w:pPr>
      <w:r w:rsidRPr="004E2488">
        <w:t>5.</w:t>
      </w:r>
      <w:r w:rsidRPr="004E2488">
        <w:tab/>
        <w:t>подчертава, че някои онлайн места за търговия извън ЕС са обвинявани за използване на принудителен труд; подчертава в тази връзка, че Регламент (ЕС) 2024/3015 забранява влизането на пазара на ЕС на продукти, произведени с принудителен труд, и че той трябва да се изпълнява ефективно, след като започне да се прилага, включително за онлайн продажби;</w:t>
      </w:r>
    </w:p>
    <w:p w14:paraId="3A1BE809" w14:textId="77777777" w:rsidR="00B23AA6" w:rsidRPr="004E2488" w:rsidRDefault="00B23AA6" w:rsidP="00B23AA6">
      <w:pPr>
        <w:pStyle w:val="NormalHanging12a"/>
      </w:pPr>
      <w:r w:rsidRPr="004E2488">
        <w:lastRenderedPageBreak/>
        <w:t>6.</w:t>
      </w:r>
      <w:r w:rsidRPr="004E2488">
        <w:tab/>
        <w:t>отбелязва, че на 1 декември 2025 г. ще влезе в сила Регламент (ЕС) 2023/2411</w:t>
      </w:r>
      <w:r w:rsidRPr="004E2488">
        <w:rPr>
          <w:rStyle w:val="FootnoteReference"/>
        </w:rPr>
        <w:footnoteReference w:id="11"/>
      </w:r>
      <w:r w:rsidRPr="004E2488">
        <w:t xml:space="preserve"> относно защитата на географските указания за занаятчийски и промишлени продукти; отбелязва, че има опасност географските указания да останат неефективни, ако не са придружени от подходящо насърчаване и защита, особено по отношение на пазарите на държави извън ЕС; поради това призовава Комисията, заедно с митническите органи на държавите членки, да засили проверките, насочени към конфискуване на продуктите, които нарушават правилата за географските указания;</w:t>
      </w:r>
    </w:p>
    <w:p w14:paraId="5BA185F9" w14:textId="77777777" w:rsidR="00B23AA6" w:rsidRPr="004E2488" w:rsidRDefault="00B23AA6" w:rsidP="00B23AA6">
      <w:pPr>
        <w:pStyle w:val="NormalHanging12a"/>
      </w:pPr>
      <w:r w:rsidRPr="004E2488">
        <w:t>7.</w:t>
      </w:r>
      <w:r w:rsidRPr="004E2488">
        <w:tab/>
        <w:t>изразява загриженост, че преобладаващият бизнес модел на някои големи онлайн платформи извън ЕС се основава на бързото и широкомащабно производство и разпространение на продукти на бързата и свръхбързата мода, като се дава приоритет на бързината и ниските разходи пред устойчивостта, безопасността и качеството; изразява съжаление, че много такива продукти не са в съответствие със законодателството на ЕС, но въпреки това продавачите, които не спазват изискванията, често избягват ефективното правоприлагане или санкции; подчертава, че подобни практики представляват форма на социален и екологичен дъмпинг, който води до трайно и несправедливо конкурентно предимство за тези платформи извън ЕС, оказвайки несъразмерно голям натиск върху европейските предприятия, по-специално МСП и микропредприятията; подчертава, че това възпрепятства развитието на сектора на текстила и облеклото в ЕС;</w:t>
      </w:r>
    </w:p>
    <w:p w14:paraId="5E9D8017" w14:textId="77777777" w:rsidR="00B23AA6" w:rsidRPr="004E2488" w:rsidRDefault="00B23AA6" w:rsidP="00B23AA6">
      <w:pPr>
        <w:pStyle w:val="Normal12a24b"/>
      </w:pPr>
      <w:r w:rsidRPr="004E2488">
        <w:rPr>
          <w:rStyle w:val="BoldItalic"/>
        </w:rPr>
        <w:t>Кръстопътища на електронната търговия: отговор на предизвикателствата, свързани със спазването на изискванията</w:t>
      </w:r>
    </w:p>
    <w:p w14:paraId="5B47DC01" w14:textId="77777777" w:rsidR="00B23AA6" w:rsidRPr="004E2488" w:rsidRDefault="00B23AA6" w:rsidP="00B23AA6">
      <w:pPr>
        <w:pStyle w:val="NormalHanging12a"/>
      </w:pPr>
      <w:r w:rsidRPr="004E2488">
        <w:t>8.</w:t>
      </w:r>
      <w:r w:rsidRPr="004E2488">
        <w:tab/>
        <w:t>отчита, че ЕС е създал стабилна рамка за съответствие, която се прилага и за продуктите, продавани онлайн, но че за пълното прилагане на тази рамка все още са необходими по-големи усилия; изтъква в тази връзка значението на Акта за цифровите услуги, Акта за цифровите пазари, Регламента относно надзора на пазара, Регламента относно общата безопасност на продуктите, правилата за защита на потребителите и различните законодателни актове в областта на продуктите и околната среда; подчертава, че органите за надзор на пазара са изправени пред предизвикателства при прилагането на тези рамки по отношение на онлайн платформите – както е видно от наскоро публикувания от Комисията доклад за оценка на прилагането на член 4 от Регламент (ЕС) 2019/1020, и по-специално в случаите, когато големи количества от даден продукт се продават на малки пратки; счита, че цялостното прилагане на Акта за цифровите услуги и други регулаторни разпоредби от достиженията на правото на ЕС е необходимо за борба с опасните, несъответстващите на изискванията и фалшифицираните продукти;</w:t>
      </w:r>
    </w:p>
    <w:p w14:paraId="6ECFF08C" w14:textId="77777777" w:rsidR="00B23AA6" w:rsidRPr="004E2488" w:rsidRDefault="00B23AA6" w:rsidP="00B23AA6">
      <w:pPr>
        <w:pStyle w:val="NormalHanging12a"/>
      </w:pPr>
      <w:r w:rsidRPr="004E2488">
        <w:t>9.</w:t>
      </w:r>
      <w:r w:rsidRPr="004E2488">
        <w:tab/>
        <w:t>подчертава необходимостта от прилагане на съществуващата рамка за съответствие и от оценка на тези мерки преди разглеждането на ново законодателство, включително нови задължения за онлайн местата за търговия;</w:t>
      </w:r>
    </w:p>
    <w:p w14:paraId="3A4C1110" w14:textId="77777777" w:rsidR="00B23AA6" w:rsidRPr="004E2488" w:rsidRDefault="00B23AA6" w:rsidP="00B23AA6">
      <w:pPr>
        <w:pStyle w:val="NormalHanging12a"/>
        <w:rPr>
          <w:szCs w:val="24"/>
        </w:rPr>
      </w:pPr>
      <w:r w:rsidRPr="004E2488">
        <w:lastRenderedPageBreak/>
        <w:t>10.</w:t>
      </w:r>
      <w:r w:rsidRPr="004E2488">
        <w:tab/>
        <w:t>отбелязва, че провеждането на физически проверки е особено непрактично за малките пратки, изпращани пряко на крайния потребител, и че поради това митническите органи ще продължат да разчитат основно на проверката на документация, а не на проверки на самите продукти;</w:t>
      </w:r>
    </w:p>
    <w:p w14:paraId="1337635D" w14:textId="77777777" w:rsidR="00B23AA6" w:rsidRPr="004E2488" w:rsidRDefault="00B23AA6" w:rsidP="00B23AA6">
      <w:pPr>
        <w:pStyle w:val="NormalHanging12a"/>
      </w:pPr>
      <w:r w:rsidRPr="004E2488">
        <w:t>11.</w:t>
      </w:r>
      <w:r w:rsidRPr="004E2488">
        <w:tab/>
        <w:t>подчертава съществените пропуски в правоприлагането, причинени от ограничените ресурси и недостатъчното равнище на цифровизация на митническите органи и органите за надзор на пазара, липсата на човешки ресурси и хармонизирани и оперативно съвместими технологични инструменти в отделните държави членки, както и недостатъчния обмен на данни и цялостната липса на сътрудничество и координация между митническите органи, платформите и органите за надзор на пазара; признава, че физическите проверки по своята същност са неизбежно ограничени предвид обема на пратките в рамките на електронната търговия, влизащи в ЕС;</w:t>
      </w:r>
    </w:p>
    <w:p w14:paraId="4EEBA460" w14:textId="77777777" w:rsidR="00B23AA6" w:rsidRPr="004E2488" w:rsidRDefault="00B23AA6" w:rsidP="00B23AA6">
      <w:pPr>
        <w:pStyle w:val="NormalHanging12a"/>
        <w:rPr>
          <w:szCs w:val="24"/>
        </w:rPr>
      </w:pPr>
      <w:r w:rsidRPr="004E2488">
        <w:t>12.</w:t>
      </w:r>
      <w:r w:rsidRPr="004E2488">
        <w:tab/>
        <w:t>счита, че проучванията от типа „таен клиент“ от страна на органите за надзор на пазара, предложени в съобщението на Комисията относно електронната търговия, са важен инструмент за проверка на съответствието на продуктите, продавани чрез онлайн платформи; подчертава обаче, че ако продавачите се намират извън ЕС или не могат да бъдат проследени, или за отговорните лица са използвани фалшиви адреси, няма отговорен правен субект и е невъзможно за органите за надзор на пазара да предприемат действия за правоприлагане;</w:t>
      </w:r>
    </w:p>
    <w:p w14:paraId="410DDC8E" w14:textId="77777777" w:rsidR="00B23AA6" w:rsidRPr="004E2488" w:rsidRDefault="00B23AA6" w:rsidP="00B23AA6">
      <w:pPr>
        <w:pStyle w:val="NormalHanging12a"/>
        <w:rPr>
          <w:szCs w:val="24"/>
        </w:rPr>
      </w:pPr>
      <w:r w:rsidRPr="004E2488">
        <w:t>13.</w:t>
      </w:r>
      <w:r w:rsidRPr="004E2488">
        <w:tab/>
        <w:t>счита, че производителите и търговците на дребно от ЕС, и по-специално МСП, са изправени пред нелоялна конкуренция, дължаща се на платформи извън ЕС, които дават възможност на производители извън ЕС и техните несъответстващи на изискванията продукти лесно да навлязат на пазара на ЕС, като заобикалят приложимите разпоредби и стандарти; подчертава, че докато производителите от ЕС трябва да спазват строги правила за безопасност, опазване на околната среда и качество, много продукти с ниска стойност, продавани чрез тези платформи, избягват митническите проверки и проверките в рамките на надзора на пазара поради начина, по който се транспортират до ЕС; изразява загриженост, че някои от тези платформи и търговци извън ЕС умишлено се възползват от тази „вратичка“ и позволяват вносни продукти, които не отговарят на изискванията, да навлязат на единния пазар на ЕС без проверка, което поставя европейските производители, търговци на едро и търговци на дребно в неблагоприятно положение, понижава тяхната конкурентоспособност и пречи на способността им за иновации, като това може да доведе до затварянето на много микропредприятия и малки предприятия;</w:t>
      </w:r>
    </w:p>
    <w:p w14:paraId="4BD2F9B8" w14:textId="77777777" w:rsidR="00B23AA6" w:rsidRPr="004E2488" w:rsidRDefault="00B23AA6" w:rsidP="00B23AA6">
      <w:pPr>
        <w:pStyle w:val="NormalHanging12a"/>
        <w:rPr>
          <w:szCs w:val="24"/>
        </w:rPr>
      </w:pPr>
      <w:r w:rsidRPr="004E2488">
        <w:t>14.</w:t>
      </w:r>
      <w:r w:rsidRPr="004E2488">
        <w:tab/>
        <w:t>подчертава, че производителите от ЕС фактически подлежат на значително по-строг надзор на пазара в сравнение с производителите извън ЕС, чиито стоки достигат до потребителите в ЕС чрез платформи за електронна търговия; изразява дълбоко съжаление във връзка със загубата на пазарен дял и работни места, причинена от притока на по-евтини продукти, които не отговарят на европейските стандарти, по-специално по отношение на безопасността и качеството, както и на други незаконни продукти, изпращани от държави извън ЕС, което засяга пряко МСП от ЕС, а също и силата на дружествата от ЕС и техния капацитет да инвестират и поддържат рентабилност;</w:t>
      </w:r>
    </w:p>
    <w:p w14:paraId="77C2E247" w14:textId="77777777" w:rsidR="00B23AA6" w:rsidRPr="004E2488" w:rsidRDefault="00B23AA6" w:rsidP="00B23AA6">
      <w:pPr>
        <w:pStyle w:val="NormalHanging12a"/>
      </w:pPr>
      <w:r w:rsidRPr="004E2488">
        <w:lastRenderedPageBreak/>
        <w:t>15.</w:t>
      </w:r>
      <w:r w:rsidRPr="004E2488">
        <w:tab/>
        <w:t>подчертава разликата между онлайн платформите, действащи като посредници, и тези, които действат като вносители; отбелязва по-специално, че платформите на ЕС за електронна търговия, които действат като вносители, трябва да посрещат разходи за привеждане в съответствие, които увеличават цените им на дребно с до 40%, и това се отразява на крайните потребители; подчертава, че установените в ЕС вносители се сблъскват с по-строги задължения и по-високи разходи, докато посредническите платформи дават възможност на продавачите от държави извън ЕС да изпращат продукти директно до потребителите в ЕС, без да се осигурява спазване на изискванията;</w:t>
      </w:r>
    </w:p>
    <w:p w14:paraId="0A6FC737" w14:textId="77777777" w:rsidR="00B23AA6" w:rsidRPr="004E2488" w:rsidRDefault="00B23AA6" w:rsidP="00B23AA6">
      <w:pPr>
        <w:pStyle w:val="NormalHanging12a"/>
        <w:rPr>
          <w:szCs w:val="24"/>
        </w:rPr>
      </w:pPr>
      <w:r w:rsidRPr="004E2488">
        <w:t>16.</w:t>
      </w:r>
      <w:r w:rsidRPr="004E2488">
        <w:tab/>
        <w:t>признава, че за платформите за електронна търговия се прилагат различни задължения съгласно Акта за цифровите услуги и Регламента относно общата безопасност на продуктите, и че при определени обстоятелства те могат да бъдат подведени под отговорност съгласно Директивата относно отговорността за вреди от дефекти на продукти</w:t>
      </w:r>
      <w:r w:rsidRPr="004E2488">
        <w:rPr>
          <w:rStyle w:val="FootnoteReference"/>
        </w:rPr>
        <w:footnoteReference w:id="12"/>
      </w:r>
      <w:r w:rsidRPr="004E2488">
        <w:t>; припомня във връзка с това, че онлайн платформите носят отговорност, ако не спазват специфичните си задължения като посредници; счита обаче, че във всички случаи трябва да се гарантира правна защита на потребителите; подчертава в тази връзка, че когато производителят е установен извън ЕС и не може да бъде установен вносител, упълномощен представител или доставчик на услуги за обработка на поръчки, онлайн местата за търговия следва да предоставят подходящи и пропорционални средства за правна защита на потребителите, ако не спазват Акта за цифровите услуги, по-специално член 30 и член 31, или член 22 от Регламента относно общата безопасност на продуктите;</w:t>
      </w:r>
    </w:p>
    <w:p w14:paraId="7D3A418C" w14:textId="77777777" w:rsidR="00B23AA6" w:rsidRPr="004E2488" w:rsidRDefault="00B23AA6" w:rsidP="00B23AA6">
      <w:pPr>
        <w:pStyle w:val="NormalHanging12a"/>
        <w:rPr>
          <w:szCs w:val="24"/>
        </w:rPr>
      </w:pPr>
      <w:r w:rsidRPr="004E2488">
        <w:t>17.</w:t>
      </w:r>
      <w:r w:rsidRPr="004E2488">
        <w:tab/>
        <w:t xml:space="preserve">подчертава, че от онлайн местата за търговия се изисква да проследяват своите търговци („познавай своя бизнес клиент“) съгласно Акта за цифровите услуги, което следва да възпира търговците да продават опасни или фалшифицирани стоки, и те са задължени да съблюдават правилата за „спазване при проектирането“ с цел увеличаване на цялостната проследимост; подчертава липсата на отчетност на онлайн платформите в случай на </w:t>
      </w:r>
      <w:proofErr w:type="spellStart"/>
      <w:r w:rsidRPr="004E2488">
        <w:t>непроследими</w:t>
      </w:r>
      <w:proofErr w:type="spellEnd"/>
      <w:r w:rsidRPr="004E2488">
        <w:t xml:space="preserve"> продавачи или продавачи, установени извън юрисдикцията на ЕС; отбелязва значителното равнище на неспазване на принципа „познавай своя бизнес клиент“ и увеличаването на новите практики за продажба чрез платформите на социалните медии, където това задължение не се прилага ефективно, което позволява на продавачите извън ЕС да предлагат директно на потребителите от ЕС несъответстващи на изискванията стоки; поради това подчертава, че е необходимо онлайн платформите да полагат максимални усилия и да гарантират пълна проследимост на продавачите и продуктите, за да се предотврати появата на продукти без проверени данни за тяхното съответствие с изискванията;</w:t>
      </w:r>
    </w:p>
    <w:p w14:paraId="3EF19D62" w14:textId="77777777" w:rsidR="00B23AA6" w:rsidRPr="004E2488" w:rsidRDefault="00B23AA6" w:rsidP="00B23AA6">
      <w:pPr>
        <w:pStyle w:val="NormalHanging12a"/>
      </w:pPr>
      <w:r w:rsidRPr="004E2488">
        <w:t>18.</w:t>
      </w:r>
      <w:r w:rsidRPr="004E2488">
        <w:tab/>
        <w:t xml:space="preserve">подчертава факта, че информацията за отговорен икономически оператор в ЕС съгласно Регламента относно общата безопасност на продуктите, който оператор действа от името на търговец или платформа извън ЕС, често е погрешна или липсва; отбелязва, че дори когато тази информация е налична, отговорното лице в ЕС може да не носи отговорност, особено когато отговорното лице е упълномощен представител; изразява загриженост, че органите за надзор на </w:t>
      </w:r>
      <w:r w:rsidRPr="004E2488">
        <w:lastRenderedPageBreak/>
        <w:t>пазара съобщават за значителни затруднения при осъществяването на контакт с тези търговци извън ЕС и съблюдаването на правото на ЕС, а когато осъществят контакт, налагането на санкции срещу тях често е невъзможно;</w:t>
      </w:r>
    </w:p>
    <w:p w14:paraId="562F8673" w14:textId="77777777" w:rsidR="00B23AA6" w:rsidRPr="004E2488" w:rsidRDefault="00B23AA6" w:rsidP="00B23AA6">
      <w:pPr>
        <w:pStyle w:val="NormalHanging12a"/>
        <w:rPr>
          <w:szCs w:val="24"/>
        </w:rPr>
      </w:pPr>
      <w:r w:rsidRPr="004E2488">
        <w:t>19.</w:t>
      </w:r>
      <w:r w:rsidRPr="004E2488">
        <w:tab/>
        <w:t>счита, че създаването на база данни на отговорните лица в ЕС, за да се даде възможност за кръстосани проверки за удостоверяване в реално време, заедно с установяването на процедура по акредитация за тях, би могло да повиши прозрачността и да засили отчетността по цялата верига на доставки при вноса чрез електронна търговия;</w:t>
      </w:r>
    </w:p>
    <w:p w14:paraId="7845DF69" w14:textId="77777777" w:rsidR="00B23AA6" w:rsidRPr="004E2488" w:rsidRDefault="00B23AA6" w:rsidP="00B23AA6">
      <w:pPr>
        <w:pStyle w:val="NormalHanging12a"/>
        <w:rPr>
          <w:szCs w:val="24"/>
        </w:rPr>
      </w:pPr>
      <w:r w:rsidRPr="004E2488">
        <w:t>20.</w:t>
      </w:r>
      <w:r w:rsidRPr="004E2488">
        <w:tab/>
        <w:t>подкрепя действията за научни изследвания и правоприлагане на потребителските организации и започването на разследвания от органите за защита на потребителите в ЕС – в рамките на Мрежата за сътрудничество в областта на защитата на потребителите (СОЗП) и съгласно Акта за цифровите услуги – срещу онлайн платформи извън ЕС за потенциални нарушения на законодателството на ЕС за безопасност на продуктите и защита на потребителите; изразява загриженост относно бавния напредък на тези разследвания и призовава за бързото им приключване; подчертава, че е необходимо правоприлагането да има възпиращ характер, който да включва налагането на подходящи санкции, за да се гарантира спазването на изискванията; подчертава в тази връзка, че на национално и ЕС равнище е необходимо да се обърне специално внимание за справяне с повтарящите се случаи на неспазване, които може да са били установени при предишни проверки на сходни продукти, включително като се прилагат временни мерки; подчертава, че изпълнението и ефективността на ангажиментите, получени от онлайн платформите, следва да бъдат наблюдавани отблизо;</w:t>
      </w:r>
    </w:p>
    <w:p w14:paraId="2B98C618" w14:textId="77777777" w:rsidR="00B23AA6" w:rsidRPr="004E2488" w:rsidRDefault="00B23AA6" w:rsidP="00B23AA6">
      <w:pPr>
        <w:pStyle w:val="NormalHanging12a"/>
      </w:pPr>
      <w:r w:rsidRPr="004E2488">
        <w:t>21.</w:t>
      </w:r>
      <w:r w:rsidRPr="004E2488">
        <w:tab/>
        <w:t>настоятелно призовава Комисията и органите за сътрудничество за защита на потребителите да започнат структуриран диалог в областта на правоприлагането с представителите на потребителите, търговците и другите заинтересовани страни, за да идентифицират системните нарушения, които изискват засилено правоприлагане;</w:t>
      </w:r>
    </w:p>
    <w:p w14:paraId="1EF43F71" w14:textId="77777777" w:rsidR="00B23AA6" w:rsidRPr="004E2488" w:rsidRDefault="00B23AA6" w:rsidP="00B23AA6">
      <w:pPr>
        <w:pStyle w:val="NormalHanging12a"/>
        <w:rPr>
          <w:szCs w:val="24"/>
        </w:rPr>
      </w:pPr>
      <w:r w:rsidRPr="004E2488">
        <w:t>22.</w:t>
      </w:r>
      <w:r w:rsidRPr="004E2488">
        <w:tab/>
        <w:t>отбелязва, че за органите на ЕС е сложно да прилагат законодателството на ЕС, когато икономическите оператори са установени извън ЕС; подчертава, че е необходимо да се засилят споразуменията за международно сътрудничество, по-специално с основните износители на електронна търговия;</w:t>
      </w:r>
    </w:p>
    <w:p w14:paraId="1B3298C9" w14:textId="77777777" w:rsidR="00B23AA6" w:rsidRPr="004E2488" w:rsidRDefault="00B23AA6" w:rsidP="00B23AA6">
      <w:pPr>
        <w:pStyle w:val="Normal12a24b"/>
      </w:pPr>
      <w:r w:rsidRPr="004E2488">
        <w:rPr>
          <w:rStyle w:val="BoldItalic"/>
        </w:rPr>
        <w:t>Строги политики за правоприлагане с цел борба с несъответстващите на изискванията продукти при електронна търговия</w:t>
      </w:r>
    </w:p>
    <w:p w14:paraId="7F1C1C79" w14:textId="77777777" w:rsidR="00B23AA6" w:rsidRPr="004E2488" w:rsidRDefault="00B23AA6" w:rsidP="00B23AA6">
      <w:pPr>
        <w:pStyle w:val="Normal12a24b"/>
        <w:widowControl/>
      </w:pPr>
      <w:r w:rsidRPr="004E2488">
        <w:rPr>
          <w:rStyle w:val="Italic"/>
        </w:rPr>
        <w:t>Спешна необходимост от краткосрочни мерки</w:t>
      </w:r>
    </w:p>
    <w:p w14:paraId="747D5CC4" w14:textId="77777777" w:rsidR="00B23AA6" w:rsidRPr="004E2488" w:rsidRDefault="00B23AA6" w:rsidP="00B23AA6">
      <w:pPr>
        <w:pStyle w:val="NormalHanging12a"/>
        <w:rPr>
          <w:szCs w:val="24"/>
        </w:rPr>
      </w:pPr>
      <w:r w:rsidRPr="004E2488">
        <w:t>23.</w:t>
      </w:r>
      <w:r w:rsidRPr="004E2488">
        <w:tab/>
        <w:t xml:space="preserve">настоятелно призовава държавите членки да увеличат финансирането и ресурсите за органите за надзор на пазара, митническите органи, органите за защита на потребителите и органите за цифровите услуги, така че те да могат да се справят по-добре с предизвикателствата, които пораждат опасните и незаконните продукти; отправя искане към Комисията да подкрепи засиленото сътрудничество и обмена на информация и данни между компетентните органи, включително органите за надзор на пазара и митническите органи, и подчертава, че </w:t>
      </w:r>
      <w:r w:rsidRPr="004E2488">
        <w:lastRenderedPageBreak/>
        <w:t xml:space="preserve">сътрудничеството между различните сектори следва да бъде подобрено; настоятелно призовава държавите членки да гарантират ефективна координация между различните органи за надзор на пазара на своите територии и да укрепят правомощията на единните служби за връзка; изтъква, че държавите членки и ЕС носят отговорността да гарантират, че органите за надзор на пазара и митническите органи разполагат с необходимите ресурси и са обучени и оборудвани, за да имат капацитета да изпълняват своята мисия, включително че имат подходящи правомощия за разследване; </w:t>
      </w:r>
    </w:p>
    <w:p w14:paraId="085CD380" w14:textId="77777777" w:rsidR="00B23AA6" w:rsidRPr="004E2488" w:rsidRDefault="00B23AA6" w:rsidP="00B23AA6">
      <w:pPr>
        <w:pStyle w:val="NormalHanging12a"/>
        <w:rPr>
          <w:szCs w:val="24"/>
        </w:rPr>
      </w:pPr>
      <w:r w:rsidRPr="004E2488">
        <w:t>24.</w:t>
      </w:r>
      <w:r w:rsidRPr="004E2488">
        <w:tab/>
        <w:t>призовава органите за надзор на пазара да инвестират повече ресурси в съвместни или координирани дейности с другите държави членки или със съответните органи, и по-специално за да се увеличи броят и честотата на координираните действия за правоприлагане, като например мащабните проверки, проучванията от типа „таен клиент“ и партньорските проверки; настоятелно призовава съответните органи да участват активно в тези дейности, а Комисията да използва пълноценно своите правомощия за координация;</w:t>
      </w:r>
    </w:p>
    <w:p w14:paraId="6C2A988F" w14:textId="77777777" w:rsidR="00B23AA6" w:rsidRPr="004E2488" w:rsidRDefault="00B23AA6" w:rsidP="00B23AA6">
      <w:pPr>
        <w:pStyle w:val="NormalHanging12a"/>
      </w:pPr>
      <w:r w:rsidRPr="004E2488">
        <w:t>25.</w:t>
      </w:r>
      <w:r w:rsidRPr="004E2488">
        <w:tab/>
        <w:t>приветства намерението на Комисията да координира контрола на митническите органи и органите за надзор на пазара в рамките на приоритетни области на контрол, съсредоточени върху продукти от държави извън ЕС, които представляват значителни рискове за безопасността и риск от несъответствие; подчертава, че тази инициатива следва да генерира ценни данни за профила на риска, които биха могли да се използват за допълнителни дейности по правоприлагане и санкции за участници, които не спазват изискванията; призовава Комисията да засили сътрудничеството в рамките на Мрежата на Съюза за съответствието на продуктите и да увеличи финансирането от ЕС за митническо сътрудничество в рамките на програма „Митници“ и за дейности по надзор на пазара в рамките на програма „Единен пазар“; подчертава, че липсата на подходящи ресурси е възпрепятствала ефективното въвеждане на инструменти, например широкото използване на дейности по тайно пазаруване от органите за надзор на пазара или използването на доверени податели на сигнали съгласно Акта за цифровите услуги; посочва на Комисията, че в допълнение към съществуващите съоръжения за изпитване на играчки и радиооборудване спешно са необходими повече съоръжения за изпитване на стоки в рамките на електронната търговия, като например батерии, текстил, козметика, електрически уреди и други продукти; отправя искане към държавите членки да предоставят достатъчно ресурси за гарантиране на по-голям капацитет на структурите за извършване на изпитвания, както и да увеличат инвестициите в оборудване за откриване на опасни и незаконни стоки;</w:t>
      </w:r>
    </w:p>
    <w:p w14:paraId="392B9598" w14:textId="77777777" w:rsidR="00B23AA6" w:rsidRPr="004E2488" w:rsidRDefault="00B23AA6" w:rsidP="00B23AA6">
      <w:pPr>
        <w:pStyle w:val="NormalHanging12a"/>
        <w:rPr>
          <w:szCs w:val="24"/>
        </w:rPr>
      </w:pPr>
      <w:r w:rsidRPr="004E2488">
        <w:t>26.</w:t>
      </w:r>
      <w:r w:rsidRPr="004E2488">
        <w:tab/>
        <w:t>подчертава, че от съображения, свързани със сигурността и данните, държавите членки следва да ограничат дейността на високорисковите доставчици в своята критична инфраструктура и системи за сигурност на границите, включително за доставките на оборудване за проверка за сигурност и сканиране на товари, използвано на летищата и пристанищата;</w:t>
      </w:r>
    </w:p>
    <w:p w14:paraId="5816B492" w14:textId="77777777" w:rsidR="00B23AA6" w:rsidRPr="004E2488" w:rsidRDefault="00B23AA6" w:rsidP="00B23AA6">
      <w:pPr>
        <w:pStyle w:val="NormalHanging12a"/>
      </w:pPr>
      <w:r w:rsidRPr="004E2488">
        <w:t>27.</w:t>
      </w:r>
      <w:r w:rsidRPr="004E2488">
        <w:tab/>
        <w:t xml:space="preserve">подчертава факта, че съгласно Регламента относно общата безопасност на продуктите онлайн местата за търговия са задължени да създадат единно звено за контакт, да се регистрират на портала Safety </w:t>
      </w:r>
      <w:proofErr w:type="spellStart"/>
      <w:r w:rsidRPr="004E2488">
        <w:t>Gate</w:t>
      </w:r>
      <w:proofErr w:type="spellEnd"/>
      <w:r w:rsidRPr="004E2488">
        <w:t xml:space="preserve"> и да посочат информацията относно своето единно звено за контакт на портала; отправя искане към Комисията ефективно да прилага тези и други задължения на онлайн местата за </w:t>
      </w:r>
      <w:r w:rsidRPr="004E2488">
        <w:lastRenderedPageBreak/>
        <w:t>търговия и да подкрепя органите за надзор на пазара на държавите членки при прилагането на Регламента относно общата безопасност на продуктите и Регламента относно надзора на пазара; отбелязва, че с Регламента относно общата безопасност на продуктите се въвежда директен обмен на данни между правоприлагащите органи и платформите за електронна търговия; счита обаче, че за да може системата да работи ефективно, следва да се осигури пряка връзка с митническите органи;</w:t>
      </w:r>
    </w:p>
    <w:p w14:paraId="7A1A2266" w14:textId="77777777" w:rsidR="00B23AA6" w:rsidRPr="004E2488" w:rsidRDefault="00B23AA6" w:rsidP="00B23AA6">
      <w:pPr>
        <w:pStyle w:val="NormalHanging12a"/>
        <w:rPr>
          <w:szCs w:val="24"/>
        </w:rPr>
      </w:pPr>
      <w:r w:rsidRPr="004E2488">
        <w:t>28.</w:t>
      </w:r>
      <w:r w:rsidRPr="004E2488">
        <w:tab/>
        <w:t xml:space="preserve">отбелязва, че настоящата система е по-скоро реактивна, а не превантивна, тъй като органите се намесват едва след като опасните продукти са били продадени на потребителите, вместо да предотвратят тяхната дистрибуция; припомня, че съгласно Регламента относно общата безопасност на продуктите доставчиците на онлайн места за търговия се насърчават да проверяват продуктите в портала Safety </w:t>
      </w:r>
      <w:proofErr w:type="spellStart"/>
      <w:r w:rsidRPr="004E2488">
        <w:t>Gate</w:t>
      </w:r>
      <w:proofErr w:type="spellEnd"/>
      <w:r w:rsidRPr="004E2488">
        <w:t>, преди да ги включат в своите интерфейси; подчертава, че изпитването на случайни извадки може да бъде ефективно само ако се извършва редовно;</w:t>
      </w:r>
    </w:p>
    <w:p w14:paraId="57A68955" w14:textId="77777777" w:rsidR="00B23AA6" w:rsidRPr="004E2488" w:rsidRDefault="00B23AA6" w:rsidP="00B23AA6">
      <w:pPr>
        <w:pStyle w:val="NormalHanging12a"/>
        <w:rPr>
          <w:szCs w:val="24"/>
        </w:rPr>
      </w:pPr>
      <w:r w:rsidRPr="004E2488">
        <w:t>29.</w:t>
      </w:r>
      <w:r w:rsidRPr="004E2488">
        <w:tab/>
        <w:t>подчертава, че бързото прилагане на цифровия продуктов паспорт за редица критични продукта, продавани онлайн, е от съществено значение за засилване на прилагането на съществуващото законодателство; настоятелно призовава Комисията да представи необходимото вторично законодателство относно цифровия продуктов паспорт във възможно най-кратък срок, по-специално за текстилните изделия, играчките, козметиката, електрониката и други продукти с високи равнища на несъответствие и свързани рискове; призовава Комисията като приоритет непрекъснато да оценява изискванията, техническото проектиране и функционирането на цифровия продуктов паспорт съгласно Регламента за екопроектирането на устойчиви продукти</w:t>
      </w:r>
      <w:r w:rsidRPr="004E2488">
        <w:rPr>
          <w:vertAlign w:val="superscript"/>
        </w:rPr>
        <w:footnoteReference w:id="13"/>
      </w:r>
      <w:r w:rsidRPr="004E2488">
        <w:t>; призовава Комисията да подкрепи предприятията, по-специално микропредприятията и МСП, при изготвянето на цифровия продуктов паспорт;</w:t>
      </w:r>
    </w:p>
    <w:p w14:paraId="2AEF5979" w14:textId="77777777" w:rsidR="00B23AA6" w:rsidRPr="004E2488" w:rsidRDefault="00B23AA6" w:rsidP="00B23AA6">
      <w:pPr>
        <w:pStyle w:val="NormalHanging12a"/>
        <w:rPr>
          <w:szCs w:val="24"/>
        </w:rPr>
      </w:pPr>
      <w:r w:rsidRPr="004E2488">
        <w:t>30.</w:t>
      </w:r>
      <w:r w:rsidRPr="004E2488">
        <w:tab/>
        <w:t>предлага задължителен цифров продуктов паспорт с ранна проверка на съответствието за всички продукти, внасяни чрез електронна търговия, включително подробни данни за качеството и съответствието, който да бъде интегриран пряко в центъра за митнически данни на ЕС и да дава възможност на органите да проверяват предварително информацията за продуктите, преди те да бъдат пуснати на единния пазар;</w:t>
      </w:r>
    </w:p>
    <w:p w14:paraId="3B483765" w14:textId="77777777" w:rsidR="00B23AA6" w:rsidRPr="004E2488" w:rsidRDefault="00B23AA6" w:rsidP="00B23AA6">
      <w:pPr>
        <w:pStyle w:val="NormalHanging12a"/>
        <w:rPr>
          <w:szCs w:val="24"/>
        </w:rPr>
      </w:pPr>
      <w:r w:rsidRPr="004E2488">
        <w:t>31.</w:t>
      </w:r>
      <w:r w:rsidRPr="004E2488">
        <w:tab/>
        <w:t xml:space="preserve">настоятелно призовава държавите членки да положат значителни усилия за увеличаване на митническия контрол и подобряване на анализа на риска, тъй като откриването и отстраняването на несъответстващите на изискванията стоки може да намали вредите за потребителите в ЕС и да защити икономическите интереси на предприятията от ЕС; подчертава, че въвеждането в митническия анализ на риска на презумпция за несъответствие за стоки, идентични на тези, за които вече е установено, че не съответстват на изискванията, би могло да улесни проверките от страна на митническите органи и да подобри икономическата ефективност; подчертава, че е важно да се укрепят митническите центрове, за да бъдат по-добре </w:t>
      </w:r>
      <w:r w:rsidRPr="004E2488">
        <w:lastRenderedPageBreak/>
        <w:t xml:space="preserve">подготвени да се справят с големия обем малки пратки, които трудно се контролират чрез традиционни методи, включително със съвременни технологии за проверка, за да откриват съмнителни пратки на входните пунктове; призовава за по-строги проверки за съответствие, както и за извършване от органите на проверки на случаен принцип при </w:t>
      </w:r>
      <w:proofErr w:type="spellStart"/>
      <w:r w:rsidRPr="004E2488">
        <w:t>високотонажния</w:t>
      </w:r>
      <w:proofErr w:type="spellEnd"/>
      <w:r w:rsidRPr="004E2488">
        <w:t xml:space="preserve"> транспорт; освен това настоятелно призовава държавите членки значително да увеличат равнището на цифровизация на процедурите при внос в митническите органи с цел да се приложи действащото законодателство и да се ускорят митническите процедури, особено предвид големия брой пратки;</w:t>
      </w:r>
    </w:p>
    <w:p w14:paraId="5C81FF9F" w14:textId="77777777" w:rsidR="00B23AA6" w:rsidRPr="004E2488" w:rsidRDefault="00B23AA6" w:rsidP="00B23AA6">
      <w:pPr>
        <w:pStyle w:val="NormalHanging12a"/>
        <w:rPr>
          <w:szCs w:val="24"/>
        </w:rPr>
      </w:pPr>
      <w:r w:rsidRPr="004E2488">
        <w:t>32.</w:t>
      </w:r>
      <w:r w:rsidRPr="004E2488">
        <w:tab/>
        <w:t>подчертава, че предприятията, и по-специално МСП, спешно се нуждаят от ясни насоки от страна на Комисията за ефективното прилагане на Регламента относно общата безопасност, включително от пояснение на неговото взаимодействие с припокриващите се законодателни актове като Акта за цифровите услуги, Регламента относно надзора на пазара, Директивата относно отговорността за вреди, причинени от дефект на стока, и специфичното за сектора законодателство в областта на играчките, козметичните продукти и детергентите; призовава Комисията да издаде тези насоки преди края на първата половина на 2025 г., за да се улесни спазването на изискванията от страна на предприятията; счита, че в доклада за оценка на взаимодействието на Акта за цифровите услуги с други правни актове, който трябва да бъде изготвен до 17 ноември 2025 г., следва да се вземат предвид различното законодателство, по-специално относно съответствието на продуктите, задълженията на онлайн местата за търговия, правилата за прилагане, както и възможните бъдещи подобрения в областта на опростяването и изпълнението; призовава Комисията да направи оценка на всички възможни по-нататъшни действия, включително оценка на секторното законодателство, като това е необходимо, за да се гарантират правната предвидимост и липсата на правни пропуски или пропуски в правоприлагането, когато става въпрос за пряк внос от държави извън ЕС чрез онлайн места за търговия;</w:t>
      </w:r>
    </w:p>
    <w:p w14:paraId="0238601D" w14:textId="77777777" w:rsidR="00B23AA6" w:rsidRPr="004E2488" w:rsidRDefault="00B23AA6" w:rsidP="00B23AA6">
      <w:pPr>
        <w:pStyle w:val="NormalHanging12a"/>
        <w:rPr>
          <w:szCs w:val="24"/>
        </w:rPr>
      </w:pPr>
      <w:r w:rsidRPr="004E2488">
        <w:t>33.</w:t>
      </w:r>
      <w:r w:rsidRPr="004E2488">
        <w:tab/>
        <w:t>призовава съответните национални органи да използват пълноценно настоящия и наскоро приетия набор от инструменти за правоприлагане, по-специално във връзка с разпоредбите относно електронната търговия, определени в Регламента относно надзора на пазара, Регламента относно общата безопасност на продуктите и Акта за цифровите услуги, например разпореждания за сваляне на съдържание, забрана, ограничаване или прекратяване на предоставянето на продукти на пазара, изземване на продукти и санкции, като мерки за противодействие на увеличаването на незаконния и неотговарящ на изискванията внос от държави извън ЕС;</w:t>
      </w:r>
    </w:p>
    <w:p w14:paraId="47CBFAD9" w14:textId="77777777" w:rsidR="00B23AA6" w:rsidRPr="004E2488" w:rsidRDefault="00B23AA6" w:rsidP="00B23AA6">
      <w:pPr>
        <w:pStyle w:val="NormalHanging12a"/>
      </w:pPr>
      <w:r w:rsidRPr="004E2488">
        <w:t>34.</w:t>
      </w:r>
      <w:r w:rsidRPr="004E2488">
        <w:tab/>
        <w:t xml:space="preserve">подчертава, че предприетите регулаторни принудителни мерки срещу </w:t>
      </w:r>
      <w:proofErr w:type="spellStart"/>
      <w:r w:rsidRPr="004E2488">
        <w:t>неспазващите</w:t>
      </w:r>
      <w:proofErr w:type="spellEnd"/>
      <w:r w:rsidRPr="004E2488">
        <w:t xml:space="preserve"> изискванията участници не следва да налагат непропорционална тежест на тези, които ги спазват, или да нанасят непреднамерена вреда на пазара за продукти втора употреба;</w:t>
      </w:r>
    </w:p>
    <w:p w14:paraId="77632728" w14:textId="77777777" w:rsidR="00B23AA6" w:rsidRPr="004E2488" w:rsidRDefault="00B23AA6" w:rsidP="00B23AA6">
      <w:pPr>
        <w:pStyle w:val="NormalHanging12a"/>
        <w:rPr>
          <w:szCs w:val="24"/>
        </w:rPr>
      </w:pPr>
      <w:r w:rsidRPr="004E2488">
        <w:t>35.</w:t>
      </w:r>
      <w:r w:rsidRPr="004E2488">
        <w:tab/>
        <w:t xml:space="preserve">подчертава, че е необходимо да се гарантира защитата на правата на интелектуална собственост предвид увеличаването на броя на фалшифицираните стоки с произход извън Европа на платформите за електронна търговия; отбелязва, че тези практики вредят на конкурентоспособността на европейските дружества и създават рискове за иновациите и стимулите за </w:t>
      </w:r>
      <w:r w:rsidRPr="004E2488">
        <w:lastRenderedPageBreak/>
        <w:t>научноизследователска и развойна дейност; призовава за по-строги мерки срещу продажбата на фалшифицирани стоки онлайн; настоятелно призовава Комисията да издаде ясни насоки относно доверените податели на сигнали и подчертава, че притежателите на права следва да бъдат признати за отговарящи на условията доверени податели на сигнали, когато отговарят на критериите, посочени в член 22 от Акта за цифровите услуги;</w:t>
      </w:r>
    </w:p>
    <w:p w14:paraId="31E20F96" w14:textId="77777777" w:rsidR="00B23AA6" w:rsidRPr="004E2488" w:rsidRDefault="00B23AA6" w:rsidP="00B23AA6">
      <w:pPr>
        <w:pStyle w:val="NormalHanging12a"/>
        <w:rPr>
          <w:szCs w:val="24"/>
        </w:rPr>
      </w:pPr>
      <w:r w:rsidRPr="004E2488">
        <w:t>36.</w:t>
      </w:r>
      <w:r w:rsidRPr="004E2488">
        <w:tab/>
        <w:t>посочва, че държавите членки следва да използват по-добре наличните набори от глоби и санкции срещу икономически оператори, както и други налични инструменти, включително временни мерки като блокиране на уебсайта, така че да се създаде възпиращ ефект, който да разубеждава икономическите оператори от нарушаване на приложимото законодателство;</w:t>
      </w:r>
    </w:p>
    <w:p w14:paraId="487CB041" w14:textId="77777777" w:rsidR="00B23AA6" w:rsidRPr="004E2488" w:rsidRDefault="00B23AA6" w:rsidP="00B23AA6">
      <w:pPr>
        <w:pStyle w:val="NormalHanging12a"/>
      </w:pPr>
      <w:r w:rsidRPr="004E2488">
        <w:t>37.</w:t>
      </w:r>
      <w:r w:rsidRPr="004E2488">
        <w:tab/>
        <w:t>настоятелно призовава Комисията в случай на ясно установяване на правни пропуски да прилага в най-кратък срок ефективни, включително законодателни мерки, които да гарантират правна сигурност и еднакви условия на конкуренция за европейските предприятия, като обръща специално внимание на МСП;</w:t>
      </w:r>
    </w:p>
    <w:p w14:paraId="72828161" w14:textId="77777777" w:rsidR="00B23AA6" w:rsidRPr="004E2488" w:rsidRDefault="00B23AA6" w:rsidP="00B23AA6">
      <w:pPr>
        <w:pStyle w:val="Normal12a24b"/>
      </w:pPr>
      <w:r w:rsidRPr="004E2488">
        <w:rPr>
          <w:rStyle w:val="Italic"/>
        </w:rPr>
        <w:t>Необходимостта от регулаторни реформи</w:t>
      </w:r>
    </w:p>
    <w:p w14:paraId="13AA694A" w14:textId="77777777" w:rsidR="00B23AA6" w:rsidRPr="004E2488" w:rsidRDefault="00B23AA6" w:rsidP="00B23AA6">
      <w:pPr>
        <w:pStyle w:val="NormalHanging12a"/>
      </w:pPr>
      <w:r w:rsidRPr="004E2488">
        <w:t>38.</w:t>
      </w:r>
      <w:r w:rsidRPr="004E2488">
        <w:tab/>
        <w:t>призовава за премахване на пречките пред упражняването на правата на потребителите, например исканията за прилагане на законовата гаранция и правото на връщане на закупени стоки; призовава Комисията да преразгледа незабавно Регламента за защита на потребителите, тъй като това ще бъде от основно значение за по-ефективното трансгранично прилагане на законодателството на ЕС за защита на потребителите и за борбата с опасните продукти; в този контекст изисква от Комисията да предвиди ясни мерки за по-нататъшно засилване на правомощията за правоприлагане по отношение на търговци и платформи от държави извън ЕС и да осигури по-добра координация на действията на равнището на ЕС и на национално равнище и обмена на информация между органите, а също и с органите в държави извън ЕС; подчертава, че структурата на Европейската мрежа по конкуренция би могла да се използва като пример за прилагането и обмена на информация при предполагаеми нарушения, засягащи множество държави членки, особено за предприемането на ефективни действия по отношение на продукти, които не отговарят на изискванията; подчертава, че е важно на Комисията да се предоставят преки правомощия за разследване и санкциониране на някои нарушения на законодателството за защита на потребителите с голямо въздействие, като по този начин се гарантира по-ефективно, едновременно и единно прилагане и санкциониране съгласно законодателството на ЕС за защита на потребителите;</w:t>
      </w:r>
    </w:p>
    <w:p w14:paraId="0B9609E3" w14:textId="77777777" w:rsidR="00B23AA6" w:rsidRPr="004E2488" w:rsidRDefault="00B23AA6" w:rsidP="00B23AA6">
      <w:pPr>
        <w:pStyle w:val="NormalHanging12a"/>
        <w:rPr>
          <w:szCs w:val="24"/>
        </w:rPr>
      </w:pPr>
      <w:r w:rsidRPr="004E2488">
        <w:t>39.</w:t>
      </w:r>
      <w:r w:rsidRPr="004E2488">
        <w:tab/>
        <w:t xml:space="preserve">отбелязва, че в Регламента за защита на потребителите правоприлагащите органи вече са оправомощени да предприемат действия срещу </w:t>
      </w:r>
      <w:proofErr w:type="spellStart"/>
      <w:r w:rsidRPr="004E2488">
        <w:t>неспазващи</w:t>
      </w:r>
      <w:proofErr w:type="spellEnd"/>
      <w:r w:rsidRPr="004E2488">
        <w:t xml:space="preserve"> изискванията търговци, а на държавите членки дори се предоставя възможност да налагат санкции и да приемат временни мерки като ограничаване на достъпа до уебсайта; признава обаче, че ограничението се състои в това, че тези действия трябва да се предприемат на национално равнище, а не на равнището на ЕС, при което всяка държава прилага собствени санкции, което води до неравностойни последици от нарушенията;</w:t>
      </w:r>
    </w:p>
    <w:p w14:paraId="16060051" w14:textId="77777777" w:rsidR="00B23AA6" w:rsidRPr="004E2488" w:rsidRDefault="00B23AA6" w:rsidP="00B23AA6">
      <w:pPr>
        <w:pStyle w:val="NormalHanging12a"/>
        <w:rPr>
          <w:szCs w:val="24"/>
        </w:rPr>
      </w:pPr>
      <w:r w:rsidRPr="004E2488">
        <w:lastRenderedPageBreak/>
        <w:t>40.</w:t>
      </w:r>
      <w:r w:rsidRPr="004E2488">
        <w:tab/>
        <w:t>отбелязва, че правоприлагането в държавите членки е разпокъсано, което води до неефективност; призовава за по-добра координация на надзора на правоприлагането и мониторинга на съответствието, за по-ефикасен обмен на информация между държавите членки и за по-уеднаквено прилагане на достиженията на правото на ЕС; призовава Комисията да направи оценка на Регламента относно надзора на пазара, по-конкретно на необходимостта от орган на ЕС за надзор на пазара, който да гарантира последователност и да предоставя оперативна подкрепа за дейностите, извършвани от съответните национални органи за надзор на пазара, като насърчава сътрудничеството с новия Митнически орган на ЕС, както и прилагането на член 4 от Регламента относно надзора на пазара, в който се определя кои са отговорните икономически оператори в ЕС за съответствието на продуктите; подчертава, че към днешна дата определеният отговорен икономически оператор често няма капацитет да предоставя правни средства за защита или обезщетение на потребителите, по-специално когато е упълномощен представител;</w:t>
      </w:r>
    </w:p>
    <w:p w14:paraId="7F46D566" w14:textId="77777777" w:rsidR="00B23AA6" w:rsidRPr="004E2488" w:rsidRDefault="00B23AA6" w:rsidP="00B23AA6">
      <w:pPr>
        <w:pStyle w:val="NormalHanging12a"/>
        <w:rPr>
          <w:szCs w:val="24"/>
        </w:rPr>
      </w:pPr>
      <w:r w:rsidRPr="004E2488">
        <w:t>41.</w:t>
      </w:r>
      <w:r w:rsidRPr="004E2488">
        <w:tab/>
        <w:t>подкрепя амбицията на Комисията за бърз напредък на предстоящите междуинституционални преговори с Парламента и Съвета относно реформата на Митническия кодекс на Съюза (МКС) и двете предложения за актове на Съвета за премахване на прага за освобождаване от мита за стоки на стойност под 150 EUR; поради това призовава настоятелно държавите членки да ускорят процедурата на преговори в Съвета, като признаят неотложността на митническата реформа с оглед на конкурентоспособността на ЕС и защитата на потребителите в ЕС; изтъква обаче, че премахването на прага е необходима стъпка, но не единственото решение, тъй като митническите органи все още ще могат да проверяват само ограничен процент от пратките; подчертава, че е необходимо да бъде премахнато незабавно освобождаването от мита за внос, който представлява висок риск от гледна точка на безопасността на продуктите и потребителите; подчертава, че при митническата реформа трябва да се осигури съгласуваност между регулаторните рамки, преди всичко за да се избегнат припокривания или конфликти с Акта за цифровите услуги, и подчертава съществената роля на митническите органи за откриването на несъответстващи на изискванията и опасни продукти;</w:t>
      </w:r>
    </w:p>
    <w:p w14:paraId="5B75B02D" w14:textId="77777777" w:rsidR="00B23AA6" w:rsidRPr="004E2488" w:rsidRDefault="00B23AA6" w:rsidP="00B23AA6">
      <w:pPr>
        <w:pStyle w:val="NormalHanging12a"/>
        <w:rPr>
          <w:szCs w:val="24"/>
        </w:rPr>
      </w:pPr>
      <w:r w:rsidRPr="004E2488">
        <w:t>42.</w:t>
      </w:r>
      <w:r w:rsidRPr="004E2488">
        <w:tab/>
        <w:t>подчертава, че реформата на МКС ще предостави на митническите органи необходимите инструменти за по-добър надзор и контрол на стоките, влизащи в ЕС, ще спомогне за укрепването на единния пазар и митническия съюз, ще подобри откриването на опасни и незаконни продукти и ще допринесе за еднакви условия на конкуренция между икономическите оператори; във връзка с това приветства предложението в рамките на Регламента за МКС за създаване на механизъм за сътрудничество с органите за надзор на пазара, който ще подобри ефективността на контрола на продуктите; подчертава значението на подобряването на митническата инфраструктура и на обезпечаването с персонал, за да се постигне ефективно управление на електронната търговия; подчертава необходимостта от опростени процеси за осигуряване на спазването, специално пригодени за МСП; призовава държавите членки да въведат автоматизирани, ориентирани към бъдещето системи за митническо оформяне, например като задължат платформите да се регистрират за митническо оформяне и да го извършват автоматично на местата за продажба;</w:t>
      </w:r>
    </w:p>
    <w:p w14:paraId="4CF48D95" w14:textId="77777777" w:rsidR="00B23AA6" w:rsidRPr="004E2488" w:rsidRDefault="00B23AA6" w:rsidP="00B23AA6">
      <w:pPr>
        <w:pStyle w:val="NormalHanging12a"/>
      </w:pPr>
      <w:r w:rsidRPr="004E2488">
        <w:t>43.</w:t>
      </w:r>
      <w:r w:rsidRPr="004E2488">
        <w:tab/>
        <w:t xml:space="preserve">изразява загриженост, че някои търговци от държави извън ЕС заобикалят митническите проверки на ЕС чрез митническо оформяне на стоките на мястото </w:t>
      </w:r>
      <w:r w:rsidRPr="004E2488">
        <w:lastRenderedPageBreak/>
        <w:t>на произход; подчертава, че тези търговски дружества от държави извън ЕС често предпочитат да платят санкции, вместо да отварят пратките при пристигането им в митниците на ЕС, за да може пратките да бъдат разтоварени и транспортирани незабавно по-нататък; изразява дълбока загриженост във връзка с получените от митническите органи сведения, че много пратки са или недекларирани, или неправилно декларирани, а понякога са с подправени етикети; изтъква, че при реформата на МКС следва да се разгледат тези аспекти;</w:t>
      </w:r>
    </w:p>
    <w:p w14:paraId="5CE861CC" w14:textId="77777777" w:rsidR="00B23AA6" w:rsidRPr="004E2488" w:rsidRDefault="00B23AA6" w:rsidP="00B23AA6">
      <w:pPr>
        <w:pStyle w:val="NormalHanging12a"/>
        <w:rPr>
          <w:szCs w:val="24"/>
        </w:rPr>
      </w:pPr>
      <w:r w:rsidRPr="004E2488">
        <w:t>44.</w:t>
      </w:r>
      <w:r w:rsidRPr="004E2488">
        <w:tab/>
        <w:t xml:space="preserve">отбелязва загрижеността, изразена от Мрежата на европейските потребителски центрове, във връзка с бизнес модела „директна доставка до клиента от трето лице“ (дропшипинг), който поражда предизвикателства по отношение на защитата на потребителите, безопасността на продуктите и спазването на регулаторните изисквания; изразява съжаление по повод на факта, че потребителите често се сблъскват с подвеждащи практики, трудности при връщането на продукти и неочаквани вносни мита, докато значителна част от директно доставените продукти не отговарят на стандартите на ЕС за безопасност; подчертава, че продажбата чрез директна доставка усложнява правоприлагането поради невъзможност за проследяване на предприятията и трансгранични усложнения, а ДДС и спазването на изискванията за защита на личните данни остават основни поводи за опасения; отбелязва, че в комбинация с маркетинга от страна на </w:t>
      </w:r>
      <w:proofErr w:type="spellStart"/>
      <w:r w:rsidRPr="004E2488">
        <w:t>инфлуенсъри</w:t>
      </w:r>
      <w:proofErr w:type="spellEnd"/>
      <w:r w:rsidRPr="004E2488">
        <w:t xml:space="preserve"> продажбата чрез директна доставка може да задълбочи проблемите с прозрачността, рисковете за репутацията и непоследователните резултати; призовава Комисията да разгледа възможностите за решаване на проблемите, свързани с продажбите чрез директна доставка;</w:t>
      </w:r>
    </w:p>
    <w:p w14:paraId="59FCB2B0" w14:textId="77777777" w:rsidR="00B23AA6" w:rsidRPr="004E2488" w:rsidRDefault="00B23AA6" w:rsidP="00B23AA6">
      <w:pPr>
        <w:pStyle w:val="NormalHanging12a"/>
        <w:rPr>
          <w:szCs w:val="24"/>
        </w:rPr>
      </w:pPr>
      <w:r w:rsidRPr="004E2488">
        <w:t>45.</w:t>
      </w:r>
      <w:r w:rsidRPr="004E2488">
        <w:tab/>
        <w:t>подчертава факта, че понятието „считано за вносител лице“ има за цел да гарантира еднакви условия на конкуренция за онлайн платформите както от ЕС, така и от държави извън ЕС; отбелязва, че – в контекста на онлайн продажба на стоки от държави извън ЕС – вследствие на тази мярка клиентите на онлайн платформи от държави извън ЕС няма да бъдат считани за вносители, както е съгласно действащия МКС, а вместо това платформа или търговец от държава извън ЕС ще бъде „считано за вносител лице“;  счита, че отговорностите на „считаното за вносител лице“ следва да бъдат ясно определени и съгласувани с разпоредбите на Акта за цифровите услуги; подчертава, че вследствие на това, че платформите носят отговорност за гарантиране на събирането на ДДС и митата на мястото на продажба, а не при влизане в ЕС, ще намалеят измамите и случаите на отклонение от данъчно облагане;</w:t>
      </w:r>
    </w:p>
    <w:p w14:paraId="4E5FF323" w14:textId="77777777" w:rsidR="00B23AA6" w:rsidRPr="004E2488" w:rsidRDefault="00B23AA6" w:rsidP="00B23AA6">
      <w:pPr>
        <w:pStyle w:val="NormalHanging12a"/>
        <w:rPr>
          <w:szCs w:val="24"/>
        </w:rPr>
      </w:pPr>
      <w:r w:rsidRPr="004E2488">
        <w:t>46.</w:t>
      </w:r>
      <w:r w:rsidRPr="004E2488">
        <w:tab/>
        <w:t>изразява загриженост относно незадължителния характер на режима за обслужване на едно гише при внос (IOSS) за всички онлайн оператори, което е отклонение от първоначалните цели на инициативата за ДДС в ерата на цифровите технологии; подчертава, че са необходими допълнителни действия за укрепване на надеждността на системата и ограничаване на потенциалните злоупотреби; настоятелно призовава Комисията да работи в тясно сътрудничество със заинтересованите страни, за да се създадат гаранции за IOSS срещу измамни практики; препоръчва тези гаранции да бъдат едновременно всеобхватни и рационализирани, за да възпрепятстват ефективно измамите, като същевременно се избягва прекомерна административна тежест; подчертава необходимостта от разширяване на приложимостта на режима IOSS за стоки над прага от 150 евро за освобождаване от мита, за да се предотврати занижаването на стойността и да се гарантира лоялна конкуренция;</w:t>
      </w:r>
    </w:p>
    <w:p w14:paraId="51FF6074" w14:textId="77777777" w:rsidR="00B23AA6" w:rsidRPr="004E2488" w:rsidRDefault="00B23AA6" w:rsidP="00B23AA6">
      <w:pPr>
        <w:pStyle w:val="NormalHanging12a"/>
        <w:rPr>
          <w:szCs w:val="24"/>
        </w:rPr>
      </w:pPr>
      <w:r w:rsidRPr="004E2488">
        <w:lastRenderedPageBreak/>
        <w:t>47.</w:t>
      </w:r>
      <w:r w:rsidRPr="004E2488">
        <w:tab/>
        <w:t>призовава за създаването на нов Митнически орган на ЕС през 2026 г., който да предоставя експертна подкрепа на митническите органи на държавите членки; подчертава, че в своята координационна роля Митническият орган на ЕС следва също така да картографира капацитета за изпитване и контрол на митническите органи и органите за надзор на пазара във и между държавите членки и да получи мандат за извършване на внезапни проверки за откриване на евентуални опасни или несъответстващи на изискванията продукти и за налагане на санкции в случай на несъответствие; отбелязва, че новият център за митнически данни на ЕС ще даде възможност за засилено сътрудничество между Митническия орган на ЕС и митническите и други органи чрез обмена на данни и оперативната съвместимост на националните информационни системи и по този начин ще улесни координирания контрол и откриването на несъответстващи на изискванията продукти; счита, че е от съществено значение функциите на митническото обслужване на едно гише да бъдат интегрирани изцяло в центъра за митнически данни на ЕС; отбелязва във връзка с предложения Митническия орган на ЕС, че е важно консултации с представители на различни заинтересовани страни да се провеждат редовно, за да се осигури възможност за ранно предупреждение на Митническия орган на ЕС;</w:t>
      </w:r>
    </w:p>
    <w:p w14:paraId="4D241AB5" w14:textId="77777777" w:rsidR="00B23AA6" w:rsidRPr="004E2488" w:rsidRDefault="00B23AA6" w:rsidP="00B23AA6">
      <w:pPr>
        <w:pStyle w:val="NormalHanging12a"/>
      </w:pPr>
      <w:r w:rsidRPr="004E2488">
        <w:t>48.</w:t>
      </w:r>
      <w:r w:rsidRPr="004E2488">
        <w:tab/>
        <w:t>подчертава, че предвид неотложността влизането в сила на различните задължения, планирани при преразглеждането на МКС, следва да бъде ускорено, например създаването на център за митнически данни на ЕС; призовава Комисията да започне незабавно подготвителната работа, необходима за създаването на център за митнически данни на ЕС, така че да се ускори подготовката на неговите функции във връзка с електронната търговия през 2026 г.;</w:t>
      </w:r>
    </w:p>
    <w:p w14:paraId="7D21600D" w14:textId="77777777" w:rsidR="00B23AA6" w:rsidRPr="004E2488" w:rsidRDefault="00B23AA6" w:rsidP="00B23AA6">
      <w:pPr>
        <w:pStyle w:val="NormalHanging12a"/>
        <w:rPr>
          <w:szCs w:val="24"/>
        </w:rPr>
      </w:pPr>
      <w:r w:rsidRPr="004E2488">
        <w:t>49.</w:t>
      </w:r>
      <w:r w:rsidRPr="004E2488">
        <w:tab/>
        <w:t>настоятелно призовава Комисията да извърши оценка на въздействието по отношение на идеята стоките в рамките на електронната търговия да бъдат превозвани в насипно състояние до ЕС и съответно търговците от държави извън ЕС да създадат складове в ЕС за такива стоки, преди те да бъдат слагани в пратки за доставка на клиенти; признава, че в сравнение с превоза на единични пратки доставката на продукти, предназначени за продажба в електронната търговия, в насипно състояние с последващо съхранение в складове в ЕС би могла да повиши надзора от страна на митническите органи и органите за надзор на пазара и да подобри техния контрол и откриването на несъответстващи на изискванията стоки; призовава Комисията и държавите членки да разгледат всички възможни варианти за стимулиране на такива практики, включително опростяване на статуса на доверен и проверен търговец и анализи на разходите и ползите за схемите за стимулиране; освен това отбелязва, че превозът в насипно състояние може да не е осъществим за всички търговци от държави извън ЕС, особено за тези, които използват бизнес модели, позволяващи продажби между потребители (C2C) или продажба на стоки втора употреба; подчертава, че с този подход следва да се постигне баланс между предимствата на спазването на изискванията и практическите изисквания за операторите в областта на електронната търговия, за да се гарантира, че се избягва създаването на логистични затруднения или налагането на неоправдана тежест на различните бизнес модели;</w:t>
      </w:r>
    </w:p>
    <w:p w14:paraId="046ECBD0" w14:textId="77777777" w:rsidR="00B23AA6" w:rsidRPr="004E2488" w:rsidRDefault="00B23AA6" w:rsidP="00B23AA6">
      <w:pPr>
        <w:pStyle w:val="NormalHanging12a"/>
      </w:pPr>
      <w:r w:rsidRPr="004E2488">
        <w:t>50.</w:t>
      </w:r>
      <w:r w:rsidRPr="004E2488">
        <w:tab/>
        <w:t xml:space="preserve">отчита, че Комисията е публикувала неофициален документ, в който се очертава въвеждането на недискриминационна такса за управление за артикули в рамките на електронната търговия, която такса да се начислява от митническите органи за </w:t>
      </w:r>
      <w:r w:rsidRPr="004E2488">
        <w:lastRenderedPageBreak/>
        <w:t>стоки, продавани при дистанционни продажби, с цел да се покрият увеличените разходи на митническите органи за упражняване на надзор, а именно за проверка на данните, извършване на анализ на риска, извършване на документални и физически проверки, и по-специално за финансиране на Митническия орган на ЕС и центъра за данни; настоява държавите членки да избягват едностранни такси, за да се избегне фрагментирането на митническия съюз; подчертава, че в предложението се предлага фиксирана ставка от 2 евро за артикул, доставен директно на клиента, или по-малка такса от 50 цента за доверени и проверени търговци, чийто бизнес модел представлява управление на митнически склад за продажби от разстояние в рамките на ЕС; призовава Комисията да извърши подходяща оценка на това дали предложената сума е в съответствие с правилата на Световната търговска организация (СТО) и дали тя е достатъчна и пропорционална за постигане на целите; настоява тази такса за управление да не се заплаща от потребителя;</w:t>
      </w:r>
    </w:p>
    <w:p w14:paraId="298D8C0F" w14:textId="77777777" w:rsidR="00B23AA6" w:rsidRPr="004E2488" w:rsidRDefault="00B23AA6" w:rsidP="00B23AA6">
      <w:pPr>
        <w:pStyle w:val="NormalHanging12a"/>
        <w:rPr>
          <w:szCs w:val="24"/>
        </w:rPr>
      </w:pPr>
      <w:r w:rsidRPr="004E2488">
        <w:t>51.</w:t>
      </w:r>
      <w:r w:rsidRPr="004E2488">
        <w:tab/>
        <w:t>отбелязва огромните разходи за управление на отпадъци и унищожаване на продукти, които възникват от много голямото количество несъответстващи на изискванията и опасни продукти, внасяни чрез електронна търговия от държави извън ЕС; подчертава, че голяма част от тези продукти не подлежат на рециклиране, вредни са за околната среда или не съответстват на приложимото законодателството в областта на химикалите, което увеличава допълнително разходите на публичните органи за околна среда; поради това призовава Комисията да направи оценка на необходимите мерки за смекчаване на въздействието върху околната среда, което оказват дейностите, свързани с електронна търговия, на държави извън ЕС, включително осъществимостта на такса за управление на отпадъците за всички продукти, продавани чрез онлайн пазарите на държави извън ЕС, за да се гарантира, че разходите за околна среда не се поемат от данъкоплатците в ЕС;</w:t>
      </w:r>
    </w:p>
    <w:p w14:paraId="3642D658" w14:textId="77777777" w:rsidR="00B23AA6" w:rsidRPr="004E2488" w:rsidRDefault="00B23AA6" w:rsidP="00B23AA6">
      <w:pPr>
        <w:pStyle w:val="NormalHanging12a"/>
      </w:pPr>
      <w:r w:rsidRPr="004E2488">
        <w:t>52.</w:t>
      </w:r>
      <w:r w:rsidRPr="004E2488">
        <w:tab/>
        <w:t>подчертава, че непоследователните санкции и различните стратегии за правоприлагане по отношение на несъответствието с изискванията в различните държави членки водят до „търсене на гранични пунктове с по-изгодни правила“ или „търсене на митнически пунктове с по-изгодни правила“; подкрепя минималната хармонизация на нарушенията и ненаказателните санкции за неспазване във всички държави членки и чрез Митническия орган на ЕС, като с това ще се избегне създаването на слаби входни пунктове на митническата територия на ЕС; подчертава, че това следва да включва обща рамка за минимална хармонизация, за да се отстранят съществуващите пропуски и по този начин да се преодолеят предизвикателствата, свързани с електронната търговия; подчертава, че държавите членки могат да налагат допълнителни санкции, съобразени с националния контекст;</w:t>
      </w:r>
    </w:p>
    <w:p w14:paraId="3D25BEF7" w14:textId="77777777" w:rsidR="00B23AA6" w:rsidRPr="004E2488" w:rsidRDefault="00B23AA6" w:rsidP="00B23AA6">
      <w:pPr>
        <w:pStyle w:val="NormalHanging12a"/>
        <w:rPr>
          <w:szCs w:val="24"/>
        </w:rPr>
      </w:pPr>
      <w:r w:rsidRPr="004E2488">
        <w:t>53.</w:t>
      </w:r>
      <w:r w:rsidRPr="004E2488">
        <w:tab/>
        <w:t xml:space="preserve">отбелязва, че Комисията проверява дали определени онлайн места за търговия извън ЕС използват манипулативни практики, включително тъмни модели, предизвикващи пристрастяване характеристики на структурата, заблуждаващ маркетинг от страна на </w:t>
      </w:r>
      <w:proofErr w:type="spellStart"/>
      <w:r w:rsidRPr="004E2488">
        <w:t>инфлуенсъри</w:t>
      </w:r>
      <w:proofErr w:type="spellEnd"/>
      <w:r w:rsidRPr="004E2488">
        <w:t xml:space="preserve"> и разпространение на фалшиви или подвеждащи онлайн отзиви; отчита, че съгласно доклада относно проверката за пригодност на законодателството на ЕС за защита на потребителите в областта на цифровата справедливост нелоялните търговски практики струват на потребителите почти 8 милиарда евро годишно и че използването на нелоялни техники за оказване на натиск върху потребителите, особено върху уязвими </w:t>
      </w:r>
      <w:r w:rsidRPr="004E2488">
        <w:lastRenderedPageBreak/>
        <w:t>потребители и деца, да извършват импулсивни покупки води до свръхпотребление и прекомерни разходи; призовава Комисията да разгледа тези въпроси в предстоящия законодателен акт за цифрова справедливост, ако те не са вече обхванати от съществуващото законодателство, за да се предприемат ефективни действия за борба с нелоялните практики и да се отстранят съществуващите правни пропуски, като същевременно се запази съгласуваността със съществуващите правни рамки и се избягва ненужна регулаторна тежест;</w:t>
      </w:r>
    </w:p>
    <w:p w14:paraId="6C1BF121" w14:textId="77777777" w:rsidR="00B23AA6" w:rsidRPr="004E2488" w:rsidRDefault="00B23AA6" w:rsidP="00B23AA6">
      <w:pPr>
        <w:pStyle w:val="NormalHanging12a"/>
      </w:pPr>
      <w:r w:rsidRPr="004E2488">
        <w:t>54.</w:t>
      </w:r>
      <w:r w:rsidRPr="004E2488">
        <w:tab/>
        <w:t>подчертава необходимостта да се гарантира, че новите инициативи, предлагани от Комисията в областта на митническото правоприлагане или спазването на митническото законодателство, не водят до допълнителна административна тежест за европейските предприятия, особено за МСП;</w:t>
      </w:r>
    </w:p>
    <w:p w14:paraId="06FE724F" w14:textId="77777777" w:rsidR="00B23AA6" w:rsidRPr="004E2488" w:rsidRDefault="00B23AA6" w:rsidP="00B23AA6">
      <w:pPr>
        <w:pStyle w:val="NormalHanging12a"/>
      </w:pPr>
      <w:r w:rsidRPr="004E2488">
        <w:t>55.</w:t>
      </w:r>
      <w:r w:rsidRPr="004E2488">
        <w:tab/>
        <w:t>подчертава значението на ролята на Европейската прокуратура в областта на трансграничните разследвания на митнически престъпления, които включват по-специално измами, свързани с незаконно занижаване на цената на продукти с цел да се избегне плащането на вносни мита; изтъква, че трябва да се противодейства ефективно на мащабното заобикаляне на мита например чрез декларации с невярно съдържание при електронна търговия и занижаване на стойността на продуктите, както и на избягването на контрола и „избора на най-благоприятна юрисдикция“, чрез наказателноправни разследвания, предприемани от Европейската прокуратура с подкрепата на митническите органи; подчертава, че стабилната правна рамка на Европейската прокуратура за трансгранични разследвания следва да се използва за разбиване на престъпните мрежи зад тези операции;</w:t>
      </w:r>
    </w:p>
    <w:p w14:paraId="6A73E2CA" w14:textId="77777777" w:rsidR="00B23AA6" w:rsidRPr="004E2488" w:rsidRDefault="00B23AA6" w:rsidP="00B23AA6">
      <w:pPr>
        <w:pStyle w:val="Normal12a24b"/>
      </w:pPr>
      <w:r w:rsidRPr="004E2488">
        <w:rPr>
          <w:rStyle w:val="Italic"/>
        </w:rPr>
        <w:t>Допълнителни мерки за правоприлагане</w:t>
      </w:r>
    </w:p>
    <w:p w14:paraId="7AD05205" w14:textId="77777777" w:rsidR="00B23AA6" w:rsidRPr="004E2488" w:rsidRDefault="00B23AA6" w:rsidP="00B23AA6">
      <w:pPr>
        <w:pStyle w:val="NormalHanging12a"/>
        <w:rPr>
          <w:szCs w:val="24"/>
        </w:rPr>
      </w:pPr>
      <w:r w:rsidRPr="004E2488">
        <w:t>56.</w:t>
      </w:r>
      <w:r w:rsidRPr="004E2488">
        <w:tab/>
        <w:t>призовава Комисията и компетентните национални органи да прилагат стриктно Акта за цифровите услуги по отношение на отговорността на онлайн местата за търговия, и по-специално задълженията им относно системите за препоръчване, проектните параметри на интерфейса, правото на информация, правилата за съответствие чрез проектиране, за да се повиши цялостната проследимост, както и тяхното задължение „познавай своя бизнес клиент“; подчертава, че спазването на тези задължения следва да възпира търговците, които не спазват изискванията, да предлагат своите продукти в ЕС чрез места за търговия или услуги за пазаруване на социалните медии, попадащи в тази категория, и призовава Комисията да предоставя практическа подкрепа при проследяването на търговците, които не спазват правилата на ЕС; подчертава необходимостта от основана на Акта за цифровите услуги мрежа от доверени податели на сигнали за незаконни продукти и електронна търговия, за да се гарантира, че платформите изпълняват своите задължения ефективно;</w:t>
      </w:r>
    </w:p>
    <w:p w14:paraId="24E78693" w14:textId="77777777" w:rsidR="00B23AA6" w:rsidRPr="004E2488" w:rsidRDefault="00B23AA6" w:rsidP="00B23AA6">
      <w:pPr>
        <w:pStyle w:val="NormalHanging12a"/>
      </w:pPr>
      <w:r w:rsidRPr="004E2488">
        <w:t>57.</w:t>
      </w:r>
      <w:r w:rsidRPr="004E2488">
        <w:tab/>
        <w:t xml:space="preserve">подчертава, че засилването на сътрудничеството и координацията с националните компетентни органи е от решаващо значение; призовава за по-голямо сътрудничество между всички съответни органи – като например органите на държавите членки, митническите органи и органите за защита на потребителите – и засилена координация между всички създадени експертни групи; подчертава, че съгласно Акта за цифровите услуги действията по разследване срещу </w:t>
      </w:r>
      <w:proofErr w:type="spellStart"/>
      <w:r w:rsidRPr="004E2488">
        <w:t>неспазващи</w:t>
      </w:r>
      <w:proofErr w:type="spellEnd"/>
      <w:r w:rsidRPr="004E2488">
        <w:t xml:space="preserve"> изискванията онлайн места за търговия трябва да доведат до резултати и до </w:t>
      </w:r>
      <w:r w:rsidRPr="004E2488">
        <w:lastRenderedPageBreak/>
        <w:t xml:space="preserve">налагане на възпиращи санкции, за да се попречи на предлагането на несъответстващи на изискванията продукти; подчертава значението на тези разследвания за преодоляването на системните рискове, неспазването на изискванията, разпространението на незаконно съдържание, предизвикващите пристрастяване характеристики на структурата, тъмните модели и използването на </w:t>
      </w:r>
      <w:proofErr w:type="spellStart"/>
      <w:r w:rsidRPr="004E2488">
        <w:t>инфлуенсъри</w:t>
      </w:r>
      <w:proofErr w:type="spellEnd"/>
      <w:r w:rsidRPr="004E2488">
        <w:t xml:space="preserve"> за манипулативни реклами;</w:t>
      </w:r>
    </w:p>
    <w:p w14:paraId="61227983" w14:textId="77777777" w:rsidR="00B23AA6" w:rsidRPr="004E2488" w:rsidRDefault="00B23AA6" w:rsidP="00B23AA6">
      <w:pPr>
        <w:pStyle w:val="NormalHanging12a"/>
        <w:rPr>
          <w:szCs w:val="24"/>
        </w:rPr>
      </w:pPr>
      <w:r w:rsidRPr="004E2488">
        <w:t>58.</w:t>
      </w:r>
      <w:r w:rsidRPr="004E2488">
        <w:tab/>
        <w:t xml:space="preserve">призовава правоприлагащите органи да засилят действията за мониторинг и правоприлагане, насочени към новите канали за продажба; препоръчва на компетентните органи да се предоставят подходящи ресурси, технологични инструменти и механизми за трансгранично сътрудничество с цел ефективно установяване и предприемане на действия срещу </w:t>
      </w:r>
      <w:proofErr w:type="spellStart"/>
      <w:r w:rsidRPr="004E2488">
        <w:t>неспазващите</w:t>
      </w:r>
      <w:proofErr w:type="spellEnd"/>
      <w:r w:rsidRPr="004E2488">
        <w:t xml:space="preserve"> изискванията търговци, които осъществяват дейност чрез платформите на социалните медии и други нововъзникващи платформи;</w:t>
      </w:r>
    </w:p>
    <w:p w14:paraId="029C74B4" w14:textId="77777777" w:rsidR="00B23AA6" w:rsidRPr="004E2488" w:rsidRDefault="00B23AA6" w:rsidP="00B23AA6">
      <w:pPr>
        <w:pStyle w:val="NormalHanging12a"/>
        <w:rPr>
          <w:szCs w:val="24"/>
        </w:rPr>
      </w:pPr>
      <w:r w:rsidRPr="004E2488">
        <w:t>59.</w:t>
      </w:r>
      <w:r w:rsidRPr="004E2488">
        <w:tab/>
        <w:t>предлага продавачите в рамките на онлайн места за търговия да предоставят адрес за обратен превоз и звено за контакт в рамките на ЕС, за да се позволи на потребителите лесно да връщат несъответстващите на изискванията стоки без ненужни разходи и да се даде възможност на органите да проверяват стоките; счита, че онлайн местата за търговия следва да отговарят за проверката на това и следва да носят отговорност за правоприлагането;</w:t>
      </w:r>
    </w:p>
    <w:p w14:paraId="4735D643" w14:textId="77777777" w:rsidR="00B23AA6" w:rsidRPr="004E2488" w:rsidRDefault="00B23AA6" w:rsidP="00B23AA6">
      <w:pPr>
        <w:pStyle w:val="NormalHanging12a"/>
      </w:pPr>
      <w:r w:rsidRPr="004E2488">
        <w:t>60.</w:t>
      </w:r>
      <w:r w:rsidRPr="004E2488">
        <w:tab/>
        <w:t>призовава за спешна задълбочена оценка на ефективността на осигуряването на „отговорно лице за продуктите, пуснати на пазара на Съюза“, по-специално на търговците извън ЕС, въз основа на резултатите от доклада за оценка на член 4 от Регламента относно надзора на пазара; призовава Комисията да разгледа сред бъдещите си действия въвеждането на задължително изискване за търговците извън ЕС да назначат отговорно лице в ЕС, което да носи засилена правна и финансова отговорност;</w:t>
      </w:r>
    </w:p>
    <w:p w14:paraId="77699D02" w14:textId="77777777" w:rsidR="00B23AA6" w:rsidRPr="004E2488" w:rsidRDefault="00B23AA6" w:rsidP="00B23AA6">
      <w:pPr>
        <w:pStyle w:val="NormalHanging12a"/>
      </w:pPr>
      <w:r w:rsidRPr="004E2488">
        <w:t>61.</w:t>
      </w:r>
      <w:r w:rsidRPr="004E2488">
        <w:tab/>
        <w:t>отбелязва, че пощенските и другите услуги за доставка са в процес на значителни промени поради бързия растеж на електронната търговия; изразява загриженост, че системата за крайните такси на Всемирния пощенски съюз на практика не се прилага за потоците на електронната търговия; отбелязва, че в резултат на това, поради обема на пратките, китайските предприятия за електронна търговия сключват търговски споразумения директно с пощенските оператори в ЕС за изключително привлекателни такси за доставка, които са по-ниски от тези за стоките, произведени в ЕС, което води до по-голяма разпокъсаност на единния пазар на пощенски услуги; настоятелно призовава Комисията да направи оценка на въздействието на електронната търговия върху пощенските услуги и вътрешния пазар и да обмисли как пощенските услуги могат да допринесат за укрепване на единния пазар и да са от полза за потребителите и за конкурентоспособността на ЕС като цяло;</w:t>
      </w:r>
    </w:p>
    <w:p w14:paraId="29B95050" w14:textId="77777777" w:rsidR="00B23AA6" w:rsidRPr="004E2488" w:rsidRDefault="00B23AA6" w:rsidP="00B23AA6">
      <w:pPr>
        <w:pStyle w:val="NormalHanging12a"/>
        <w:rPr>
          <w:szCs w:val="24"/>
        </w:rPr>
      </w:pPr>
      <w:r w:rsidRPr="004E2488">
        <w:t>62.</w:t>
      </w:r>
      <w:r w:rsidRPr="004E2488">
        <w:tab/>
        <w:t xml:space="preserve">приветства приемането на реформите „ДДС в ерата на цифровите технологии“, което представлява важна стъпка към модернизиране на събирането на ДДС в сектора на електронната търговия; подчертава значението на единния идентификационен номер по ДДС за онлайн местата за търговия и за европейските производители, който им дава възможност да се конкурират при равни условия чрез опростяване на спазването на изискванията за ДДС в отделните държави членки; изтъква, че тази мярка може също да улесни вноса в </w:t>
      </w:r>
      <w:r w:rsidRPr="004E2488">
        <w:lastRenderedPageBreak/>
        <w:t>насипно състояние и складирането на стоки в рамките на ЕС, като намали зависимостта от фрагментираните трансгранични превози и гарантира, че услугите с добавена стойност като обработка на поръчки и логистика се осъществяват в рамките на единния пазар; подчертава, че тези реформи ще подобрят спазването на данъчното законодателство, ще намалят административната тежест и ще подобрят правоприлагането, като същевременно подкрепят лоялната конкуренция и укрепят веригите на доставки в ЕС; призовава Комисията и държавите членки да гарантират ефективното прилагане на тези мерки, за да увеличат максимално ползите от тях за европейските предприятия и потребители;</w:t>
      </w:r>
    </w:p>
    <w:p w14:paraId="454AC6D5" w14:textId="77777777" w:rsidR="00B23AA6" w:rsidRPr="004E2488" w:rsidRDefault="00B23AA6" w:rsidP="00B23AA6">
      <w:pPr>
        <w:pStyle w:val="NormalHanging12a"/>
        <w:rPr>
          <w:szCs w:val="24"/>
        </w:rPr>
      </w:pPr>
      <w:r w:rsidRPr="004E2488">
        <w:t>63.</w:t>
      </w:r>
      <w:r w:rsidRPr="004E2488">
        <w:tab/>
        <w:t>призовава Комисията да разгледа мерки, насочени към намаляване на ненужната тежест във връзка със спазването на регулаторните и административните изисквания за производителите от ЕС, в частност за МСП, за да осигури еднакви условия на конкуренция и да им даде възможност да се конкурират по-добре със световните си конкуренти, които осъществяват дейност съгласно по-ефективни стандарти за съответствие;</w:t>
      </w:r>
    </w:p>
    <w:p w14:paraId="60BAB4F1" w14:textId="77777777" w:rsidR="00B23AA6" w:rsidRPr="004E2488" w:rsidRDefault="00B23AA6" w:rsidP="00B23AA6">
      <w:pPr>
        <w:pStyle w:val="NormalHanging12a"/>
        <w:rPr>
          <w:szCs w:val="24"/>
        </w:rPr>
      </w:pPr>
      <w:r w:rsidRPr="004E2488">
        <w:t>64.</w:t>
      </w:r>
      <w:r w:rsidRPr="004E2488">
        <w:tab/>
        <w:t>призовава Комисията да засили международното сътрудничество с други държави със сходни възгледи с цел обмен на най-добри практики, определяне на общите предизвикателства и рискове и разработване на съвместни действия в областта на електронната търговия;</w:t>
      </w:r>
    </w:p>
    <w:p w14:paraId="75BC5A0A" w14:textId="77777777" w:rsidR="00B23AA6" w:rsidRPr="004E2488" w:rsidRDefault="00B23AA6" w:rsidP="00B23AA6">
      <w:pPr>
        <w:pStyle w:val="NormalHanging12a"/>
        <w:rPr>
          <w:szCs w:val="24"/>
        </w:rPr>
      </w:pPr>
      <w:r w:rsidRPr="004E2488">
        <w:t>65.</w:t>
      </w:r>
      <w:r w:rsidRPr="004E2488">
        <w:tab/>
        <w:t>във връзка с това приветства инициативата за съвместно изявление на СТО относно електронната търговия; отбелязва, че споразумението ще бъде от полза за потребителите и предприятията, като улеснява трансграничните електронни трансакции, намалява пречките пред цифровата търговия и насърчава иновациите в електронната търговия; подчертава обаче, че споразумението е само основа, и насърчава Комисията да положи усилия за амбициозни споразумения за цифрова търговия в преговорите с партньорите, за да се гарантират обвързващи разпоредби относно електронната търговия;</w:t>
      </w:r>
    </w:p>
    <w:p w14:paraId="55D71F54" w14:textId="77777777" w:rsidR="00B23AA6" w:rsidRPr="004E2488" w:rsidRDefault="00B23AA6" w:rsidP="00B23AA6">
      <w:pPr>
        <w:pStyle w:val="NormalHanging12a"/>
        <w:rPr>
          <w:b/>
          <w:i/>
          <w:szCs w:val="24"/>
        </w:rPr>
      </w:pPr>
      <w:r w:rsidRPr="004E2488">
        <w:rPr>
          <w:b/>
          <w:i/>
        </w:rPr>
        <w:t>Увеличено използване на ИТ инструменти</w:t>
      </w:r>
    </w:p>
    <w:p w14:paraId="38D9B05C" w14:textId="77777777" w:rsidR="00B23AA6" w:rsidRPr="004E2488" w:rsidRDefault="00B23AA6" w:rsidP="00B23AA6">
      <w:pPr>
        <w:pStyle w:val="NormalHanging12a"/>
        <w:rPr>
          <w:szCs w:val="24"/>
        </w:rPr>
      </w:pPr>
      <w:r w:rsidRPr="004E2488">
        <w:t>66.</w:t>
      </w:r>
      <w:r w:rsidRPr="004E2488">
        <w:tab/>
        <w:t xml:space="preserve">приветства факта, че Комисията подготвя проект за рационализиране на съществуващите бази данни – включително информационната и комуникационна система за надзор на пазара, системата на ЕС Safety </w:t>
      </w:r>
      <w:proofErr w:type="spellStart"/>
      <w:r w:rsidRPr="004E2488">
        <w:t>Gate</w:t>
      </w:r>
      <w:proofErr w:type="spellEnd"/>
      <w:r w:rsidRPr="004E2488">
        <w:t xml:space="preserve"> и митническата система за управление на риска – в обща оперативно съвместима система, в която да се събира цялата информация за безопасността на продуктите, се проследяват фалшифицираните продукти, се подават уведомления за инциденти и се осигурява оперативна съвместимост с цифровия продуктов паспорт и бъдещия център за митнически данни на ЕС; призовава Комисията да публикува информация относно графика за изпълнение и нуждите от ресурси на тази инициатива;</w:t>
      </w:r>
    </w:p>
    <w:p w14:paraId="124F80E8" w14:textId="77777777" w:rsidR="00B23AA6" w:rsidRPr="004E2488" w:rsidRDefault="00B23AA6" w:rsidP="00B23AA6">
      <w:pPr>
        <w:pStyle w:val="NormalHanging12a"/>
        <w:rPr>
          <w:szCs w:val="24"/>
        </w:rPr>
      </w:pPr>
      <w:r w:rsidRPr="004E2488">
        <w:t>67.</w:t>
      </w:r>
      <w:r w:rsidRPr="004E2488">
        <w:tab/>
        <w:t xml:space="preserve">подкрепя целта на Комисията да предостави на органите за надзор на пазара инструмента за електронно наблюдение </w:t>
      </w:r>
      <w:proofErr w:type="spellStart"/>
      <w:r w:rsidRPr="004E2488">
        <w:t>WebСrawler</w:t>
      </w:r>
      <w:proofErr w:type="spellEnd"/>
      <w:r w:rsidRPr="004E2488">
        <w:t xml:space="preserve"> (</w:t>
      </w:r>
      <w:proofErr w:type="spellStart"/>
      <w:r w:rsidRPr="004E2488">
        <w:t>уебпаяк</w:t>
      </w:r>
      <w:proofErr w:type="spellEnd"/>
      <w:r w:rsidRPr="004E2488">
        <w:t xml:space="preserve">) за обозначаване на повторна поява на опасни продукти; отправя искане към Комисията да предостави на разположение още един </w:t>
      </w:r>
      <w:proofErr w:type="spellStart"/>
      <w:r w:rsidRPr="004E2488">
        <w:t>уебпаяк</w:t>
      </w:r>
      <w:proofErr w:type="spellEnd"/>
      <w:r w:rsidRPr="004E2488">
        <w:t xml:space="preserve"> за откриване на нови регистрации на продукти във възможно най-кратък срок с цел обозначаване на несъответстващи на изискванията продукти преди да достигнат до потребителите;</w:t>
      </w:r>
    </w:p>
    <w:p w14:paraId="0F1102B3" w14:textId="77777777" w:rsidR="00B23AA6" w:rsidRPr="004E2488" w:rsidRDefault="00B23AA6" w:rsidP="00B23AA6">
      <w:pPr>
        <w:pStyle w:val="NormalHanging12a"/>
        <w:rPr>
          <w:szCs w:val="24"/>
        </w:rPr>
      </w:pPr>
      <w:r w:rsidRPr="004E2488">
        <w:lastRenderedPageBreak/>
        <w:t>68.</w:t>
      </w:r>
      <w:r w:rsidRPr="004E2488">
        <w:tab/>
        <w:t>подкрепя отговорното използване на изкуствен интелект, блокови вериги и интернет на нещата за сканиране и анализиране на списъците на продукти на платформите за електронна търговия, автоматизиране на митническите проверки и проверките в рамките на надзора на пазара, идентифициране на риска и интегриране на базите данни за съответствието на продуктите с цел проверки в реално време между органите за надзор на пазара и митническите органи, в съответствие със законодателството на ЕС и националното законодателство; отбелязва обаче, че високите разходи за прилагане на тези технологии продължават да бъдат пречка; подчертава, че пълното навлизане на тези технологии ще направи по-ефективно обработването, особено за стоките с ниска стойност, и че големият обем пратки, съдържащи множество различни артикули, предполага ограничени възможности за проверки;</w:t>
      </w:r>
    </w:p>
    <w:p w14:paraId="1AA14C45" w14:textId="77777777" w:rsidR="00B23AA6" w:rsidRPr="004E2488" w:rsidRDefault="00B23AA6" w:rsidP="00B23AA6">
      <w:pPr>
        <w:pStyle w:val="NormalHanging12a"/>
      </w:pPr>
      <w:r w:rsidRPr="004E2488">
        <w:t>69.</w:t>
      </w:r>
      <w:r w:rsidRPr="004E2488">
        <w:tab/>
        <w:t>отправя искане към Комисията и държавите членки да обменят най-добри практики и да намерят стимули за предоставяне на необходимото финансиране и подкрепа за националните органи, за да се увеличи отговорното използване на технологични решения; предлага изкуственият интелект, блоковите вериги и интернетът на нещата да могат да се използват за сканиране и анализ на списъците на продукти на платформите за електронна търговия, за автоматизиране на проверките, за профилирането на риска и за интегриране на бази данни за съответствието на продуктите с цел проверки в реално време от страна на няколко органа;</w:t>
      </w:r>
    </w:p>
    <w:p w14:paraId="38F7B23B" w14:textId="77777777" w:rsidR="00B23AA6" w:rsidRPr="004E2488" w:rsidRDefault="00B23AA6" w:rsidP="00B23AA6">
      <w:pPr>
        <w:pStyle w:val="NormalHanging12a"/>
        <w:rPr>
          <w:szCs w:val="24"/>
        </w:rPr>
      </w:pPr>
      <w:r w:rsidRPr="004E2488">
        <w:t>70.</w:t>
      </w:r>
      <w:r w:rsidRPr="004E2488">
        <w:tab/>
        <w:t>подчертава, че държавите членки следва да засилят митническите проверки, в частност на пратките с ниска стойност чрез въвеждане на системи за основана на риска оценка и цифрово проследяване, за да предотвратят заобикалянето на митническите проверки от несъответстващи на изискванията продукти; призовава държавите членки да увеличат равнището на автоматизираните процеси, като например автоматизираното сканиране на етикети при обработването на пратки в митническите пунктове;</w:t>
      </w:r>
    </w:p>
    <w:p w14:paraId="117D5FFF" w14:textId="77777777" w:rsidR="00B23AA6" w:rsidRPr="004E2488" w:rsidRDefault="00B23AA6" w:rsidP="00B23AA6">
      <w:pPr>
        <w:pStyle w:val="NormalHanging12a"/>
        <w:rPr>
          <w:szCs w:val="24"/>
        </w:rPr>
      </w:pPr>
      <w:r w:rsidRPr="004E2488">
        <w:t>71.</w:t>
      </w:r>
      <w:r w:rsidRPr="004E2488">
        <w:tab/>
        <w:t>признава, че някои онлайн места за търговия използват също така редица ИТ инструменти за откриване и премахване на опасни и незаконни продукти, открити на техните платформи; подчертава обаче факта, че онлайн местата за търговия трябва да продължат да инвестират в тези ИТ инструменти и да увеличат използването им, за да се избягва ефективно предлагането и продажбата на опасни и незаконни продукти; призовава Комисията допълнително да стимулира използването на ИТ инструменти от онлайн местата за търговия в тази връзка, като същевременно гарантира пълно спазване на член 8 от Акта за цифровите услуги, съгласно който на доставчиците на посреднически услуги не се налага общо задължение за наблюдение на информацията, която те пренасят или съхраняват;</w:t>
      </w:r>
    </w:p>
    <w:p w14:paraId="11D875F5" w14:textId="77777777" w:rsidR="00B23AA6" w:rsidRPr="004E2488" w:rsidRDefault="00B23AA6" w:rsidP="00B23AA6">
      <w:pPr>
        <w:pStyle w:val="NormalHanging12a"/>
        <w:rPr>
          <w:szCs w:val="24"/>
        </w:rPr>
      </w:pPr>
      <w:r w:rsidRPr="004E2488">
        <w:t>72.</w:t>
      </w:r>
      <w:r w:rsidRPr="004E2488">
        <w:tab/>
        <w:t xml:space="preserve">предлага, без да се засяга принципът, залегнал в Законодателния акт за цифровите услуги, че доставчиците на посреднически услуги онлайн не следва да подлежат на задължение за наблюдение по отношение на задълженията от общ характер, онлайн посредниците, участващи в продажбата, популяризирането или разпространението на продукти на пазара на ЕС, следва сами да обмислят използването на основани на риска цифрови системи за наблюдение с цел идентифициране и предотвратяване на наличието на незаконно съдържание (представяне, описание или предлагане за продажба на незаконни или опасни </w:t>
      </w:r>
      <w:r w:rsidRPr="004E2488">
        <w:lastRenderedPageBreak/>
        <w:t>продукти); подчертава значението на прилагането на механизми за бързо реагиране, за да се гарантира трайното премахване на конкретно незаконно съдържание веднага щом доставчиците на посреднически онлайн услуги действително знаят, че такова незаконно съдържание се представя в техните интерфейси, както и необходимостта доставчиците на хостинг услуги да предприемат всички необходими мерки за предотвратяване на повторната поява на същото или еквивалентно незаконно съдържание на тяхната платформа;</w:t>
      </w:r>
    </w:p>
    <w:p w14:paraId="3831F3F3" w14:textId="77777777" w:rsidR="00B23AA6" w:rsidRPr="004E2488" w:rsidRDefault="00B23AA6" w:rsidP="00B23AA6">
      <w:pPr>
        <w:pStyle w:val="Normal12a24b"/>
      </w:pPr>
      <w:r w:rsidRPr="004E2488">
        <w:rPr>
          <w:rStyle w:val="BoldItalic"/>
        </w:rPr>
        <w:t>Подобряване на осведомеността и информирането на потребителите</w:t>
      </w:r>
    </w:p>
    <w:p w14:paraId="6F6870BD" w14:textId="77777777" w:rsidR="00B23AA6" w:rsidRPr="004E2488" w:rsidRDefault="00B23AA6" w:rsidP="00B23AA6">
      <w:pPr>
        <w:pStyle w:val="NormalHanging12a"/>
      </w:pPr>
      <w:r w:rsidRPr="004E2488">
        <w:t>73.</w:t>
      </w:r>
      <w:r w:rsidRPr="004E2488">
        <w:tab/>
        <w:t xml:space="preserve">подчертава, че потребителите в ЕС и европейските МСП, които извършват дейности по внос, често не разполагат с достатъчна информация за възможните рискове от потенциално опасни продукти и за вредите, които такива продукти могат да причинят; подчертава, че потребителите все по-често стават обект на търговци, които въпреки правните си задължения често не ги информират, че продуктите им са произведени и изпратени от държава извън ЕС; признава, че сред потребителите в ЕС съществува търсене на по-евтини продукти, които се купуват на онлайн места за търговия извън ЕС, поради много по-ниските им производствени разходи и неконкурентните условия за предприятията и онлайн платформите от ЕС; подчертава, че онлайн местата за търговия могат да използват техники за манипулативно проектиране (тъмни модели), за да повлияят на решенията за покупка; предупреждава за рисковете, свързани с поведението на </w:t>
      </w:r>
      <w:proofErr w:type="spellStart"/>
      <w:r w:rsidRPr="004E2488">
        <w:t>компулсивно</w:t>
      </w:r>
      <w:proofErr w:type="spellEnd"/>
      <w:r w:rsidRPr="004E2488">
        <w:t xml:space="preserve"> пазаруване, финансовите затруднения и трупането на ненужни стоки; призовава Комисията и държавите членки да организират информационни кампании и кампании за повишаване на осведомеността относно закупуването на опасни продукти онлайн и възможните последици за здравето, неприкосновеността на личния живот, околната среда и конкурентоспособността, със специален акцент върху уязвимите потребители и в пиковите периоди на потребление;</w:t>
      </w:r>
    </w:p>
    <w:p w14:paraId="14B9FD19" w14:textId="77777777" w:rsidR="00B23AA6" w:rsidRPr="004E2488" w:rsidRDefault="00B23AA6" w:rsidP="00B23AA6">
      <w:pPr>
        <w:pStyle w:val="NormalHanging12a"/>
        <w:rPr>
          <w:szCs w:val="24"/>
        </w:rPr>
      </w:pPr>
      <w:r w:rsidRPr="004E2488">
        <w:t>74.</w:t>
      </w:r>
      <w:r w:rsidRPr="004E2488">
        <w:tab/>
        <w:t>препоръчва потреблението на стоки втора употреба да се насърчава като устойчив подход за посрещане на нуждите на потребителите в ЕС от финансово достъпни стоки; подчертава, че е важно да се насърчава и стимулира повторната употреба на продукти втора употреба като важен фактор за разгръщане на потенциала на кръговата икономика;</w:t>
      </w:r>
    </w:p>
    <w:p w14:paraId="3E2F5411" w14:textId="77777777" w:rsidR="00B23AA6" w:rsidRPr="004E2488" w:rsidRDefault="00B23AA6" w:rsidP="00B23AA6">
      <w:pPr>
        <w:pStyle w:val="NormalHanging12a"/>
      </w:pPr>
      <w:r w:rsidRPr="004E2488">
        <w:t>75.</w:t>
      </w:r>
      <w:r w:rsidRPr="004E2488">
        <w:tab/>
        <w:t>отправя искане към Комисията и държавите членки да прилагат стриктно изискванията за екопроектиране на текстилните и другите продукти съгласно Регламента за екопроектирането на устойчиви продукти, както и разпоредбите на Директивата относно предоставянето на повече права на потребителите в контекста на екологичния преход</w:t>
      </w:r>
      <w:r w:rsidRPr="004E2488">
        <w:rPr>
          <w:vertAlign w:val="superscript"/>
        </w:rPr>
        <w:footnoteReference w:id="14"/>
      </w:r>
      <w:r w:rsidRPr="004E2488">
        <w:t xml:space="preserve">, за да гарантира, че потребителите са по-добре информирани относно аспектите, свързани с устойчивостта, като например въздействието върху околната среда, използването на енергия, </w:t>
      </w:r>
      <w:proofErr w:type="spellStart"/>
      <w:r w:rsidRPr="004E2488">
        <w:lastRenderedPageBreak/>
        <w:t>ремонтопригодността</w:t>
      </w:r>
      <w:proofErr w:type="spellEnd"/>
      <w:r w:rsidRPr="004E2488">
        <w:t xml:space="preserve"> или трайността на продуктите, закупувани на онлайн места за търговия;</w:t>
      </w:r>
    </w:p>
    <w:p w14:paraId="38B8DB8E" w14:textId="77777777" w:rsidR="00B23AA6" w:rsidRPr="004E2488" w:rsidRDefault="00B23AA6" w:rsidP="00B23AA6">
      <w:pPr>
        <w:pStyle w:val="NormalHanging12a"/>
      </w:pPr>
      <w:r w:rsidRPr="004E2488">
        <w:t>76.</w:t>
      </w:r>
      <w:r w:rsidRPr="004E2488">
        <w:tab/>
        <w:t xml:space="preserve">счита, че органите за защита на потребителите, организациите, браншовите асоциации и търговските камари следва да бъдат насърчавани да провеждат големи, координирани кампании за повишаване на осведомеността относно правата на потребителите, потенциалните рискове, включително възможностите за колективна защита, и механизмите за правна защита при покупки онлайн, по-специално на онлайн платформи извън ЕС; подчертава необходимостта също така да се повиши осведомеността относно екологичното, здравното и социалното въздействие на неустойчивите бизнес практики и да се предупреждават потребителите за ролята на новите рекламни техники, като например </w:t>
      </w:r>
      <w:proofErr w:type="spellStart"/>
      <w:r w:rsidRPr="004E2488">
        <w:t>инфлуенсъри</w:t>
      </w:r>
      <w:proofErr w:type="spellEnd"/>
      <w:r w:rsidRPr="004E2488">
        <w:t xml:space="preserve"> и лица, формиращи общественото мнение в цифровата среда, за формирането на възприятията за безопасността и надеждността на продуктите; призовава Комисията да поеме ролята на координатор, както е посочено в съобщението на Комисията от 5 февруари 2025 г. относно електронната търговия, като проучи възможностите за финансиране на трансгранични информационни кампании, разработени в сътрудничество с изследователи, гражданското общество и други заинтересовани страни;</w:t>
      </w:r>
    </w:p>
    <w:p w14:paraId="26CBA616" w14:textId="77777777" w:rsidR="00B23AA6" w:rsidRPr="004E2488" w:rsidRDefault="00B23AA6" w:rsidP="00B23AA6">
      <w:pPr>
        <w:pStyle w:val="NormalHanging12a"/>
        <w:rPr>
          <w:b/>
          <w:i/>
        </w:rPr>
      </w:pPr>
      <w:r w:rsidRPr="004E2488">
        <w:rPr>
          <w:b/>
          <w:i/>
        </w:rPr>
        <w:t>Съображения, свързани с търговията и развитието</w:t>
      </w:r>
    </w:p>
    <w:p w14:paraId="6DAF691D" w14:textId="77777777" w:rsidR="00B23AA6" w:rsidRPr="004E2488" w:rsidRDefault="00B23AA6" w:rsidP="00B23AA6">
      <w:pPr>
        <w:pStyle w:val="NormalHanging12a"/>
      </w:pPr>
      <w:r w:rsidRPr="004E2488">
        <w:t>77.</w:t>
      </w:r>
      <w:r w:rsidRPr="004E2488">
        <w:tab/>
        <w:t>призовава Комисията да приложи равнището си на амбиция в споразуменията с международни партньори на многостранно равнище, тъй като опасните продукти представляват не само европейско, а и глобално предизвикателство; отново заявява, че съгласно посоченото в позицията на Парламента относно преразглеждането на МКС, Митническият орган на ЕС следва да създаде работни споразумения с органите на държави извън ЕС и международни организации; подчертава, че тези споразумения следва да позволят на Митническия орган на ЕС да обменя информация, включително най-добри практики, с органите на държави извън ЕС и международни организации, и да извършва съвместни дейности; подкрепя продължаващото участие в работната група на ООН относно търговията и развитието по въпросите на безопасността на потребителските продукти, която играе ключова роля в разработването на най-добри практики за трансгранично правоприлагане;</w:t>
      </w:r>
    </w:p>
    <w:p w14:paraId="7D60768A" w14:textId="77777777" w:rsidR="00B23AA6" w:rsidRPr="004E2488" w:rsidRDefault="00B23AA6" w:rsidP="00B23AA6">
      <w:pPr>
        <w:pStyle w:val="NormalHanging12a"/>
        <w:rPr>
          <w:szCs w:val="24"/>
        </w:rPr>
      </w:pPr>
      <w:r w:rsidRPr="004E2488">
        <w:t>78.</w:t>
      </w:r>
      <w:r w:rsidRPr="004E2488">
        <w:tab/>
        <w:t>призовава Комисията да засили сътрудничеството с международните партньори в рамките на форуми като СТО, Световната митническа организация (СМО) и Г-7, за да се противодейства на влиянието на Китай и да се гарантира реципрочност и основана на правила търговия; призовава Комисията изрично да включи строги и приложими задължения относно принудителния труд при прегледа и предоговарянето на настоящите търговски и инвестиционни споразумения; подчертава необходимостта от по-силни механизми за сътрудничество между ЕС и Китай и от прозрачни изисквания за сертифициране, за да се гарантира съответствие;</w:t>
      </w:r>
    </w:p>
    <w:p w14:paraId="78B099D2" w14:textId="77777777" w:rsidR="00B23AA6" w:rsidRPr="004E2488" w:rsidRDefault="00B23AA6" w:rsidP="00B23AA6">
      <w:pPr>
        <w:pStyle w:val="NormalHanging12a"/>
        <w:rPr>
          <w:szCs w:val="24"/>
        </w:rPr>
      </w:pPr>
      <w:r w:rsidRPr="004E2488">
        <w:t>79.</w:t>
      </w:r>
      <w:r w:rsidRPr="004E2488">
        <w:tab/>
        <w:t xml:space="preserve">подчертава необходимостта при договарянето на бъдещи търговски споразумения на ЕС да се вземат предвид безопасността на услугите и продуктите, както и разпоредбите относно съответствието с нормативните изисквания; подчертава значението на специфичните регулаторни диалози и сътрудничеството въз основа на административни договорености, на по-доброто сътрудничество в областта на </w:t>
      </w:r>
      <w:r w:rsidRPr="004E2488">
        <w:lastRenderedPageBreak/>
        <w:t>правоприлагането от страна на митниците, на проследимостта на пратките до най-високите стандарти и на засилените договорености за обмен на данни между митническите органи с цел ефективно справяне с неотговарящия на изискванията внос;</w:t>
      </w:r>
    </w:p>
    <w:p w14:paraId="2A09F9B6" w14:textId="77777777" w:rsidR="00B23AA6" w:rsidRPr="004E2488" w:rsidRDefault="00B23AA6" w:rsidP="00B23AA6">
      <w:pPr>
        <w:pStyle w:val="NormalHanging12a"/>
        <w:rPr>
          <w:szCs w:val="24"/>
        </w:rPr>
      </w:pPr>
      <w:r w:rsidRPr="004E2488">
        <w:t>80.</w:t>
      </w:r>
      <w:r w:rsidRPr="004E2488">
        <w:tab/>
        <w:t xml:space="preserve">настоятелно призовава Комисията да бъде проактивна и бързо да прилага целенасочени инструменти за търговска защита, включително </w:t>
      </w:r>
      <w:proofErr w:type="spellStart"/>
      <w:r w:rsidRPr="004E2488">
        <w:t>антисубсидийни</w:t>
      </w:r>
      <w:proofErr w:type="spellEnd"/>
      <w:r w:rsidRPr="004E2488">
        <w:t xml:space="preserve"> разследвания, за да се реши проблемът с неблагоприятните последици за европейските предприятия; подчертава, че тези действия трябва да бъдат тясно координирани с ключови международни партньори, за да се гарантира ефективно прилагане в световен мащаб и реципрочна пазарна справедливост;</w:t>
      </w:r>
    </w:p>
    <w:p w14:paraId="5BBD8EA9" w14:textId="77777777" w:rsidR="00B23AA6" w:rsidRPr="004E2488" w:rsidRDefault="00B23AA6" w:rsidP="00B23AA6">
      <w:pPr>
        <w:pStyle w:val="NormalHanging12a"/>
        <w:rPr>
          <w:szCs w:val="24"/>
        </w:rPr>
      </w:pPr>
      <w:r w:rsidRPr="004E2488">
        <w:t>81.</w:t>
      </w:r>
      <w:r w:rsidRPr="004E2488">
        <w:tab/>
        <w:t>насърчава Комисията да засили дипломатическите усилия и сътрудничеството в рамките на международни форуми, по-специално СТО, СМО и Г-7, за да се противодейства на стратегическата експанзия на Китай в рамките за цифрово управление, включително неговата инициатива за цифров път на коприната; подчертава необходимостта от открити, по-прозрачни и отговорни правила за цифрова търговия в международните органи за определяне на стандарти, за да се предотврати разпокъсаността на интернет и да се смекчат рисковете, породени от рестриктивните модели на цифрово управление;</w:t>
      </w:r>
    </w:p>
    <w:p w14:paraId="1216D78B" w14:textId="77777777" w:rsidR="00B23AA6" w:rsidRPr="004E2488" w:rsidRDefault="00B23AA6" w:rsidP="00B23AA6">
      <w:pPr>
        <w:pStyle w:val="NormalHanging12a"/>
        <w:rPr>
          <w:szCs w:val="24"/>
        </w:rPr>
      </w:pPr>
      <w:r w:rsidRPr="004E2488">
        <w:t>82.</w:t>
      </w:r>
      <w:r w:rsidRPr="004E2488">
        <w:tab/>
        <w:t>приветства инициативата за съвместно изявление относно електронната търговия на СТО като важна стъпка към световни правила за цифровата търговия; подчертава обаче настоящите ѝ ограничения, особено по отношение на митническата прозрачност; настоятелно призовава Комисията да се застъпи за по-строги обвързващи разпоредби, за да се гарантира ефективното ѝ прилагане и интегриране в правната рамка на СТО, както и да се осигурят подобрени стандарти за спазване в световен мащаб;</w:t>
      </w:r>
    </w:p>
    <w:p w14:paraId="3162D2B9" w14:textId="445E65E7" w:rsidR="00B23AA6" w:rsidRDefault="00B23AA6" w:rsidP="00682F5E">
      <w:pPr>
        <w:pStyle w:val="NormalHanging12a"/>
        <w:rPr>
          <w:snapToGrid/>
          <w:lang w:eastAsia="en-GB"/>
        </w:rPr>
      </w:pPr>
      <w:r w:rsidRPr="004E2488">
        <w:t>83.</w:t>
      </w:r>
      <w:r w:rsidRPr="004E2488">
        <w:tab/>
        <w:t>подчертава необходимостта от международни инициативи за изграждане на капацитет в подкрепа на устойчивото и съответстващо на изискванията участие на развиващите се държави в цифровата търговия; призовава Комисията да си сътрудничи тясно с международните организации, особено със СТО, за да се подобрят регулаторните рамки и техническата помощ за електронната търговия в развиващите се държави;</w:t>
      </w:r>
    </w:p>
    <w:p w14:paraId="4210BD04" w14:textId="17302C7B" w:rsidR="00682F5E" w:rsidRDefault="00682F5E" w:rsidP="00682F5E">
      <w:pPr>
        <w:pStyle w:val="NormalHanging12a"/>
        <w:ind w:left="0" w:firstLine="0"/>
        <w:jc w:val="center"/>
      </w:pPr>
      <w:r>
        <w:t>°</w:t>
      </w:r>
    </w:p>
    <w:p w14:paraId="2DDC7B25" w14:textId="7E6D0CDC" w:rsidR="00682F5E" w:rsidRDefault="00682F5E" w:rsidP="00682F5E">
      <w:pPr>
        <w:pStyle w:val="NormalHanging12a"/>
        <w:ind w:left="0" w:firstLine="0"/>
        <w:jc w:val="center"/>
      </w:pPr>
      <w:r>
        <w:t>°     °</w:t>
      </w:r>
    </w:p>
    <w:p w14:paraId="373AD3AE" w14:textId="16D4924D" w:rsidR="004E2488" w:rsidRPr="004E2488" w:rsidRDefault="00B23AA6" w:rsidP="004E2488">
      <w:pPr>
        <w:pStyle w:val="NormalHanging12a"/>
      </w:pPr>
      <w:r w:rsidRPr="004E2488">
        <w:t>84.</w:t>
      </w:r>
      <w:r w:rsidRPr="004E2488">
        <w:tab/>
        <w:t>възлага на своя председател да предаде настоящата резолюция съответно на Съвета и на Комисията.</w:t>
      </w:r>
    </w:p>
    <w:p w14:paraId="65DD5AF3" w14:textId="29403DC5" w:rsidR="00E365E1" w:rsidRPr="004E2488" w:rsidRDefault="00E365E1" w:rsidP="007338F0"/>
    <w:sectPr w:rsidR="00E365E1" w:rsidRPr="004E2488" w:rsidSect="004E248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4BE4B" w14:textId="77777777" w:rsidR="007338F0" w:rsidRPr="004E2488" w:rsidRDefault="007338F0">
      <w:r w:rsidRPr="004E2488">
        <w:separator/>
      </w:r>
    </w:p>
  </w:endnote>
  <w:endnote w:type="continuationSeparator" w:id="0">
    <w:p w14:paraId="13EA7E64" w14:textId="77777777" w:rsidR="007338F0" w:rsidRPr="004E2488" w:rsidRDefault="007338F0">
      <w:r w:rsidRPr="004E24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72C45" w14:textId="77777777" w:rsidR="00064002" w:rsidRPr="004E248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74CA7" w14:textId="77777777" w:rsidR="00064002" w:rsidRPr="004E248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29F65" w14:textId="77777777" w:rsidR="00064002" w:rsidRPr="004E24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00E2A" w14:textId="77777777" w:rsidR="007338F0" w:rsidRPr="004E2488" w:rsidRDefault="007338F0">
      <w:r w:rsidRPr="004E2488">
        <w:separator/>
      </w:r>
    </w:p>
  </w:footnote>
  <w:footnote w:type="continuationSeparator" w:id="0">
    <w:p w14:paraId="1A37F357" w14:textId="77777777" w:rsidR="007338F0" w:rsidRPr="004E2488" w:rsidRDefault="007338F0">
      <w:r w:rsidRPr="004E2488">
        <w:continuationSeparator/>
      </w:r>
    </w:p>
  </w:footnote>
  <w:footnote w:id="1">
    <w:p w14:paraId="77D042F6" w14:textId="670534CD"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OВ C, C/2025/1035, 27.2.2025 г., ELI: </w:t>
      </w:r>
      <w:hyperlink r:id="rId1" w:history="1">
        <w:r w:rsidRPr="004E2488">
          <w:rPr>
            <w:rStyle w:val="Hyperlink"/>
            <w:sz w:val="24"/>
            <w:lang w:val="bg-BG"/>
          </w:rPr>
          <w:t>http://data.europa.eu/eli/C/2025/1035/oj</w:t>
        </w:r>
      </w:hyperlink>
      <w:r w:rsidRPr="004E2488">
        <w:rPr>
          <w:sz w:val="24"/>
          <w:lang w:val="bg-BG"/>
        </w:rPr>
        <w:t>.</w:t>
      </w:r>
    </w:p>
  </w:footnote>
  <w:footnote w:id="2">
    <w:p w14:paraId="0BA5C37E" w14:textId="7DBE4B6C"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ОВ L, 2024/3015, 12.12.2024 г., ELI: </w:t>
      </w:r>
      <w:hyperlink r:id="rId2" w:history="1">
        <w:r w:rsidRPr="004E2488">
          <w:rPr>
            <w:rStyle w:val="Hyperlink"/>
            <w:sz w:val="24"/>
            <w:lang w:val="bg-BG"/>
          </w:rPr>
          <w:t>http://data.europa.eu/eli/reg/2024/3015/oj</w:t>
        </w:r>
      </w:hyperlink>
      <w:r w:rsidRPr="004E2488">
        <w:rPr>
          <w:sz w:val="24"/>
          <w:lang w:val="bg-BG"/>
        </w:rPr>
        <w:t>.</w:t>
      </w:r>
    </w:p>
  </w:footnote>
  <w:footnote w:id="3">
    <w:p w14:paraId="71497071" w14:textId="74FB41B5"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ОВ L, 2024/1760, 5.7.2024 г., ELI: </w:t>
      </w:r>
      <w:hyperlink r:id="rId3" w:history="1">
        <w:r w:rsidRPr="004E2488">
          <w:rPr>
            <w:rStyle w:val="Hyperlink"/>
            <w:sz w:val="24"/>
            <w:lang w:val="bg-BG"/>
          </w:rPr>
          <w:t>http://data.europa.eu/eli/dir/2024/1760/oj</w:t>
        </w:r>
      </w:hyperlink>
      <w:r w:rsidRPr="004E2488">
        <w:rPr>
          <w:sz w:val="24"/>
          <w:lang w:val="bg-BG"/>
        </w:rPr>
        <w:t>.</w:t>
      </w:r>
    </w:p>
  </w:footnote>
  <w:footnote w:id="4">
    <w:p w14:paraId="296B9DAE" w14:textId="428E0CC0"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Доклад на Лета Е., </w:t>
      </w:r>
      <w:proofErr w:type="spellStart"/>
      <w:r w:rsidRPr="004E2488">
        <w:rPr>
          <w:i/>
          <w:iCs/>
          <w:sz w:val="24"/>
          <w:lang w:val="bg-BG"/>
        </w:rPr>
        <w:t>Much</w:t>
      </w:r>
      <w:proofErr w:type="spellEnd"/>
      <w:r w:rsidRPr="004E2488">
        <w:rPr>
          <w:i/>
          <w:iCs/>
          <w:sz w:val="24"/>
          <w:lang w:val="bg-BG"/>
        </w:rPr>
        <w:t xml:space="preserve"> </w:t>
      </w:r>
      <w:proofErr w:type="spellStart"/>
      <w:r w:rsidRPr="004E2488">
        <w:rPr>
          <w:i/>
          <w:iCs/>
          <w:sz w:val="24"/>
          <w:lang w:val="bg-BG"/>
        </w:rPr>
        <w:t>more</w:t>
      </w:r>
      <w:proofErr w:type="spellEnd"/>
      <w:r w:rsidRPr="004E2488">
        <w:rPr>
          <w:i/>
          <w:iCs/>
          <w:sz w:val="24"/>
          <w:lang w:val="bg-BG"/>
        </w:rPr>
        <w:t xml:space="preserve"> </w:t>
      </w:r>
      <w:proofErr w:type="spellStart"/>
      <w:r w:rsidRPr="004E2488">
        <w:rPr>
          <w:i/>
          <w:iCs/>
          <w:sz w:val="24"/>
          <w:lang w:val="bg-BG"/>
        </w:rPr>
        <w:t>than</w:t>
      </w:r>
      <w:proofErr w:type="spellEnd"/>
      <w:r w:rsidRPr="004E2488">
        <w:rPr>
          <w:i/>
          <w:iCs/>
          <w:sz w:val="24"/>
          <w:lang w:val="bg-BG"/>
        </w:rPr>
        <w:t xml:space="preserve"> a </w:t>
      </w:r>
      <w:proofErr w:type="spellStart"/>
      <w:r w:rsidRPr="004E2488">
        <w:rPr>
          <w:i/>
          <w:iCs/>
          <w:sz w:val="24"/>
          <w:lang w:val="bg-BG"/>
        </w:rPr>
        <w:t>market</w:t>
      </w:r>
      <w:proofErr w:type="spellEnd"/>
      <w:r w:rsidRPr="004E2488">
        <w:rPr>
          <w:i/>
          <w:iCs/>
          <w:sz w:val="24"/>
          <w:lang w:val="bg-BG"/>
        </w:rPr>
        <w:t xml:space="preserve">: </w:t>
      </w:r>
      <w:proofErr w:type="spellStart"/>
      <w:r w:rsidRPr="004E2488">
        <w:rPr>
          <w:i/>
          <w:iCs/>
          <w:sz w:val="24"/>
          <w:lang w:val="bg-BG"/>
        </w:rPr>
        <w:t>Speed</w:t>
      </w:r>
      <w:proofErr w:type="spellEnd"/>
      <w:r w:rsidRPr="004E2488">
        <w:rPr>
          <w:i/>
          <w:iCs/>
          <w:sz w:val="24"/>
          <w:lang w:val="bg-BG"/>
        </w:rPr>
        <w:t xml:space="preserve">, </w:t>
      </w:r>
      <w:proofErr w:type="spellStart"/>
      <w:r w:rsidRPr="004E2488">
        <w:rPr>
          <w:i/>
          <w:iCs/>
          <w:sz w:val="24"/>
          <w:lang w:val="bg-BG"/>
        </w:rPr>
        <w:t>Security</w:t>
      </w:r>
      <w:proofErr w:type="spellEnd"/>
      <w:r w:rsidRPr="004E2488">
        <w:rPr>
          <w:i/>
          <w:iCs/>
          <w:sz w:val="24"/>
          <w:lang w:val="bg-BG"/>
        </w:rPr>
        <w:t xml:space="preserve">, </w:t>
      </w:r>
      <w:proofErr w:type="spellStart"/>
      <w:r w:rsidRPr="004E2488">
        <w:rPr>
          <w:i/>
          <w:iCs/>
          <w:sz w:val="24"/>
          <w:lang w:val="bg-BG"/>
        </w:rPr>
        <w:t>Solidarity</w:t>
      </w:r>
      <w:proofErr w:type="spellEnd"/>
      <w:r w:rsidRPr="004E2488">
        <w:rPr>
          <w:i/>
          <w:iCs/>
          <w:sz w:val="24"/>
          <w:lang w:val="bg-BG"/>
        </w:rPr>
        <w:t xml:space="preserve"> – </w:t>
      </w:r>
      <w:proofErr w:type="spellStart"/>
      <w:r w:rsidRPr="004E2488">
        <w:rPr>
          <w:i/>
          <w:iCs/>
          <w:sz w:val="24"/>
          <w:lang w:val="bg-BG"/>
        </w:rPr>
        <w:t>Empowering</w:t>
      </w:r>
      <w:proofErr w:type="spellEnd"/>
      <w:r w:rsidRPr="004E2488">
        <w:rPr>
          <w:i/>
          <w:iCs/>
          <w:sz w:val="24"/>
          <w:lang w:val="bg-BG"/>
        </w:rPr>
        <w:t xml:space="preserve"> </w:t>
      </w:r>
      <w:proofErr w:type="spellStart"/>
      <w:r w:rsidRPr="004E2488">
        <w:rPr>
          <w:i/>
          <w:iCs/>
          <w:sz w:val="24"/>
          <w:lang w:val="bg-BG"/>
        </w:rPr>
        <w:t>the</w:t>
      </w:r>
      <w:proofErr w:type="spellEnd"/>
      <w:r w:rsidRPr="004E2488">
        <w:rPr>
          <w:i/>
          <w:iCs/>
          <w:sz w:val="24"/>
          <w:lang w:val="bg-BG"/>
        </w:rPr>
        <w:t xml:space="preserve"> </w:t>
      </w:r>
      <w:proofErr w:type="spellStart"/>
      <w:r w:rsidRPr="004E2488">
        <w:rPr>
          <w:i/>
          <w:iCs/>
          <w:sz w:val="24"/>
          <w:lang w:val="bg-BG"/>
        </w:rPr>
        <w:t>Single</w:t>
      </w:r>
      <w:proofErr w:type="spellEnd"/>
      <w:r w:rsidRPr="004E2488">
        <w:rPr>
          <w:i/>
          <w:iCs/>
          <w:sz w:val="24"/>
          <w:lang w:val="bg-BG"/>
        </w:rPr>
        <w:t xml:space="preserve"> Market </w:t>
      </w:r>
      <w:proofErr w:type="spellStart"/>
      <w:r w:rsidRPr="004E2488">
        <w:rPr>
          <w:i/>
          <w:iCs/>
          <w:sz w:val="24"/>
          <w:lang w:val="bg-BG"/>
        </w:rPr>
        <w:t>to</w:t>
      </w:r>
      <w:proofErr w:type="spellEnd"/>
      <w:r w:rsidRPr="004E2488">
        <w:rPr>
          <w:i/>
          <w:iCs/>
          <w:sz w:val="24"/>
          <w:lang w:val="bg-BG"/>
        </w:rPr>
        <w:t xml:space="preserve"> </w:t>
      </w:r>
      <w:proofErr w:type="spellStart"/>
      <w:r w:rsidRPr="004E2488">
        <w:rPr>
          <w:i/>
          <w:iCs/>
          <w:sz w:val="24"/>
          <w:lang w:val="bg-BG"/>
        </w:rPr>
        <w:t>deliver</w:t>
      </w:r>
      <w:proofErr w:type="spellEnd"/>
      <w:r w:rsidRPr="004E2488">
        <w:rPr>
          <w:i/>
          <w:iCs/>
          <w:sz w:val="24"/>
          <w:lang w:val="bg-BG"/>
        </w:rPr>
        <w:t xml:space="preserve"> a </w:t>
      </w:r>
      <w:proofErr w:type="spellStart"/>
      <w:r w:rsidRPr="004E2488">
        <w:rPr>
          <w:i/>
          <w:iCs/>
          <w:sz w:val="24"/>
          <w:lang w:val="bg-BG"/>
        </w:rPr>
        <w:t>sustainable</w:t>
      </w:r>
      <w:proofErr w:type="spellEnd"/>
      <w:r w:rsidRPr="004E2488">
        <w:rPr>
          <w:i/>
          <w:iCs/>
          <w:sz w:val="24"/>
          <w:lang w:val="bg-BG"/>
        </w:rPr>
        <w:t xml:space="preserve"> </w:t>
      </w:r>
      <w:proofErr w:type="spellStart"/>
      <w:r w:rsidRPr="004E2488">
        <w:rPr>
          <w:i/>
          <w:iCs/>
          <w:sz w:val="24"/>
          <w:lang w:val="bg-BG"/>
        </w:rPr>
        <w:t>future</w:t>
      </w:r>
      <w:proofErr w:type="spellEnd"/>
      <w:r w:rsidRPr="004E2488">
        <w:rPr>
          <w:i/>
          <w:iCs/>
          <w:sz w:val="24"/>
          <w:lang w:val="bg-BG"/>
        </w:rPr>
        <w:t xml:space="preserve"> </w:t>
      </w:r>
      <w:proofErr w:type="spellStart"/>
      <w:r w:rsidRPr="004E2488">
        <w:rPr>
          <w:i/>
          <w:iCs/>
          <w:sz w:val="24"/>
          <w:lang w:val="bg-BG"/>
        </w:rPr>
        <w:t>and</w:t>
      </w:r>
      <w:proofErr w:type="spellEnd"/>
      <w:r w:rsidRPr="004E2488">
        <w:rPr>
          <w:i/>
          <w:iCs/>
          <w:sz w:val="24"/>
          <w:lang w:val="bg-BG"/>
        </w:rPr>
        <w:t xml:space="preserve"> </w:t>
      </w:r>
      <w:proofErr w:type="spellStart"/>
      <w:r w:rsidRPr="004E2488">
        <w:rPr>
          <w:i/>
          <w:iCs/>
          <w:sz w:val="24"/>
          <w:lang w:val="bg-BG"/>
        </w:rPr>
        <w:t>prosperity</w:t>
      </w:r>
      <w:proofErr w:type="spellEnd"/>
      <w:r w:rsidRPr="004E2488">
        <w:rPr>
          <w:i/>
          <w:iCs/>
          <w:sz w:val="24"/>
          <w:lang w:val="bg-BG"/>
        </w:rPr>
        <w:t xml:space="preserve"> </w:t>
      </w:r>
      <w:proofErr w:type="spellStart"/>
      <w:r w:rsidRPr="004E2488">
        <w:rPr>
          <w:i/>
          <w:iCs/>
          <w:sz w:val="24"/>
          <w:lang w:val="bg-BG"/>
        </w:rPr>
        <w:t>for</w:t>
      </w:r>
      <w:proofErr w:type="spellEnd"/>
      <w:r w:rsidRPr="004E2488">
        <w:rPr>
          <w:i/>
          <w:iCs/>
          <w:sz w:val="24"/>
          <w:lang w:val="bg-BG"/>
        </w:rPr>
        <w:t xml:space="preserve"> </w:t>
      </w:r>
      <w:proofErr w:type="spellStart"/>
      <w:r w:rsidRPr="004E2488">
        <w:rPr>
          <w:i/>
          <w:iCs/>
          <w:sz w:val="24"/>
          <w:lang w:val="bg-BG"/>
        </w:rPr>
        <w:t>all</w:t>
      </w:r>
      <w:proofErr w:type="spellEnd"/>
      <w:r w:rsidRPr="004E2488">
        <w:rPr>
          <w:i/>
          <w:iCs/>
          <w:sz w:val="24"/>
          <w:lang w:val="bg-BG"/>
        </w:rPr>
        <w:t xml:space="preserve"> EU </w:t>
      </w:r>
      <w:proofErr w:type="spellStart"/>
      <w:r w:rsidRPr="004E2488">
        <w:rPr>
          <w:i/>
          <w:iCs/>
          <w:sz w:val="24"/>
          <w:lang w:val="bg-BG"/>
        </w:rPr>
        <w:t>Citizens</w:t>
      </w:r>
      <w:proofErr w:type="spellEnd"/>
      <w:r w:rsidRPr="004E2488">
        <w:rPr>
          <w:sz w:val="24"/>
          <w:lang w:val="bg-BG"/>
        </w:rPr>
        <w:t xml:space="preserve"> (Много повече от пазар – Бързина, сигурност, солидарност – Създаване на възможности на единния пазар за постигане на устойчиво бъдеще и просперитет за всички граждани на ЕС), април 2024 г., </w:t>
      </w:r>
      <w:hyperlink r:id="rId4" w:history="1">
        <w:r w:rsidRPr="004E2488">
          <w:rPr>
            <w:rStyle w:val="Hyperlink"/>
            <w:sz w:val="24"/>
            <w:lang w:val="bg-BG"/>
          </w:rPr>
          <w:t>https://www.consilium.europa.eu/media/ny3j24sm/much-more-than-a-market-report-by-enrico-letta.pdf</w:t>
        </w:r>
      </w:hyperlink>
    </w:p>
  </w:footnote>
  <w:footnote w:id="5">
    <w:p w14:paraId="208CF527" w14:textId="1F24AC46"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w:t>
      </w:r>
      <w:r w:rsidR="00CF4432">
        <w:rPr>
          <w:sz w:val="24"/>
          <w:lang w:val="bg-BG"/>
        </w:rPr>
        <w:t>(</w:t>
      </w:r>
      <w:r w:rsidRPr="004E2488">
        <w:rPr>
          <w:sz w:val="24"/>
          <w:lang w:val="bg-BG"/>
        </w:rPr>
        <w:t xml:space="preserve">OВ L 277, 27.10.2022 г., </w:t>
      </w:r>
      <w:proofErr w:type="spellStart"/>
      <w:r w:rsidRPr="004E2488">
        <w:rPr>
          <w:sz w:val="24"/>
          <w:lang w:val="bg-BG"/>
        </w:rPr>
        <w:t>стp</w:t>
      </w:r>
      <w:proofErr w:type="spellEnd"/>
      <w:r w:rsidRPr="004E2488">
        <w:rPr>
          <w:sz w:val="24"/>
          <w:lang w:val="bg-BG"/>
        </w:rPr>
        <w:t xml:space="preserve">. 1, ELI: </w:t>
      </w:r>
      <w:hyperlink r:id="rId5" w:history="1">
        <w:r w:rsidRPr="004E2488">
          <w:rPr>
            <w:rStyle w:val="Hyperlink"/>
            <w:sz w:val="24"/>
            <w:lang w:val="bg-BG"/>
          </w:rPr>
          <w:t>http://data.europa.eu/eli/reg/2022/2065/oj</w:t>
        </w:r>
      </w:hyperlink>
      <w:r w:rsidR="00CF4432">
        <w:rPr>
          <w:rStyle w:val="Hyperlink"/>
          <w:sz w:val="24"/>
          <w:lang w:val="bg-BG"/>
        </w:rPr>
        <w:t>)</w:t>
      </w:r>
      <w:r w:rsidRPr="004E2488">
        <w:rPr>
          <w:sz w:val="24"/>
          <w:lang w:val="bg-BG"/>
        </w:rPr>
        <w:t>.</w:t>
      </w:r>
    </w:p>
  </w:footnote>
  <w:footnote w:id="6">
    <w:p w14:paraId="5AA5A3F2" w14:textId="5CF1C914"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Регламент (ЕС) 2023/988 на Европейския парламент и на Съвета от 10 май 2023 г. относно общата безопасност на продуктите, за изменение на Регламент (ЕС) № 1025/2012 на Европейския парламент и на Съвета и на Директива (ЕС) 2020/1828 на Европейския парламент и на Съвета и за отмяна на Директива 2001/95/ЕО на Европейския парламент и на Съвета и на Директива 87/357/ЕИО на Съвета </w:t>
      </w:r>
      <w:r w:rsidR="00CF4432">
        <w:rPr>
          <w:sz w:val="24"/>
          <w:lang w:val="bg-BG"/>
        </w:rPr>
        <w:t>(</w:t>
      </w:r>
      <w:r w:rsidRPr="004E2488">
        <w:rPr>
          <w:sz w:val="24"/>
          <w:lang w:val="bg-BG"/>
        </w:rPr>
        <w:t xml:space="preserve">OВ L 135, 23.5.2023 г., </w:t>
      </w:r>
      <w:proofErr w:type="spellStart"/>
      <w:r w:rsidRPr="004E2488">
        <w:rPr>
          <w:sz w:val="24"/>
          <w:lang w:val="bg-BG"/>
        </w:rPr>
        <w:t>стp</w:t>
      </w:r>
      <w:proofErr w:type="spellEnd"/>
      <w:r w:rsidRPr="004E2488">
        <w:rPr>
          <w:sz w:val="24"/>
          <w:lang w:val="bg-BG"/>
        </w:rPr>
        <w:t xml:space="preserve">. 1, ELI: </w:t>
      </w:r>
      <w:hyperlink r:id="rId6" w:history="1">
        <w:r w:rsidRPr="004E2488">
          <w:rPr>
            <w:rStyle w:val="Hyperlink"/>
            <w:sz w:val="24"/>
            <w:lang w:val="bg-BG"/>
          </w:rPr>
          <w:t>http://data.europa.eu/eli/reg/2023/988/oj</w:t>
        </w:r>
      </w:hyperlink>
      <w:r w:rsidR="00CF4432">
        <w:rPr>
          <w:rStyle w:val="Hyperlink"/>
          <w:sz w:val="24"/>
          <w:lang w:val="bg-BG"/>
        </w:rPr>
        <w:t>)</w:t>
      </w:r>
      <w:r w:rsidRPr="004E2488">
        <w:rPr>
          <w:sz w:val="24"/>
          <w:lang w:val="bg-BG"/>
        </w:rPr>
        <w:t>.</w:t>
      </w:r>
    </w:p>
  </w:footnote>
  <w:footnote w:id="7">
    <w:p w14:paraId="1F8F5F65" w14:textId="42BBE154"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Регламент (ЕС) 2019/1020 на Европейския парламент и на Съвета от 20 юни 2019 г. относно надзора на пазара и съответствието на продуктите и за изменение на Директива 2004/42/ЕО и регламенти (ЕО) № 765/2008 и (ЕС) № 305/2011 </w:t>
      </w:r>
      <w:r w:rsidR="00CF4432">
        <w:rPr>
          <w:sz w:val="24"/>
          <w:lang w:val="bg-BG"/>
        </w:rPr>
        <w:t>(</w:t>
      </w:r>
      <w:r w:rsidRPr="004E2488">
        <w:rPr>
          <w:sz w:val="24"/>
          <w:lang w:val="bg-BG"/>
        </w:rPr>
        <w:t xml:space="preserve">OВ L 169, 25.6.2019 г., </w:t>
      </w:r>
      <w:proofErr w:type="spellStart"/>
      <w:r w:rsidRPr="004E2488">
        <w:rPr>
          <w:sz w:val="24"/>
          <w:lang w:val="bg-BG"/>
        </w:rPr>
        <w:t>стp</w:t>
      </w:r>
      <w:proofErr w:type="spellEnd"/>
      <w:r w:rsidRPr="004E2488">
        <w:rPr>
          <w:sz w:val="24"/>
          <w:lang w:val="bg-BG"/>
        </w:rPr>
        <w:t xml:space="preserve">. 1, ELI: </w:t>
      </w:r>
      <w:hyperlink r:id="rId7" w:history="1">
        <w:r w:rsidRPr="004E2488">
          <w:rPr>
            <w:rStyle w:val="Hyperlink"/>
            <w:sz w:val="24"/>
            <w:lang w:val="bg-BG"/>
          </w:rPr>
          <w:t>http://data.europa.eu/eli/reg/2019/1020/oj</w:t>
        </w:r>
      </w:hyperlink>
      <w:r w:rsidR="00CF4432">
        <w:rPr>
          <w:rStyle w:val="Hyperlink"/>
          <w:sz w:val="24"/>
          <w:lang w:val="bg-BG"/>
        </w:rPr>
        <w:t>)</w:t>
      </w:r>
      <w:r w:rsidRPr="004E2488">
        <w:rPr>
          <w:sz w:val="24"/>
          <w:lang w:val="bg-BG"/>
        </w:rPr>
        <w:t>.</w:t>
      </w:r>
    </w:p>
  </w:footnote>
  <w:footnote w:id="8">
    <w:p w14:paraId="5A4B6F6B" w14:textId="3CC01DEC"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Регламент (ЕС) 2017/2394 на Европейския парламент и на Съвета от 12 декември 2017 г. относно сътрудничеството между националните органи, отговорни за прилагането на законодателството за защита на потребителите и за отмяна на Регламент (ЕО) № 2006/2004 </w:t>
      </w:r>
      <w:r w:rsidR="00CF4432">
        <w:rPr>
          <w:sz w:val="24"/>
          <w:lang w:val="bg-BG"/>
        </w:rPr>
        <w:t>(</w:t>
      </w:r>
      <w:r w:rsidRPr="004E2488">
        <w:rPr>
          <w:sz w:val="24"/>
          <w:lang w:val="bg-BG"/>
        </w:rPr>
        <w:t xml:space="preserve">ОВ L 345, 27.12.2017 г., стр. 1, ELI: </w:t>
      </w:r>
      <w:hyperlink r:id="rId8" w:history="1">
        <w:r w:rsidRPr="004E2488">
          <w:rPr>
            <w:rStyle w:val="Hyperlink"/>
            <w:sz w:val="24"/>
            <w:lang w:val="bg-BG"/>
          </w:rPr>
          <w:t>http://data.europa.eu/eli/reg/2017/2394/oj</w:t>
        </w:r>
      </w:hyperlink>
      <w:r w:rsidR="00CF4432">
        <w:rPr>
          <w:rStyle w:val="Hyperlink"/>
          <w:sz w:val="24"/>
          <w:lang w:val="bg-BG"/>
        </w:rPr>
        <w:t>)</w:t>
      </w:r>
      <w:r w:rsidRPr="004E2488">
        <w:rPr>
          <w:sz w:val="24"/>
          <w:lang w:val="bg-BG"/>
        </w:rPr>
        <w:t>.</w:t>
      </w:r>
    </w:p>
  </w:footnote>
  <w:footnote w:id="9">
    <w:p w14:paraId="1AFE51E3" w14:textId="3148A85F"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Регламент (ЕС) № 952/2013 на Европейския парламент и на Съвета от 9 октомври 2013 г. за създаване на Митнически кодекс на Съюза </w:t>
      </w:r>
      <w:r w:rsidR="00CF4432">
        <w:rPr>
          <w:sz w:val="24"/>
          <w:lang w:val="bg-BG"/>
        </w:rPr>
        <w:t>(</w:t>
      </w:r>
      <w:r w:rsidRPr="004E2488">
        <w:rPr>
          <w:sz w:val="24"/>
          <w:lang w:val="bg-BG"/>
        </w:rPr>
        <w:t xml:space="preserve">ОВ L 269, 10.10.2013 г., стр. 1, ELI: </w:t>
      </w:r>
      <w:hyperlink r:id="rId9" w:history="1">
        <w:r w:rsidRPr="004E2488">
          <w:rPr>
            <w:rStyle w:val="Hyperlink"/>
            <w:sz w:val="24"/>
            <w:lang w:val="bg-BG"/>
          </w:rPr>
          <w:t>http://data.europa.eu/eli/reg/2013/952/oj</w:t>
        </w:r>
      </w:hyperlink>
      <w:r w:rsidR="00CF4432">
        <w:rPr>
          <w:rStyle w:val="Hyperlink"/>
          <w:sz w:val="24"/>
          <w:lang w:val="bg-BG"/>
        </w:rPr>
        <w:t>)</w:t>
      </w:r>
      <w:r w:rsidRPr="004E2488">
        <w:rPr>
          <w:sz w:val="24"/>
          <w:lang w:val="bg-BG"/>
        </w:rPr>
        <w:t>.</w:t>
      </w:r>
    </w:p>
  </w:footnote>
  <w:footnote w:id="10">
    <w:p w14:paraId="2998282A" w14:textId="17A50D2D"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Доклад на Лета Е., </w:t>
      </w:r>
      <w:proofErr w:type="spellStart"/>
      <w:r w:rsidRPr="004E2488">
        <w:rPr>
          <w:i/>
          <w:iCs/>
          <w:sz w:val="24"/>
          <w:lang w:val="bg-BG"/>
        </w:rPr>
        <w:t>Much</w:t>
      </w:r>
      <w:proofErr w:type="spellEnd"/>
      <w:r w:rsidRPr="004E2488">
        <w:rPr>
          <w:i/>
          <w:iCs/>
          <w:sz w:val="24"/>
          <w:lang w:val="bg-BG"/>
        </w:rPr>
        <w:t xml:space="preserve"> </w:t>
      </w:r>
      <w:proofErr w:type="spellStart"/>
      <w:r w:rsidRPr="004E2488">
        <w:rPr>
          <w:i/>
          <w:iCs/>
          <w:sz w:val="24"/>
          <w:lang w:val="bg-BG"/>
        </w:rPr>
        <w:t>more</w:t>
      </w:r>
      <w:proofErr w:type="spellEnd"/>
      <w:r w:rsidRPr="004E2488">
        <w:rPr>
          <w:i/>
          <w:iCs/>
          <w:sz w:val="24"/>
          <w:lang w:val="bg-BG"/>
        </w:rPr>
        <w:t xml:space="preserve"> </w:t>
      </w:r>
      <w:proofErr w:type="spellStart"/>
      <w:r w:rsidRPr="004E2488">
        <w:rPr>
          <w:i/>
          <w:iCs/>
          <w:sz w:val="24"/>
          <w:lang w:val="bg-BG"/>
        </w:rPr>
        <w:t>than</w:t>
      </w:r>
      <w:proofErr w:type="spellEnd"/>
      <w:r w:rsidRPr="004E2488">
        <w:rPr>
          <w:i/>
          <w:iCs/>
          <w:sz w:val="24"/>
          <w:lang w:val="bg-BG"/>
        </w:rPr>
        <w:t xml:space="preserve"> a </w:t>
      </w:r>
      <w:proofErr w:type="spellStart"/>
      <w:r w:rsidRPr="004E2488">
        <w:rPr>
          <w:i/>
          <w:iCs/>
          <w:sz w:val="24"/>
          <w:lang w:val="bg-BG"/>
        </w:rPr>
        <w:t>market</w:t>
      </w:r>
      <w:proofErr w:type="spellEnd"/>
      <w:r w:rsidRPr="004E2488">
        <w:rPr>
          <w:i/>
          <w:iCs/>
          <w:sz w:val="24"/>
          <w:lang w:val="bg-BG"/>
        </w:rPr>
        <w:t>:</w:t>
      </w:r>
      <w:r w:rsidRPr="004E2488">
        <w:rPr>
          <w:sz w:val="24"/>
          <w:lang w:val="bg-BG"/>
        </w:rPr>
        <w:t xml:space="preserve"> </w:t>
      </w:r>
      <w:proofErr w:type="spellStart"/>
      <w:r w:rsidRPr="004E2488">
        <w:rPr>
          <w:i/>
          <w:iCs/>
          <w:sz w:val="24"/>
          <w:lang w:val="bg-BG"/>
        </w:rPr>
        <w:t>Speed</w:t>
      </w:r>
      <w:proofErr w:type="spellEnd"/>
      <w:r w:rsidRPr="004E2488">
        <w:rPr>
          <w:i/>
          <w:iCs/>
          <w:sz w:val="24"/>
          <w:lang w:val="bg-BG"/>
        </w:rPr>
        <w:t xml:space="preserve">, </w:t>
      </w:r>
      <w:proofErr w:type="spellStart"/>
      <w:r w:rsidRPr="004E2488">
        <w:rPr>
          <w:i/>
          <w:iCs/>
          <w:sz w:val="24"/>
          <w:lang w:val="bg-BG"/>
        </w:rPr>
        <w:t>Security</w:t>
      </w:r>
      <w:proofErr w:type="spellEnd"/>
      <w:r w:rsidRPr="004E2488">
        <w:rPr>
          <w:i/>
          <w:iCs/>
          <w:sz w:val="24"/>
          <w:lang w:val="bg-BG"/>
        </w:rPr>
        <w:t xml:space="preserve">, </w:t>
      </w:r>
      <w:proofErr w:type="spellStart"/>
      <w:r w:rsidRPr="004E2488">
        <w:rPr>
          <w:i/>
          <w:iCs/>
          <w:sz w:val="24"/>
          <w:lang w:val="bg-BG"/>
        </w:rPr>
        <w:t>Solidarity</w:t>
      </w:r>
      <w:proofErr w:type="spellEnd"/>
      <w:r w:rsidRPr="004E2488">
        <w:rPr>
          <w:i/>
          <w:iCs/>
          <w:sz w:val="24"/>
          <w:lang w:val="bg-BG"/>
        </w:rPr>
        <w:t xml:space="preserve"> – </w:t>
      </w:r>
      <w:proofErr w:type="spellStart"/>
      <w:r w:rsidRPr="004E2488">
        <w:rPr>
          <w:i/>
          <w:iCs/>
          <w:sz w:val="24"/>
          <w:lang w:val="bg-BG"/>
        </w:rPr>
        <w:t>Empowering</w:t>
      </w:r>
      <w:proofErr w:type="spellEnd"/>
      <w:r w:rsidRPr="004E2488">
        <w:rPr>
          <w:i/>
          <w:iCs/>
          <w:sz w:val="24"/>
          <w:lang w:val="bg-BG"/>
        </w:rPr>
        <w:t xml:space="preserve"> </w:t>
      </w:r>
      <w:proofErr w:type="spellStart"/>
      <w:r w:rsidRPr="004E2488">
        <w:rPr>
          <w:i/>
          <w:iCs/>
          <w:sz w:val="24"/>
          <w:lang w:val="bg-BG"/>
        </w:rPr>
        <w:t>the</w:t>
      </w:r>
      <w:proofErr w:type="spellEnd"/>
      <w:r w:rsidRPr="004E2488">
        <w:rPr>
          <w:i/>
          <w:iCs/>
          <w:sz w:val="24"/>
          <w:lang w:val="bg-BG"/>
        </w:rPr>
        <w:t xml:space="preserve"> </w:t>
      </w:r>
      <w:proofErr w:type="spellStart"/>
      <w:r w:rsidRPr="004E2488">
        <w:rPr>
          <w:i/>
          <w:iCs/>
          <w:sz w:val="24"/>
          <w:lang w:val="bg-BG"/>
        </w:rPr>
        <w:t>Single</w:t>
      </w:r>
      <w:proofErr w:type="spellEnd"/>
      <w:r w:rsidRPr="004E2488">
        <w:rPr>
          <w:i/>
          <w:iCs/>
          <w:sz w:val="24"/>
          <w:lang w:val="bg-BG"/>
        </w:rPr>
        <w:t xml:space="preserve"> Market </w:t>
      </w:r>
      <w:proofErr w:type="spellStart"/>
      <w:r w:rsidRPr="004E2488">
        <w:rPr>
          <w:i/>
          <w:iCs/>
          <w:sz w:val="24"/>
          <w:lang w:val="bg-BG"/>
        </w:rPr>
        <w:t>to</w:t>
      </w:r>
      <w:proofErr w:type="spellEnd"/>
      <w:r w:rsidRPr="004E2488">
        <w:rPr>
          <w:i/>
          <w:iCs/>
          <w:sz w:val="24"/>
          <w:lang w:val="bg-BG"/>
        </w:rPr>
        <w:t xml:space="preserve"> </w:t>
      </w:r>
      <w:proofErr w:type="spellStart"/>
      <w:r w:rsidRPr="004E2488">
        <w:rPr>
          <w:i/>
          <w:iCs/>
          <w:sz w:val="24"/>
          <w:lang w:val="bg-BG"/>
        </w:rPr>
        <w:t>deliver</w:t>
      </w:r>
      <w:proofErr w:type="spellEnd"/>
      <w:r w:rsidRPr="004E2488">
        <w:rPr>
          <w:i/>
          <w:iCs/>
          <w:sz w:val="24"/>
          <w:lang w:val="bg-BG"/>
        </w:rPr>
        <w:t xml:space="preserve"> a </w:t>
      </w:r>
      <w:proofErr w:type="spellStart"/>
      <w:r w:rsidRPr="004E2488">
        <w:rPr>
          <w:i/>
          <w:iCs/>
          <w:sz w:val="24"/>
          <w:lang w:val="bg-BG"/>
        </w:rPr>
        <w:t>sustainable</w:t>
      </w:r>
      <w:proofErr w:type="spellEnd"/>
      <w:r w:rsidRPr="004E2488">
        <w:rPr>
          <w:i/>
          <w:iCs/>
          <w:sz w:val="24"/>
          <w:lang w:val="bg-BG"/>
        </w:rPr>
        <w:t xml:space="preserve"> </w:t>
      </w:r>
      <w:proofErr w:type="spellStart"/>
      <w:r w:rsidRPr="004E2488">
        <w:rPr>
          <w:i/>
          <w:iCs/>
          <w:sz w:val="24"/>
          <w:lang w:val="bg-BG"/>
        </w:rPr>
        <w:t>future</w:t>
      </w:r>
      <w:proofErr w:type="spellEnd"/>
      <w:r w:rsidRPr="004E2488">
        <w:rPr>
          <w:i/>
          <w:iCs/>
          <w:sz w:val="24"/>
          <w:lang w:val="bg-BG"/>
        </w:rPr>
        <w:t xml:space="preserve"> </w:t>
      </w:r>
      <w:proofErr w:type="spellStart"/>
      <w:r w:rsidRPr="004E2488">
        <w:rPr>
          <w:i/>
          <w:iCs/>
          <w:sz w:val="24"/>
          <w:lang w:val="bg-BG"/>
        </w:rPr>
        <w:t>and</w:t>
      </w:r>
      <w:proofErr w:type="spellEnd"/>
      <w:r w:rsidRPr="004E2488">
        <w:rPr>
          <w:i/>
          <w:iCs/>
          <w:sz w:val="24"/>
          <w:lang w:val="bg-BG"/>
        </w:rPr>
        <w:t xml:space="preserve"> </w:t>
      </w:r>
      <w:proofErr w:type="spellStart"/>
      <w:r w:rsidRPr="004E2488">
        <w:rPr>
          <w:i/>
          <w:iCs/>
          <w:sz w:val="24"/>
          <w:lang w:val="bg-BG"/>
        </w:rPr>
        <w:t>prosperity</w:t>
      </w:r>
      <w:proofErr w:type="spellEnd"/>
      <w:r w:rsidRPr="004E2488">
        <w:rPr>
          <w:i/>
          <w:iCs/>
          <w:sz w:val="24"/>
          <w:lang w:val="bg-BG"/>
        </w:rPr>
        <w:t xml:space="preserve"> </w:t>
      </w:r>
      <w:proofErr w:type="spellStart"/>
      <w:r w:rsidRPr="004E2488">
        <w:rPr>
          <w:i/>
          <w:iCs/>
          <w:sz w:val="24"/>
          <w:lang w:val="bg-BG"/>
        </w:rPr>
        <w:t>for</w:t>
      </w:r>
      <w:proofErr w:type="spellEnd"/>
      <w:r w:rsidRPr="004E2488">
        <w:rPr>
          <w:i/>
          <w:iCs/>
          <w:sz w:val="24"/>
          <w:lang w:val="bg-BG"/>
        </w:rPr>
        <w:t xml:space="preserve"> </w:t>
      </w:r>
      <w:proofErr w:type="spellStart"/>
      <w:r w:rsidRPr="004E2488">
        <w:rPr>
          <w:i/>
          <w:iCs/>
          <w:sz w:val="24"/>
          <w:lang w:val="bg-BG"/>
        </w:rPr>
        <w:t>all</w:t>
      </w:r>
      <w:proofErr w:type="spellEnd"/>
      <w:r w:rsidRPr="004E2488">
        <w:rPr>
          <w:i/>
          <w:iCs/>
          <w:sz w:val="24"/>
          <w:lang w:val="bg-BG"/>
        </w:rPr>
        <w:t xml:space="preserve"> EU </w:t>
      </w:r>
      <w:proofErr w:type="spellStart"/>
      <w:r w:rsidRPr="004E2488">
        <w:rPr>
          <w:i/>
          <w:iCs/>
          <w:sz w:val="24"/>
          <w:lang w:val="bg-BG"/>
        </w:rPr>
        <w:t>Citizens</w:t>
      </w:r>
      <w:proofErr w:type="spellEnd"/>
      <w:r w:rsidRPr="004E2488">
        <w:rPr>
          <w:sz w:val="24"/>
          <w:lang w:val="bg-BG"/>
        </w:rPr>
        <w:t xml:space="preserve"> (Много повече от пазар – Бързина, сигурност, солидарност – Създаване на възможности на единния пазар за постигане на устойчиво бъдеще и просперитет за всички граждани на ЕС), април 2024 г.</w:t>
      </w:r>
    </w:p>
  </w:footnote>
  <w:footnote w:id="11">
    <w:p w14:paraId="4D499DA9" w14:textId="730D287E"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Регламент (EС) 2023/2411 на Европейския парламент и на Съвета от 18 октомври 2023 г. относно защитата на географските указания за занаятчийски и промишлени продукти и за изменение на регламенти (ЕС) 2017/1001 и (ЕС) 2019/1753 (OВ L, 2023/2411, 27.10.2023 г., ELI: </w:t>
      </w:r>
      <w:hyperlink r:id="rId10" w:history="1">
        <w:r w:rsidRPr="004E2488">
          <w:rPr>
            <w:rStyle w:val="Hyperlink"/>
            <w:sz w:val="24"/>
            <w:lang w:val="bg-BG"/>
          </w:rPr>
          <w:t>http://data.europa.eu/eli/reg/2023/2411/oj</w:t>
        </w:r>
      </w:hyperlink>
      <w:r w:rsidRPr="004E2488">
        <w:rPr>
          <w:sz w:val="24"/>
          <w:lang w:val="bg-BG"/>
        </w:rPr>
        <w:t>).</w:t>
      </w:r>
    </w:p>
  </w:footnote>
  <w:footnote w:id="12">
    <w:p w14:paraId="1C324466" w14:textId="1406B936"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Директива (ЕС) 2024/2853 на Европейския парламент и на Съвета от 23 октомври 2024 г. относно отговорността за вреди от дефекти на продукти и за отмяна на Директива 85/374/ЕИО на Съвета (ОВ L, 2024/2853, 18.11.2024 г., ELI: </w:t>
      </w:r>
      <w:hyperlink r:id="rId11" w:history="1">
        <w:r w:rsidRPr="004E2488">
          <w:rPr>
            <w:rStyle w:val="Hyperlink"/>
            <w:sz w:val="24"/>
            <w:lang w:val="bg-BG"/>
          </w:rPr>
          <w:t>http://data.europa.eu/eli/dir/2024/2853/oj</w:t>
        </w:r>
      </w:hyperlink>
      <w:r w:rsidRPr="004E2488">
        <w:rPr>
          <w:sz w:val="24"/>
          <w:lang w:val="bg-BG"/>
        </w:rPr>
        <w:t>).</w:t>
      </w:r>
    </w:p>
  </w:footnote>
  <w:footnote w:id="13">
    <w:p w14:paraId="4F76B507" w14:textId="4B7022D9"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Регламент (ЕС) 2024/1781 на Европейския парламент и на Съвета от 13 юни 2024 г. за създаване на рамка за определяне на изискванията за екопроектиране за устойчиви продукти, за изменение на Директива (EС) 2020/1828 и Регламент (EС) 2023/1542 и за отмяна на Директива 2009/125/ЕО </w:t>
      </w:r>
      <w:r w:rsidR="00CF4432">
        <w:rPr>
          <w:sz w:val="24"/>
          <w:lang w:val="bg-BG"/>
        </w:rPr>
        <w:t>(</w:t>
      </w:r>
      <w:r w:rsidRPr="004E2488">
        <w:rPr>
          <w:sz w:val="24"/>
          <w:lang w:val="bg-BG"/>
        </w:rPr>
        <w:t xml:space="preserve">OВ L, 2024/1781, 28.6.2024 г., ELI: </w:t>
      </w:r>
      <w:hyperlink r:id="rId12" w:history="1">
        <w:r w:rsidRPr="004E2488">
          <w:rPr>
            <w:rStyle w:val="Hyperlink"/>
            <w:sz w:val="24"/>
            <w:lang w:val="bg-BG"/>
          </w:rPr>
          <w:t>http://data.europa.eu/eli/reg/2024/1781/oj</w:t>
        </w:r>
      </w:hyperlink>
      <w:r w:rsidR="00CF4432">
        <w:rPr>
          <w:rStyle w:val="Hyperlink"/>
          <w:sz w:val="24"/>
          <w:lang w:val="bg-BG"/>
        </w:rPr>
        <w:t>)</w:t>
      </w:r>
      <w:r w:rsidRPr="004E2488">
        <w:rPr>
          <w:sz w:val="24"/>
          <w:lang w:val="bg-BG"/>
        </w:rPr>
        <w:t>.</w:t>
      </w:r>
    </w:p>
  </w:footnote>
  <w:footnote w:id="14">
    <w:p w14:paraId="180B9B52" w14:textId="3D35FB3D" w:rsidR="00B23AA6" w:rsidRPr="004E2488" w:rsidRDefault="00B23AA6" w:rsidP="004E2488">
      <w:pPr>
        <w:pStyle w:val="FootnoteText"/>
        <w:ind w:left="567" w:hanging="567"/>
        <w:rPr>
          <w:sz w:val="24"/>
          <w:lang w:val="bg-BG"/>
        </w:rPr>
      </w:pPr>
      <w:r w:rsidRPr="004E2488">
        <w:rPr>
          <w:rStyle w:val="FootnoteReference"/>
          <w:sz w:val="24"/>
          <w:lang w:val="bg-BG"/>
        </w:rPr>
        <w:footnoteRef/>
      </w:r>
      <w:r w:rsidR="004E2488" w:rsidRPr="004E2488">
        <w:rPr>
          <w:sz w:val="24"/>
          <w:lang w:val="bg-BG"/>
        </w:rPr>
        <w:t xml:space="preserve"> </w:t>
      </w:r>
      <w:r w:rsidR="004E2488" w:rsidRPr="004E2488">
        <w:rPr>
          <w:sz w:val="24"/>
          <w:lang w:val="bg-BG"/>
        </w:rPr>
        <w:tab/>
      </w:r>
      <w:r w:rsidRPr="004E2488">
        <w:rPr>
          <w:sz w:val="24"/>
          <w:lang w:val="bg-BG"/>
        </w:rPr>
        <w:t xml:space="preserve">Директива (ЕС) 2024/825 на Европейския парламент и на Съвета от 28 февруари 2024 г. за изменение на директиви 2005/29/ЕО и 2011/83/ЕС по отношение на предоставянето на повече права на потребителите в контекста на екологичния преход чрез по-добра защита срещу нелоялни практики и чрез по-добро информиране (OВ L, 2024/825, 6.3.2024 г., ELI: </w:t>
      </w:r>
      <w:hyperlink r:id="rId13" w:history="1">
        <w:r w:rsidRPr="004E2488">
          <w:rPr>
            <w:rStyle w:val="Hyperlink"/>
            <w:sz w:val="24"/>
            <w:lang w:val="bg-BG"/>
          </w:rPr>
          <w:t>http://data.europa.eu/eli/dir/2024/825/oj</w:t>
        </w:r>
      </w:hyperlink>
      <w:r w:rsidRPr="004E2488">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A3D2F" w14:textId="77777777" w:rsidR="00064002" w:rsidRPr="004E24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B68FB" w14:textId="77777777" w:rsidR="00064002" w:rsidRPr="004E24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0FFC1" w14:textId="77777777" w:rsidR="00064002" w:rsidRPr="004E24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33/2025"/>
    <w:docVar w:name="dvlangue" w:val="BG"/>
    <w:docVar w:name="dvnumam" w:val="69"/>
    <w:docVar w:name="dvpe" w:val="768.166"/>
    <w:docVar w:name="dvrapporteur" w:val="Докладчик: "/>
    <w:docVar w:name="dvtitre" w:val="Резолюция на Европейския парламент от ... 2025 г. относно безопасността на продуктите и спазването на регулаторните разпоредби при електронната търговия и вноса от държави извън ЕС(2025/2037(INI))"/>
  </w:docVars>
  <w:rsids>
    <w:rsidRoot w:val="007338F0"/>
    <w:rsid w:val="00002272"/>
    <w:rsid w:val="00064002"/>
    <w:rsid w:val="000677B9"/>
    <w:rsid w:val="000831BA"/>
    <w:rsid w:val="000A42CC"/>
    <w:rsid w:val="000E7DD9"/>
    <w:rsid w:val="0010095E"/>
    <w:rsid w:val="00125B37"/>
    <w:rsid w:val="00132903"/>
    <w:rsid w:val="00175AC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488"/>
    <w:rsid w:val="0050519A"/>
    <w:rsid w:val="005072A1"/>
    <w:rsid w:val="00514517"/>
    <w:rsid w:val="00545827"/>
    <w:rsid w:val="00560270"/>
    <w:rsid w:val="005C2568"/>
    <w:rsid w:val="005F1B17"/>
    <w:rsid w:val="006037C0"/>
    <w:rsid w:val="006631B6"/>
    <w:rsid w:val="00680577"/>
    <w:rsid w:val="00682F5E"/>
    <w:rsid w:val="006F74FA"/>
    <w:rsid w:val="00731ADD"/>
    <w:rsid w:val="007338F0"/>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AA6"/>
    <w:rsid w:val="00B558F0"/>
    <w:rsid w:val="00BD48FE"/>
    <w:rsid w:val="00BD7BD8"/>
    <w:rsid w:val="00BE6ADC"/>
    <w:rsid w:val="00C05BFE"/>
    <w:rsid w:val="00C17C10"/>
    <w:rsid w:val="00C23CD4"/>
    <w:rsid w:val="00C61C0C"/>
    <w:rsid w:val="00C941CB"/>
    <w:rsid w:val="00CC2357"/>
    <w:rsid w:val="00CF071A"/>
    <w:rsid w:val="00CF443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7798CB"/>
  <w15:chartTrackingRefBased/>
  <w15:docId w15:val="{33D6CA3C-BDF1-43D5-A1BA-44E5E1535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3AA6"/>
    <w:pPr>
      <w:spacing w:before="480" w:after="240"/>
    </w:pPr>
    <w:rPr>
      <w:snapToGrid w:val="0"/>
      <w:lang w:eastAsia="en-US"/>
    </w:rPr>
  </w:style>
  <w:style w:type="paragraph" w:customStyle="1" w:styleId="NormalHanging12a">
    <w:name w:val="NormalHanging12a"/>
    <w:basedOn w:val="Normal"/>
    <w:link w:val="NormalHanging12aChar"/>
    <w:rsid w:val="00B23AA6"/>
    <w:pPr>
      <w:widowControl/>
      <w:spacing w:after="240"/>
      <w:ind w:left="567" w:hanging="567"/>
    </w:pPr>
    <w:rPr>
      <w:snapToGrid w:val="0"/>
      <w:lang w:eastAsia="en-US"/>
    </w:rPr>
  </w:style>
  <w:style w:type="paragraph" w:customStyle="1" w:styleId="NormalCenter12a">
    <w:name w:val="NormalCenter12a"/>
    <w:basedOn w:val="Normal"/>
    <w:rsid w:val="00B23AA6"/>
    <w:pPr>
      <w:spacing w:after="240"/>
      <w:jc w:val="center"/>
    </w:pPr>
  </w:style>
  <w:style w:type="character" w:customStyle="1" w:styleId="BoldItalic">
    <w:name w:val="BoldItalic"/>
    <w:uiPriority w:val="1"/>
    <w:rsid w:val="00B23AA6"/>
    <w:rPr>
      <w:b/>
      <w:i/>
      <w:u w:val="none"/>
    </w:rPr>
  </w:style>
  <w:style w:type="character" w:customStyle="1" w:styleId="Italic">
    <w:name w:val="Italic"/>
    <w:uiPriority w:val="1"/>
    <w:rsid w:val="00B23AA6"/>
    <w:rPr>
      <w:i/>
    </w:rPr>
  </w:style>
  <w:style w:type="paragraph" w:customStyle="1" w:styleId="Normal12a24b">
    <w:name w:val="Normal12a24b"/>
    <w:basedOn w:val="Normal"/>
    <w:rsid w:val="00B23AA6"/>
    <w:pPr>
      <w:spacing w:before="360" w:after="240"/>
    </w:pPr>
    <w:rPr>
      <w:snapToGrid w:val="0"/>
      <w:lang w:eastAsia="en-US"/>
    </w:rPr>
  </w:style>
  <w:style w:type="character" w:styleId="Hyperlink">
    <w:name w:val="Hyperlink"/>
    <w:basedOn w:val="DefaultParagraphFont"/>
    <w:rsid w:val="00B23AA6"/>
    <w:rPr>
      <w:color w:val="0000FF"/>
      <w:u w:val="single"/>
    </w:rPr>
  </w:style>
  <w:style w:type="character" w:customStyle="1" w:styleId="NormalHanging12aChar">
    <w:name w:val="NormalHanging12a Char"/>
    <w:basedOn w:val="DefaultParagraphFont"/>
    <w:link w:val="NormalHanging12a"/>
    <w:rsid w:val="00B23AA6"/>
    <w:rPr>
      <w:snapToGrid w:val="0"/>
      <w:sz w:val="24"/>
      <w:lang w:val="bg-BG" w:eastAsia="en-US"/>
    </w:rPr>
  </w:style>
  <w:style w:type="paragraph" w:styleId="Revision">
    <w:name w:val="Revision"/>
    <w:hidden/>
    <w:uiPriority w:val="99"/>
    <w:semiHidden/>
    <w:rsid w:val="00CF4432"/>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B642A-1C72-4EC1-BC93-7C34CF734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10373</Words>
  <Characters>63230</Characters>
  <Application>Microsoft Office Word</Application>
  <DocSecurity>0</DocSecurity>
  <Lines>526</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Maria Minkova</cp:lastModifiedBy>
  <cp:revision>2</cp:revision>
  <cp:lastPrinted>2004-11-19T15:42:00Z</cp:lastPrinted>
  <dcterms:created xsi:type="dcterms:W3CDTF">2025-07-09T11:18:00Z</dcterms:created>
  <dcterms:modified xsi:type="dcterms:W3CDTF">2025-07-09T11:18:00Z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A10-0133/2025</vt:lpwstr>
  </property>
  <property fmtid="{D5CDD505-2E9C-101B-9397-08002B2CF9AE}" pid="4" name="&lt;Type&gt;">
    <vt:lpwstr>RR</vt:lpwstr>
  </property>
</Properties>
</file>