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72627" w14:paraId="5E933C9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91736A8" w14:textId="77777777" w:rsidR="00751A4A" w:rsidRPr="00872627" w:rsidRDefault="00244F86" w:rsidP="0010095E">
            <w:pPr>
              <w:pStyle w:val="EPName"/>
            </w:pPr>
            <w:r w:rsidRPr="00872627">
              <w:t>Evropský parlament</w:t>
            </w:r>
          </w:p>
          <w:p w14:paraId="1A989E47" w14:textId="77777777" w:rsidR="00751A4A" w:rsidRPr="0087262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72627">
              <w:t>2024</w:t>
            </w:r>
            <w:r w:rsidR="00817416" w:rsidRPr="00872627">
              <w:t>-202</w:t>
            </w:r>
            <w:r w:rsidRPr="00872627">
              <w:t>9</w:t>
            </w:r>
          </w:p>
        </w:tc>
        <w:tc>
          <w:tcPr>
            <w:tcW w:w="2268" w:type="dxa"/>
            <w:shd w:val="clear" w:color="auto" w:fill="auto"/>
          </w:tcPr>
          <w:p w14:paraId="6BFCDC10" w14:textId="77777777" w:rsidR="00751A4A" w:rsidRPr="00872627" w:rsidRDefault="00187494" w:rsidP="0010095E">
            <w:pPr>
              <w:pStyle w:val="EPLogo"/>
            </w:pPr>
            <w:r w:rsidRPr="00872627">
              <w:rPr>
                <w:noProof/>
                <w:lang w:eastAsia="ja-JP"/>
              </w:rPr>
              <w:drawing>
                <wp:inline distT="0" distB="0" distL="0" distR="0" wp14:anchorId="0C4A8668" wp14:editId="2212FA6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881A30" w14:textId="77777777" w:rsidR="00D058B8" w:rsidRPr="00872627" w:rsidRDefault="00D058B8" w:rsidP="004C5D52">
      <w:pPr>
        <w:pStyle w:val="LineTop"/>
      </w:pPr>
    </w:p>
    <w:p w14:paraId="6D617927" w14:textId="77777777" w:rsidR="00680577" w:rsidRPr="00872627" w:rsidRDefault="00244F86" w:rsidP="00680577">
      <w:pPr>
        <w:pStyle w:val="EPBodyTA1"/>
      </w:pPr>
      <w:r w:rsidRPr="00872627">
        <w:t>PŘIJATÉ TEXTY</w:t>
      </w:r>
    </w:p>
    <w:p w14:paraId="4F71C594" w14:textId="77777777" w:rsidR="00D058B8" w:rsidRPr="00872627" w:rsidRDefault="00D058B8" w:rsidP="00D058B8">
      <w:pPr>
        <w:pStyle w:val="LineBottom"/>
      </w:pPr>
    </w:p>
    <w:p w14:paraId="5AB594B5" w14:textId="5C2AEE9E" w:rsidR="00244F86" w:rsidRPr="00872627" w:rsidRDefault="00244F86" w:rsidP="00244F86">
      <w:pPr>
        <w:pStyle w:val="ATHeading1"/>
      </w:pPr>
      <w:bookmarkStart w:id="0" w:name="TANumber"/>
      <w:r w:rsidRPr="00872627">
        <w:t>P10_</w:t>
      </w:r>
      <w:proofErr w:type="gramStart"/>
      <w:r w:rsidRPr="00872627">
        <w:t>TA(</w:t>
      </w:r>
      <w:proofErr w:type="gramEnd"/>
      <w:r w:rsidRPr="00872627">
        <w:t>2025)0</w:t>
      </w:r>
      <w:r w:rsidR="00C4731C">
        <w:t>155</w:t>
      </w:r>
      <w:bookmarkEnd w:id="0"/>
    </w:p>
    <w:p w14:paraId="0316CAB6" w14:textId="77777777" w:rsidR="00244F86" w:rsidRPr="00872627" w:rsidRDefault="00244F86" w:rsidP="00244F86">
      <w:pPr>
        <w:pStyle w:val="ATHeading2"/>
      </w:pPr>
      <w:bookmarkStart w:id="1" w:name="title"/>
      <w:r w:rsidRPr="00872627">
        <w:t>Zprávy o Albánii za roky 2023 a 2024</w:t>
      </w:r>
      <w:bookmarkEnd w:id="1"/>
    </w:p>
    <w:p w14:paraId="1C6B4B43" w14:textId="77777777" w:rsidR="00244F86" w:rsidRPr="00872627" w:rsidRDefault="00244F86" w:rsidP="00244F86">
      <w:pPr>
        <w:rPr>
          <w:i/>
          <w:vanish/>
        </w:rPr>
      </w:pPr>
      <w:r w:rsidRPr="00872627">
        <w:rPr>
          <w:i/>
        </w:rPr>
        <w:fldChar w:fldCharType="begin"/>
      </w:r>
      <w:r w:rsidRPr="00872627">
        <w:rPr>
          <w:i/>
        </w:rPr>
        <w:instrText xml:space="preserve"> TC"(</w:instrText>
      </w:r>
      <w:bookmarkStart w:id="2" w:name="DocNumber"/>
      <w:r w:rsidRPr="00872627">
        <w:rPr>
          <w:i/>
        </w:rPr>
        <w:instrText>A10-0106/2025</w:instrText>
      </w:r>
      <w:bookmarkEnd w:id="2"/>
      <w:r w:rsidRPr="00872627">
        <w:rPr>
          <w:i/>
        </w:rPr>
        <w:instrText xml:space="preserve"> - Zpravodaj: Andreas </w:instrText>
      </w:r>
      <w:proofErr w:type="spellStart"/>
      <w:r w:rsidRPr="00872627">
        <w:rPr>
          <w:i/>
        </w:rPr>
        <w:instrText>Schieder</w:instrText>
      </w:r>
      <w:proofErr w:type="spellEnd"/>
      <w:r w:rsidRPr="00872627">
        <w:rPr>
          <w:i/>
        </w:rPr>
        <w:instrText xml:space="preserve">)"\l3 \n&gt; \* MERGEFORMAT </w:instrText>
      </w:r>
      <w:r w:rsidRPr="00872627">
        <w:rPr>
          <w:i/>
        </w:rPr>
        <w:fldChar w:fldCharType="end"/>
      </w:r>
    </w:p>
    <w:p w14:paraId="5B330416" w14:textId="77777777" w:rsidR="00244F86" w:rsidRPr="00872627" w:rsidRDefault="00244F86" w:rsidP="00244F86">
      <w:pPr>
        <w:rPr>
          <w:vanish/>
        </w:rPr>
      </w:pPr>
      <w:bookmarkStart w:id="3" w:name="Commission"/>
      <w:r w:rsidRPr="00872627">
        <w:rPr>
          <w:vanish/>
        </w:rPr>
        <w:t>Výbor pro zahraniční věci</w:t>
      </w:r>
      <w:bookmarkEnd w:id="3"/>
    </w:p>
    <w:p w14:paraId="4F309A0E" w14:textId="77777777" w:rsidR="00244F86" w:rsidRPr="00872627" w:rsidRDefault="00244F86" w:rsidP="00244F86">
      <w:pPr>
        <w:rPr>
          <w:vanish/>
        </w:rPr>
      </w:pPr>
      <w:bookmarkStart w:id="4" w:name="PE"/>
      <w:r w:rsidRPr="00872627">
        <w:rPr>
          <w:vanish/>
        </w:rPr>
        <w:t>PE769.914</w:t>
      </w:r>
      <w:bookmarkEnd w:id="4"/>
    </w:p>
    <w:p w14:paraId="1692F1AA" w14:textId="77777777" w:rsidR="00244F86" w:rsidRPr="00872627" w:rsidRDefault="00244F86" w:rsidP="00244F86">
      <w:pPr>
        <w:pStyle w:val="ATHeading3"/>
      </w:pPr>
      <w:bookmarkStart w:id="5" w:name="Sujet"/>
      <w:r w:rsidRPr="00872627">
        <w:t>Usnesení Evropského parlamentu ze dne 9. července 2025 o zprávách Komise o Albánii za roky 2023 a 2024</w:t>
      </w:r>
      <w:bookmarkEnd w:id="5"/>
      <w:r w:rsidRPr="00872627">
        <w:t xml:space="preserve"> </w:t>
      </w:r>
      <w:bookmarkStart w:id="6" w:name="References"/>
      <w:r w:rsidRPr="00872627">
        <w:t>(2025/2017(INI))</w:t>
      </w:r>
      <w:bookmarkEnd w:id="6"/>
    </w:p>
    <w:p w14:paraId="4EB23CCA" w14:textId="77777777" w:rsidR="002604F8" w:rsidRPr="00872627" w:rsidRDefault="002604F8" w:rsidP="002604F8">
      <w:pPr>
        <w:pStyle w:val="EPComma"/>
      </w:pPr>
      <w:r w:rsidRPr="00872627">
        <w:rPr>
          <w:i/>
        </w:rPr>
        <w:t>Evropský parlament</w:t>
      </w:r>
      <w:r w:rsidRPr="00872627">
        <w:t>,</w:t>
      </w:r>
    </w:p>
    <w:p w14:paraId="26D2FEA2" w14:textId="320724C0" w:rsidR="002604F8" w:rsidRPr="00872627" w:rsidRDefault="002604F8" w:rsidP="00872627">
      <w:pPr>
        <w:pStyle w:val="NormalHanging12a"/>
        <w:rPr>
          <w:szCs w:val="24"/>
        </w:rPr>
      </w:pPr>
      <w:r w:rsidRPr="00872627">
        <w:t>–</w:t>
      </w:r>
      <w:r w:rsidRPr="00872627">
        <w:tab/>
        <w:t>s ohledem na Dohodu o stabilizaci a přidružení mezi Ev</w:t>
      </w:r>
      <w:r w:rsidRPr="00872627">
        <w:rPr>
          <w:szCs w:val="24"/>
        </w:rPr>
        <w:t>ropskými společenstvími a jejich členskými státy na jedné straně a Albánskou republikou na straně druhé</w:t>
      </w:r>
      <w:r w:rsidRPr="00872627">
        <w:rPr>
          <w:rStyle w:val="FootnoteReference"/>
          <w:color w:val="000000"/>
          <w:szCs w:val="24"/>
        </w:rPr>
        <w:footnoteReference w:id="1"/>
      </w:r>
      <w:r w:rsidRPr="00872627">
        <w:rPr>
          <w:szCs w:val="24"/>
        </w:rPr>
        <w:t>,</w:t>
      </w:r>
    </w:p>
    <w:p w14:paraId="077F455A" w14:textId="77777777" w:rsidR="002604F8" w:rsidRPr="00872627" w:rsidRDefault="002604F8" w:rsidP="00872627">
      <w:pPr>
        <w:pStyle w:val="NormalHanging12a"/>
        <w:rPr>
          <w:szCs w:val="24"/>
        </w:rPr>
      </w:pPr>
      <w:r w:rsidRPr="00872627">
        <w:rPr>
          <w:szCs w:val="24"/>
        </w:rPr>
        <w:t>–</w:t>
      </w:r>
      <w:r w:rsidRPr="00872627">
        <w:rPr>
          <w:szCs w:val="24"/>
        </w:rPr>
        <w:tab/>
        <w:t>s ohledem na žádost Albánie o členství v EU podanou dne 24. dubna 2009,</w:t>
      </w:r>
    </w:p>
    <w:p w14:paraId="38943F86" w14:textId="77777777" w:rsidR="002604F8" w:rsidRPr="00872627" w:rsidRDefault="002604F8" w:rsidP="00872627">
      <w:pPr>
        <w:pStyle w:val="NormalHanging12a"/>
        <w:rPr>
          <w:szCs w:val="24"/>
        </w:rPr>
      </w:pPr>
      <w:r w:rsidRPr="00872627">
        <w:rPr>
          <w:szCs w:val="24"/>
        </w:rPr>
        <w:t>–</w:t>
      </w:r>
      <w:r w:rsidRPr="00872627">
        <w:rPr>
          <w:szCs w:val="24"/>
        </w:rPr>
        <w:tab/>
        <w:t>s ohledem na nařízení Evropského parlamentu a Rady (EU) 2021/1529 ze dne 15. září 2021, kterým se zřizuje Nástroj předvstupní pomoci (NPP III)</w:t>
      </w:r>
      <w:r w:rsidRPr="00872627">
        <w:rPr>
          <w:rStyle w:val="FootnoteReference"/>
          <w:color w:val="000000"/>
          <w:szCs w:val="24"/>
        </w:rPr>
        <w:footnoteReference w:id="2"/>
      </w:r>
      <w:r w:rsidRPr="00872627">
        <w:rPr>
          <w:szCs w:val="24"/>
        </w:rPr>
        <w:t>,</w:t>
      </w:r>
    </w:p>
    <w:p w14:paraId="2A55C981" w14:textId="16F420EC" w:rsidR="002604F8" w:rsidRPr="00872627" w:rsidRDefault="002604F8" w:rsidP="00872627">
      <w:pPr>
        <w:pStyle w:val="NormalHanging12a"/>
        <w:rPr>
          <w:szCs w:val="24"/>
        </w:rPr>
      </w:pPr>
      <w:r w:rsidRPr="00872627">
        <w:rPr>
          <w:szCs w:val="24"/>
        </w:rPr>
        <w:t>–</w:t>
      </w:r>
      <w:r w:rsidRPr="00872627">
        <w:rPr>
          <w:szCs w:val="24"/>
        </w:rPr>
        <w:tab/>
        <w:t>s ohledem na nařízení Evropského parlamentu a Rady (EU) 2024/1449 ze dne 14.</w:t>
      </w:r>
      <w:r w:rsidR="003902A0" w:rsidRPr="00872627">
        <w:rPr>
          <w:szCs w:val="24"/>
        </w:rPr>
        <w:t> </w:t>
      </w:r>
      <w:r w:rsidRPr="00872627">
        <w:rPr>
          <w:szCs w:val="24"/>
        </w:rPr>
        <w:t>května 2024 o zřízení Nástroje pro reformy a růst pro země západního Balkánu</w:t>
      </w:r>
      <w:r w:rsidRPr="00872627">
        <w:rPr>
          <w:rStyle w:val="FootnoteReference"/>
          <w:color w:val="000000"/>
          <w:szCs w:val="24"/>
        </w:rPr>
        <w:footnoteReference w:id="3"/>
      </w:r>
      <w:r w:rsidRPr="00872627">
        <w:rPr>
          <w:szCs w:val="24"/>
        </w:rPr>
        <w:t>,</w:t>
      </w:r>
    </w:p>
    <w:p w14:paraId="38201AD4" w14:textId="77777777" w:rsidR="002604F8" w:rsidRPr="00872627" w:rsidRDefault="002604F8" w:rsidP="00872627">
      <w:pPr>
        <w:pStyle w:val="NormalHanging12a"/>
        <w:rPr>
          <w:szCs w:val="24"/>
        </w:rPr>
      </w:pPr>
      <w:r w:rsidRPr="00872627">
        <w:rPr>
          <w:szCs w:val="24"/>
        </w:rPr>
        <w:t>–</w:t>
      </w:r>
      <w:r w:rsidRPr="00872627">
        <w:rPr>
          <w:szCs w:val="24"/>
        </w:rPr>
        <w:tab/>
        <w:t>s ohledem na sdělení Komise ze dne 5. února 2020 s názvem „Posílení procesu přistoupení – přesvědčivá perspektiva EU pro západní Balkán“ (</w:t>
      </w:r>
      <w:proofErr w:type="gramStart"/>
      <w:r w:rsidRPr="00872627">
        <w:rPr>
          <w:szCs w:val="24"/>
        </w:rPr>
        <w:t>COM(</w:t>
      </w:r>
      <w:proofErr w:type="gramEnd"/>
      <w:r w:rsidRPr="00872627">
        <w:rPr>
          <w:szCs w:val="24"/>
        </w:rPr>
        <w:t>2020)0057),</w:t>
      </w:r>
    </w:p>
    <w:p w14:paraId="42B1FD00" w14:textId="77777777" w:rsidR="002604F8" w:rsidRPr="00872627" w:rsidRDefault="002604F8" w:rsidP="00872627">
      <w:pPr>
        <w:pStyle w:val="NormalHanging12a"/>
        <w:rPr>
          <w:szCs w:val="24"/>
        </w:rPr>
      </w:pPr>
      <w:r w:rsidRPr="00872627">
        <w:rPr>
          <w:szCs w:val="24"/>
        </w:rPr>
        <w:t>–</w:t>
      </w:r>
      <w:r w:rsidRPr="00872627">
        <w:rPr>
          <w:szCs w:val="24"/>
        </w:rPr>
        <w:tab/>
        <w:t>s ohledem na sdělení Komise ze dne 8. listopadu 2023 nazvané „Sdělení o politice rozšíření EU pro rok 2023“ (</w:t>
      </w:r>
      <w:proofErr w:type="gramStart"/>
      <w:r w:rsidRPr="00872627">
        <w:rPr>
          <w:szCs w:val="24"/>
        </w:rPr>
        <w:t>COM(</w:t>
      </w:r>
      <w:proofErr w:type="gramEnd"/>
      <w:r w:rsidRPr="00872627">
        <w:rPr>
          <w:szCs w:val="24"/>
        </w:rPr>
        <w:t>2023)0690), které je doprovázeno pracovním dokumentem útvarů Komise nazvaným „Zpráva o Albánii za rok 2023“ (SWD(2023)0690),</w:t>
      </w:r>
    </w:p>
    <w:p w14:paraId="4143B581" w14:textId="77777777" w:rsidR="002604F8" w:rsidRPr="00872627" w:rsidRDefault="002604F8" w:rsidP="00872627">
      <w:pPr>
        <w:pStyle w:val="NormalHanging12a"/>
        <w:rPr>
          <w:szCs w:val="24"/>
        </w:rPr>
      </w:pPr>
      <w:r w:rsidRPr="00872627">
        <w:rPr>
          <w:szCs w:val="24"/>
        </w:rPr>
        <w:t>–</w:t>
      </w:r>
      <w:r w:rsidRPr="00872627">
        <w:rPr>
          <w:szCs w:val="24"/>
        </w:rPr>
        <w:tab/>
        <w:t>s ohledem na sdělení Komise ze dne 8. listopadu 2023 nazvané „Nový plán růstu pro západní Balkán“(</w:t>
      </w:r>
      <w:proofErr w:type="gramStart"/>
      <w:r w:rsidRPr="00872627">
        <w:rPr>
          <w:szCs w:val="24"/>
        </w:rPr>
        <w:t>COM(</w:t>
      </w:r>
      <w:proofErr w:type="gramEnd"/>
      <w:r w:rsidRPr="00872627">
        <w:rPr>
          <w:szCs w:val="24"/>
        </w:rPr>
        <w:t>2023)0691),</w:t>
      </w:r>
    </w:p>
    <w:p w14:paraId="5D96DACC" w14:textId="77777777" w:rsidR="002604F8" w:rsidRPr="00872627" w:rsidRDefault="002604F8" w:rsidP="00872627">
      <w:pPr>
        <w:pStyle w:val="NormalHanging12a"/>
        <w:rPr>
          <w:szCs w:val="24"/>
        </w:rPr>
      </w:pPr>
      <w:r w:rsidRPr="00872627">
        <w:rPr>
          <w:szCs w:val="24"/>
        </w:rPr>
        <w:t>–</w:t>
      </w:r>
      <w:r w:rsidRPr="00872627">
        <w:rPr>
          <w:szCs w:val="24"/>
        </w:rPr>
        <w:tab/>
        <w:t>s ohledem na sdělení Komise ze dne 20. března 2024 o předvstupních reformách a přezkumech předvstupní politiky (</w:t>
      </w:r>
      <w:proofErr w:type="gramStart"/>
      <w:r w:rsidRPr="00872627">
        <w:rPr>
          <w:szCs w:val="24"/>
        </w:rPr>
        <w:t>COM(</w:t>
      </w:r>
      <w:proofErr w:type="gramEnd"/>
      <w:r w:rsidRPr="00872627">
        <w:rPr>
          <w:szCs w:val="24"/>
        </w:rPr>
        <w:t>2024)0146),</w:t>
      </w:r>
    </w:p>
    <w:p w14:paraId="7F54A224" w14:textId="77777777" w:rsidR="002604F8" w:rsidRPr="00872627" w:rsidRDefault="002604F8" w:rsidP="00872627">
      <w:pPr>
        <w:pStyle w:val="NormalHanging12a"/>
        <w:rPr>
          <w:szCs w:val="24"/>
        </w:rPr>
      </w:pPr>
      <w:r w:rsidRPr="00872627">
        <w:rPr>
          <w:szCs w:val="24"/>
        </w:rPr>
        <w:lastRenderedPageBreak/>
        <w:t>–</w:t>
      </w:r>
      <w:r w:rsidRPr="00872627">
        <w:rPr>
          <w:szCs w:val="24"/>
        </w:rPr>
        <w:tab/>
        <w:t>s ohledem na sdělení Komise ze dne 24. července 2024 nazvané „Zpráva o právním státu 2024“ (</w:t>
      </w:r>
      <w:proofErr w:type="gramStart"/>
      <w:r w:rsidRPr="00872627">
        <w:rPr>
          <w:szCs w:val="24"/>
        </w:rPr>
        <w:t>COM(</w:t>
      </w:r>
      <w:proofErr w:type="gramEnd"/>
      <w:r w:rsidRPr="00872627">
        <w:rPr>
          <w:szCs w:val="24"/>
        </w:rPr>
        <w:t>2024)0800), které je doprovázeno pracovním dokumentem útvarů Komise nazvaným „Zpráva o právním státu 2024 – kapitola o stavu právního státu v Albánii (SWD(2024)0828),</w:t>
      </w:r>
    </w:p>
    <w:p w14:paraId="6CDD3DB4" w14:textId="77777777" w:rsidR="002604F8" w:rsidRPr="00872627" w:rsidRDefault="002604F8" w:rsidP="00872627">
      <w:pPr>
        <w:pStyle w:val="NormalHanging12a"/>
        <w:rPr>
          <w:szCs w:val="24"/>
        </w:rPr>
      </w:pPr>
      <w:r w:rsidRPr="00872627">
        <w:rPr>
          <w:szCs w:val="24"/>
        </w:rPr>
        <w:t>–</w:t>
      </w:r>
      <w:r w:rsidRPr="00872627">
        <w:rPr>
          <w:szCs w:val="24"/>
        </w:rPr>
        <w:tab/>
        <w:t>s ohledem na sdělení Komise ze dne 30. října 2024 nazvané „Sdělení o politice rozšíření EU pro rok 2024“ (</w:t>
      </w:r>
      <w:proofErr w:type="gramStart"/>
      <w:r w:rsidRPr="00872627">
        <w:rPr>
          <w:szCs w:val="24"/>
        </w:rPr>
        <w:t>COM(</w:t>
      </w:r>
      <w:proofErr w:type="gramEnd"/>
      <w:r w:rsidRPr="00872627">
        <w:rPr>
          <w:szCs w:val="24"/>
        </w:rPr>
        <w:t>2024)0690), které je doprovázeno pracovním dokumentem útvarů Komise nazvaným „Zpráva o Albánii za rok 2024“ (SWD(2024)0690),</w:t>
      </w:r>
    </w:p>
    <w:p w14:paraId="7E9521B1" w14:textId="77777777" w:rsidR="002604F8" w:rsidRPr="00872627" w:rsidRDefault="002604F8" w:rsidP="00872627">
      <w:pPr>
        <w:pStyle w:val="NormalHanging12a"/>
        <w:rPr>
          <w:szCs w:val="24"/>
        </w:rPr>
      </w:pPr>
      <w:r w:rsidRPr="00872627">
        <w:rPr>
          <w:szCs w:val="24"/>
        </w:rPr>
        <w:t>–</w:t>
      </w:r>
      <w:r w:rsidRPr="00872627">
        <w:rPr>
          <w:szCs w:val="24"/>
        </w:rPr>
        <w:tab/>
        <w:t>s ohledem na reformní program Albánie předložený v rámci Nástroje EU pro reformy a růst ve znění schváleném Komisí dne 23. října 2024,</w:t>
      </w:r>
    </w:p>
    <w:p w14:paraId="3A3A7485" w14:textId="77777777" w:rsidR="002604F8" w:rsidRPr="00872627" w:rsidRDefault="002604F8" w:rsidP="00872627">
      <w:pPr>
        <w:pStyle w:val="NormalHanging12a"/>
        <w:rPr>
          <w:szCs w:val="24"/>
        </w:rPr>
      </w:pPr>
      <w:r w:rsidRPr="00872627">
        <w:rPr>
          <w:szCs w:val="24"/>
        </w:rPr>
        <w:t>–</w:t>
      </w:r>
      <w:r w:rsidRPr="00872627">
        <w:rPr>
          <w:szCs w:val="24"/>
        </w:rPr>
        <w:tab/>
        <w:t>s ohledem na závěrečnou zprávu ze dne 29. září 2023, kterou k místním volbám v Albánii, jež se konaly dne 14. května 2023, vypracovala volební pozorovatelská mise Úřadu pro demokratické instituce a lidská práva Organizace pro bezpečnost a spolupráci v Evropě (OBSE/ODIHR),</w:t>
      </w:r>
    </w:p>
    <w:p w14:paraId="6F94D779" w14:textId="79CB7731" w:rsidR="002604F8" w:rsidRPr="00872627" w:rsidRDefault="002604F8" w:rsidP="00872627">
      <w:pPr>
        <w:pStyle w:val="NormalHanging12a"/>
        <w:rPr>
          <w:bCs/>
          <w:iCs/>
          <w:szCs w:val="24"/>
        </w:rPr>
      </w:pPr>
      <w:r w:rsidRPr="00872627">
        <w:rPr>
          <w:szCs w:val="24"/>
        </w:rPr>
        <w:t>–</w:t>
      </w:r>
      <w:r w:rsidRPr="00872627">
        <w:rPr>
          <w:szCs w:val="24"/>
        </w:rPr>
        <w:tab/>
        <w:t>s ohledem na závěrečnou zprávu volební pozorovatelské mise OBSE/ODIHR ze dne 26.</w:t>
      </w:r>
      <w:r w:rsidR="003902A0" w:rsidRPr="00872627">
        <w:rPr>
          <w:szCs w:val="24"/>
        </w:rPr>
        <w:t> </w:t>
      </w:r>
      <w:r w:rsidRPr="00872627">
        <w:rPr>
          <w:szCs w:val="24"/>
        </w:rPr>
        <w:t>července 2021 o parlamentních volbách v Albánii konaných dne 25. dubna 2021,</w:t>
      </w:r>
    </w:p>
    <w:p w14:paraId="3C1B2FE6" w14:textId="18E142E2" w:rsidR="002604F8" w:rsidRPr="00872627" w:rsidRDefault="002604F8" w:rsidP="00872627">
      <w:pPr>
        <w:pStyle w:val="NormalHanging12a"/>
        <w:rPr>
          <w:szCs w:val="24"/>
        </w:rPr>
      </w:pPr>
      <w:r w:rsidRPr="00872627">
        <w:rPr>
          <w:szCs w:val="24"/>
        </w:rPr>
        <w:t>–</w:t>
      </w:r>
      <w:r w:rsidRPr="00872627">
        <w:rPr>
          <w:szCs w:val="24"/>
        </w:rPr>
        <w:tab/>
        <w:t>s ohledem na společné stanovisko Benátské komise a OBSE/ODIHR ze dne 11.</w:t>
      </w:r>
      <w:r w:rsidR="003902A0" w:rsidRPr="00872627">
        <w:rPr>
          <w:szCs w:val="24"/>
        </w:rPr>
        <w:t> </w:t>
      </w:r>
      <w:r w:rsidRPr="00872627">
        <w:rPr>
          <w:szCs w:val="24"/>
        </w:rPr>
        <w:t>prosince 2020 ke změnám albánské ústavy ze dne 30. července 2020 a ke změnám albánského volebního zákona ze dne 5. října 2020,</w:t>
      </w:r>
    </w:p>
    <w:p w14:paraId="7A09569B" w14:textId="77777777" w:rsidR="002604F8" w:rsidRPr="00872627" w:rsidRDefault="002604F8" w:rsidP="00872627">
      <w:pPr>
        <w:pStyle w:val="NormalHanging12a"/>
        <w:rPr>
          <w:bCs/>
          <w:iCs/>
          <w:szCs w:val="24"/>
        </w:rPr>
      </w:pPr>
      <w:r w:rsidRPr="00872627">
        <w:rPr>
          <w:szCs w:val="24"/>
        </w:rPr>
        <w:t>–</w:t>
      </w:r>
      <w:r w:rsidRPr="00872627">
        <w:rPr>
          <w:szCs w:val="24"/>
        </w:rPr>
        <w:tab/>
        <w:t>s ohledem na Sofijské prohlášení přijaté na summitu EU a zemí západního Balkánu dne 17. května 2018 a na připojený „sofijský program priorit“,</w:t>
      </w:r>
    </w:p>
    <w:p w14:paraId="534C6029" w14:textId="77777777" w:rsidR="002604F8" w:rsidRPr="00872627" w:rsidRDefault="002604F8" w:rsidP="00872627">
      <w:pPr>
        <w:pStyle w:val="NormalHanging12a"/>
        <w:rPr>
          <w:bCs/>
          <w:iCs/>
          <w:szCs w:val="24"/>
        </w:rPr>
      </w:pPr>
      <w:r w:rsidRPr="00872627">
        <w:rPr>
          <w:szCs w:val="24"/>
        </w:rPr>
        <w:t>–</w:t>
      </w:r>
      <w:r w:rsidRPr="00872627">
        <w:rPr>
          <w:szCs w:val="24"/>
        </w:rPr>
        <w:tab/>
        <w:t>s ohledem na Záhřebské prohlášení přijaté na summitu EU a zemí západního Balkánu dne 6. května 2020,</w:t>
      </w:r>
    </w:p>
    <w:p w14:paraId="3411D572" w14:textId="77777777" w:rsidR="002604F8" w:rsidRPr="00872627" w:rsidRDefault="002604F8" w:rsidP="00872627">
      <w:pPr>
        <w:pStyle w:val="NormalHanging12a"/>
        <w:rPr>
          <w:szCs w:val="24"/>
        </w:rPr>
      </w:pPr>
      <w:r w:rsidRPr="00872627">
        <w:rPr>
          <w:szCs w:val="24"/>
        </w:rPr>
        <w:t>–</w:t>
      </w:r>
      <w:r w:rsidRPr="00872627">
        <w:rPr>
          <w:szCs w:val="24"/>
        </w:rPr>
        <w:tab/>
        <w:t>s ohledem na prohlášení ze summitů EU a zemí západního Balkánu, které se konaly v Bruselu dne 13. prosince 2023 a dne 18. prosince 2024,</w:t>
      </w:r>
    </w:p>
    <w:p w14:paraId="2B363402" w14:textId="77777777" w:rsidR="002604F8" w:rsidRPr="00872627" w:rsidRDefault="002604F8" w:rsidP="00872627">
      <w:pPr>
        <w:pStyle w:val="NormalHanging12a"/>
        <w:rPr>
          <w:szCs w:val="24"/>
        </w:rPr>
      </w:pPr>
      <w:r w:rsidRPr="00872627">
        <w:rPr>
          <w:szCs w:val="24"/>
        </w:rPr>
        <w:t>–</w:t>
      </w:r>
      <w:r w:rsidRPr="00872627">
        <w:rPr>
          <w:szCs w:val="24"/>
        </w:rPr>
        <w:tab/>
        <w:t>s ohledem na berlínský proces zahájený dne 28. srpna 2014,</w:t>
      </w:r>
    </w:p>
    <w:p w14:paraId="5975F00A" w14:textId="77777777" w:rsidR="002604F8" w:rsidRPr="00872627" w:rsidRDefault="002604F8" w:rsidP="00872627">
      <w:pPr>
        <w:pStyle w:val="NormalHanging12a"/>
        <w:rPr>
          <w:bCs/>
          <w:iCs/>
          <w:szCs w:val="24"/>
        </w:rPr>
      </w:pPr>
      <w:r w:rsidRPr="00872627">
        <w:rPr>
          <w:szCs w:val="24"/>
        </w:rPr>
        <w:t>–</w:t>
      </w:r>
      <w:r w:rsidRPr="00872627">
        <w:rPr>
          <w:szCs w:val="24"/>
        </w:rPr>
        <w:tab/>
        <w:t>s ohledem na světový index svobody tisku za rok 2024, který zveřejnila organizace Reportéři bez hranic,</w:t>
      </w:r>
    </w:p>
    <w:p w14:paraId="1C869C22" w14:textId="77777777" w:rsidR="002604F8" w:rsidRPr="00872627" w:rsidRDefault="002604F8" w:rsidP="00872627">
      <w:pPr>
        <w:pStyle w:val="NormalHanging12a"/>
        <w:rPr>
          <w:bCs/>
          <w:iCs/>
          <w:szCs w:val="24"/>
        </w:rPr>
      </w:pPr>
      <w:r w:rsidRPr="00872627">
        <w:rPr>
          <w:szCs w:val="24"/>
        </w:rPr>
        <w:t>–</w:t>
      </w:r>
      <w:r w:rsidRPr="00872627">
        <w:rPr>
          <w:szCs w:val="24"/>
        </w:rPr>
        <w:tab/>
        <w:t xml:space="preserve">s ohledem na index vnímání korupce za rok 2024, který vypracovala organizace </w:t>
      </w:r>
      <w:proofErr w:type="spellStart"/>
      <w:r w:rsidRPr="00872627">
        <w:rPr>
          <w:szCs w:val="24"/>
        </w:rPr>
        <w:t>Transparency</w:t>
      </w:r>
      <w:proofErr w:type="spellEnd"/>
      <w:r w:rsidRPr="00872627">
        <w:rPr>
          <w:szCs w:val="24"/>
        </w:rPr>
        <w:t xml:space="preserve"> International,</w:t>
      </w:r>
    </w:p>
    <w:p w14:paraId="7320786D" w14:textId="77777777" w:rsidR="002604F8" w:rsidRPr="00872627" w:rsidRDefault="002604F8" w:rsidP="00872627">
      <w:pPr>
        <w:pStyle w:val="NormalHanging12a"/>
        <w:rPr>
          <w:bCs/>
          <w:iCs/>
          <w:szCs w:val="24"/>
        </w:rPr>
      </w:pPr>
      <w:r w:rsidRPr="00872627">
        <w:rPr>
          <w:szCs w:val="24"/>
        </w:rPr>
        <w:t>–</w:t>
      </w:r>
      <w:r w:rsidRPr="00872627">
        <w:rPr>
          <w:szCs w:val="24"/>
        </w:rPr>
        <w:tab/>
        <w:t>s ohledem na globální zprávu Světového ekonomického fóra o genderových rozdílech v roce 2024,</w:t>
      </w:r>
    </w:p>
    <w:p w14:paraId="3FB8D0A7" w14:textId="77777777" w:rsidR="002604F8" w:rsidRPr="00872627" w:rsidRDefault="002604F8" w:rsidP="00872627">
      <w:pPr>
        <w:pStyle w:val="NormalHanging12a"/>
        <w:rPr>
          <w:szCs w:val="24"/>
        </w:rPr>
      </w:pPr>
      <w:r w:rsidRPr="00872627">
        <w:rPr>
          <w:szCs w:val="24"/>
        </w:rPr>
        <w:t>–</w:t>
      </w:r>
      <w:r w:rsidRPr="00872627">
        <w:rPr>
          <w:szCs w:val="24"/>
        </w:rPr>
        <w:tab/>
        <w:t>s ohledem na svá předchozí usnesení o Albánii,</w:t>
      </w:r>
    </w:p>
    <w:p w14:paraId="3029759A" w14:textId="77777777" w:rsidR="002604F8" w:rsidRPr="00872627" w:rsidRDefault="002604F8" w:rsidP="00872627">
      <w:pPr>
        <w:pStyle w:val="NormalHanging12a"/>
        <w:rPr>
          <w:szCs w:val="24"/>
        </w:rPr>
      </w:pPr>
      <w:r w:rsidRPr="00872627">
        <w:rPr>
          <w:szCs w:val="24"/>
        </w:rPr>
        <w:t>–</w:t>
      </w:r>
      <w:r w:rsidRPr="00872627">
        <w:rPr>
          <w:szCs w:val="24"/>
        </w:rPr>
        <w:tab/>
        <w:t>s ohledem na článek 55 jednacího řádu,</w:t>
      </w:r>
    </w:p>
    <w:p w14:paraId="4191741B" w14:textId="77777777" w:rsidR="002604F8" w:rsidRPr="00872627" w:rsidRDefault="002604F8" w:rsidP="00872627">
      <w:pPr>
        <w:pStyle w:val="NormalHanging12a"/>
        <w:rPr>
          <w:szCs w:val="24"/>
        </w:rPr>
      </w:pPr>
      <w:r w:rsidRPr="00872627">
        <w:rPr>
          <w:szCs w:val="24"/>
        </w:rPr>
        <w:t>–</w:t>
      </w:r>
      <w:r w:rsidRPr="00872627">
        <w:rPr>
          <w:szCs w:val="24"/>
        </w:rPr>
        <w:tab/>
        <w:t>s ohledem na zprávu Výboru pro zahraniční věci (A10-0106/2025),</w:t>
      </w:r>
    </w:p>
    <w:p w14:paraId="5A4D4BED" w14:textId="77777777" w:rsidR="002604F8" w:rsidRPr="00872627" w:rsidRDefault="002604F8" w:rsidP="00872627">
      <w:pPr>
        <w:pStyle w:val="NormalHanging12a"/>
        <w:rPr>
          <w:szCs w:val="24"/>
        </w:rPr>
      </w:pPr>
      <w:r w:rsidRPr="00872627">
        <w:rPr>
          <w:szCs w:val="24"/>
        </w:rPr>
        <w:t>A.</w:t>
      </w:r>
      <w:r w:rsidRPr="00872627">
        <w:rPr>
          <w:szCs w:val="24"/>
        </w:rPr>
        <w:tab/>
        <w:t xml:space="preserve">vzhledem k tomu, že rozšíření je nejúčinnějším nástrojem zahraniční politiky EU a geostrategickou investicí do dlouhodobého míru, demokracie, stability a bezpečnosti </w:t>
      </w:r>
      <w:r w:rsidRPr="00872627">
        <w:rPr>
          <w:szCs w:val="24"/>
        </w:rPr>
        <w:lastRenderedPageBreak/>
        <w:t>na celém kontinentu;</w:t>
      </w:r>
    </w:p>
    <w:p w14:paraId="6266ABEC" w14:textId="77777777" w:rsidR="002604F8" w:rsidRPr="00872627" w:rsidRDefault="002604F8" w:rsidP="00872627">
      <w:pPr>
        <w:pStyle w:val="NormalHanging12a"/>
        <w:rPr>
          <w:bCs/>
          <w:iCs/>
          <w:szCs w:val="24"/>
        </w:rPr>
      </w:pPr>
      <w:r w:rsidRPr="00872627">
        <w:rPr>
          <w:szCs w:val="24"/>
        </w:rPr>
        <w:t>B.</w:t>
      </w:r>
      <w:r w:rsidRPr="00872627">
        <w:rPr>
          <w:szCs w:val="24"/>
        </w:rPr>
        <w:tab/>
        <w:t>vzhledem k tomu, že EU zůstává hlavním politickým a hospodářským partnerem zemí západního Balkánu; vzhledem k tomu, že EU je i nadále zdaleka největším obchodním a investičním partnerem Albánie a jejím největším poskytovatelem finanční pomoci;</w:t>
      </w:r>
    </w:p>
    <w:p w14:paraId="17DE5AFF" w14:textId="77777777" w:rsidR="002604F8" w:rsidRPr="00872627" w:rsidRDefault="002604F8" w:rsidP="00872627">
      <w:pPr>
        <w:pStyle w:val="NormalHanging12a"/>
        <w:rPr>
          <w:szCs w:val="24"/>
        </w:rPr>
      </w:pPr>
      <w:r w:rsidRPr="00872627">
        <w:rPr>
          <w:szCs w:val="24"/>
        </w:rPr>
        <w:t>C.</w:t>
      </w:r>
      <w:r w:rsidRPr="00872627">
        <w:rPr>
          <w:szCs w:val="24"/>
        </w:rPr>
        <w:tab/>
        <w:t>vzhledem k tomu, že rozšíření je proces založený na zásluhách, který se odvíjí od stavu demokracie, právního státu a základních práv;</w:t>
      </w:r>
      <w:r w:rsidRPr="00872627">
        <w:rPr>
          <w:b/>
          <w:i/>
          <w:szCs w:val="24"/>
        </w:rPr>
        <w:t xml:space="preserve"> </w:t>
      </w:r>
      <w:r w:rsidRPr="00872627">
        <w:rPr>
          <w:szCs w:val="24"/>
        </w:rPr>
        <w:t xml:space="preserve">vzhledem k tomu, že přistoupení Albánie k EU závisí na trvalých, důkladných a nezvratných reformách v základních oblastech, počínaje právním státem a fungováním demokratických institucí; </w:t>
      </w:r>
    </w:p>
    <w:p w14:paraId="4855AF72" w14:textId="77777777" w:rsidR="002604F8" w:rsidRPr="00872627" w:rsidRDefault="002604F8" w:rsidP="00872627">
      <w:pPr>
        <w:pStyle w:val="NormalHanging12a"/>
        <w:rPr>
          <w:szCs w:val="24"/>
        </w:rPr>
      </w:pPr>
      <w:r w:rsidRPr="00872627">
        <w:rPr>
          <w:szCs w:val="24"/>
        </w:rPr>
        <w:t>D.</w:t>
      </w:r>
      <w:r w:rsidRPr="00872627">
        <w:rPr>
          <w:szCs w:val="24"/>
        </w:rPr>
        <w:tab/>
        <w:t>vzhledem k tomu, že Albánie, která je kandidátskou zemí EU od roku 2014, zahájila přístupová jednání v červenci 2022 a v listopadu 2023 úspěšně dokončila proces prověřování;</w:t>
      </w:r>
    </w:p>
    <w:p w14:paraId="1A3874D8" w14:textId="602C63DC" w:rsidR="002604F8" w:rsidRPr="00872627" w:rsidRDefault="002604F8" w:rsidP="00872627">
      <w:pPr>
        <w:pStyle w:val="NormalHanging12a"/>
        <w:rPr>
          <w:szCs w:val="24"/>
        </w:rPr>
      </w:pPr>
      <w:r w:rsidRPr="00872627">
        <w:rPr>
          <w:szCs w:val="24"/>
        </w:rPr>
        <w:t>E.</w:t>
      </w:r>
      <w:r w:rsidRPr="00872627">
        <w:rPr>
          <w:szCs w:val="24"/>
        </w:rPr>
        <w:tab/>
        <w:t>vzhledem k tomu, že dne 15. října 2024 Albánie zahájila jednání v rámci tematického okruhu 1 („Základní zásady“)</w:t>
      </w:r>
      <w:r w:rsidR="008C4CC4">
        <w:rPr>
          <w:szCs w:val="24"/>
        </w:rPr>
        <w:t>,</w:t>
      </w:r>
      <w:r w:rsidRPr="00872627">
        <w:rPr>
          <w:szCs w:val="24"/>
        </w:rPr>
        <w:t xml:space="preserve"> dne 17. prosince 2024 v rámci tematického okruhu 6 („Vnější vztahy“)</w:t>
      </w:r>
      <w:r w:rsidR="00584B64" w:rsidRPr="007F4566">
        <w:rPr>
          <w:bCs/>
          <w:iCs/>
        </w:rPr>
        <w:t>, dne 14. dubna 2025 v rámci tematického okruhu 2 („Vnitřní trh“) a dne 22. května 2025 v rámci tematického okruhu 3 („Konkurenceschopnost a růst podporující začlenění“)</w:t>
      </w:r>
      <w:r w:rsidRPr="00584B64">
        <w:rPr>
          <w:bCs/>
          <w:iCs/>
          <w:szCs w:val="24"/>
        </w:rPr>
        <w:t>;</w:t>
      </w:r>
    </w:p>
    <w:p w14:paraId="02E74070" w14:textId="77777777" w:rsidR="002604F8" w:rsidRPr="00872627" w:rsidRDefault="002604F8" w:rsidP="00872627">
      <w:pPr>
        <w:pStyle w:val="NormalHanging12a"/>
        <w:rPr>
          <w:szCs w:val="24"/>
        </w:rPr>
      </w:pPr>
      <w:r w:rsidRPr="00872627">
        <w:rPr>
          <w:szCs w:val="24"/>
        </w:rPr>
        <w:t>F.</w:t>
      </w:r>
      <w:r w:rsidRPr="00872627">
        <w:rPr>
          <w:szCs w:val="24"/>
        </w:rPr>
        <w:tab/>
        <w:t>vzhledem k tomu, že Albánie je spolehlivým partnerem v oblasti zahraniční politiky a jedná zcela v souladu se společnou zahraniční a bezpečnostní politikou EU;</w:t>
      </w:r>
    </w:p>
    <w:p w14:paraId="7C9FC47A" w14:textId="77777777" w:rsidR="002604F8" w:rsidRPr="00872627" w:rsidRDefault="002604F8" w:rsidP="00872627">
      <w:pPr>
        <w:pStyle w:val="NormalHanging12a"/>
        <w:rPr>
          <w:bCs/>
          <w:iCs/>
          <w:szCs w:val="24"/>
        </w:rPr>
      </w:pPr>
      <w:r w:rsidRPr="00872627">
        <w:rPr>
          <w:szCs w:val="24"/>
        </w:rPr>
        <w:t>G.</w:t>
      </w:r>
      <w:r w:rsidRPr="00872627">
        <w:rPr>
          <w:szCs w:val="24"/>
        </w:rPr>
        <w:tab/>
        <w:t xml:space="preserve">vzhledem k tomu, že Albánie je terčem zahraničních nepřátelských vlivových kampaní zaměřených na vyvolávání sporů, napětí a násilí a na destabilizaci celého regionu, včetně dezinformací a vměšování do voleb ze strany Ruska, jakož i podezřelých investic aktérů ze zemí mimo EU, jako je Čína; vzhledem k tomu, že ruské a íránské kybernetické útoky na Albánii v letech 2022 a 2023 narušily kritické vládní funkce, což svědčí o prostředí hybridních hrozeb, kterému je Albánie při svém postupu směrem k integraci do EU vystavena; </w:t>
      </w:r>
    </w:p>
    <w:p w14:paraId="18417A94" w14:textId="77777777" w:rsidR="002604F8" w:rsidRPr="00872627" w:rsidRDefault="002604F8" w:rsidP="00872627">
      <w:pPr>
        <w:pStyle w:val="NormalHanging12a"/>
        <w:rPr>
          <w:szCs w:val="24"/>
        </w:rPr>
      </w:pPr>
      <w:r w:rsidRPr="00872627">
        <w:rPr>
          <w:szCs w:val="24"/>
        </w:rPr>
        <w:t>H.</w:t>
      </w:r>
      <w:r w:rsidRPr="00872627">
        <w:rPr>
          <w:szCs w:val="24"/>
        </w:rPr>
        <w:tab/>
        <w:t xml:space="preserve">vzhledem k tomu, že ve volebním systému Albánie přetrvávají volební nedostatky a závažné slabiny; vzhledem k tomu, že dosud nebyla plně zohledněna doporučení OBSE/ODIHR týkající se dalšího zlepšení průběhu voleb v Albánii; </w:t>
      </w:r>
    </w:p>
    <w:p w14:paraId="23084CB8" w14:textId="77777777" w:rsidR="002604F8" w:rsidRPr="00872627" w:rsidRDefault="002604F8" w:rsidP="00872627">
      <w:pPr>
        <w:pStyle w:val="NormalHanging12a"/>
        <w:rPr>
          <w:bCs/>
          <w:iCs/>
          <w:szCs w:val="24"/>
        </w:rPr>
      </w:pPr>
      <w:r w:rsidRPr="00872627">
        <w:rPr>
          <w:szCs w:val="24"/>
        </w:rPr>
        <w:t>I.</w:t>
      </w:r>
      <w:r w:rsidRPr="00872627">
        <w:rPr>
          <w:szCs w:val="24"/>
        </w:rPr>
        <w:tab/>
        <w:t xml:space="preserve">vzhledem k tomu, že se Albánie účastní misí a operací probíhajících v rámci společné bezpečnostní a obranné politiky EU, včetně operace EUFOR </w:t>
      </w:r>
      <w:proofErr w:type="spellStart"/>
      <w:r w:rsidRPr="00872627">
        <w:rPr>
          <w:szCs w:val="24"/>
        </w:rPr>
        <w:t>Althea</w:t>
      </w:r>
      <w:proofErr w:type="spellEnd"/>
      <w:r w:rsidRPr="00872627">
        <w:rPr>
          <w:szCs w:val="24"/>
        </w:rPr>
        <w:t xml:space="preserve"> v Bosně a Hercegovině;</w:t>
      </w:r>
    </w:p>
    <w:p w14:paraId="1073F73A" w14:textId="77777777" w:rsidR="002604F8" w:rsidRPr="00872627" w:rsidRDefault="002604F8" w:rsidP="00872627">
      <w:pPr>
        <w:pStyle w:val="NormalHanging12a"/>
        <w:rPr>
          <w:bCs/>
          <w:iCs/>
          <w:szCs w:val="24"/>
        </w:rPr>
      </w:pPr>
      <w:r w:rsidRPr="00872627">
        <w:rPr>
          <w:szCs w:val="24"/>
        </w:rPr>
        <w:t>J.</w:t>
      </w:r>
      <w:r w:rsidRPr="00872627">
        <w:rPr>
          <w:szCs w:val="24"/>
        </w:rPr>
        <w:tab/>
        <w:t xml:space="preserve">vzhledem k tomu, že ochrana národnostních a etnických menšin má zásadní význam pro státy usilující o členství v EU; vzhledem k tomu, že v Albánii byly přijaty prováděcí právní předpisy týkající se svobodného sebeurčení a používání menšinových jazyků; </w:t>
      </w:r>
    </w:p>
    <w:p w14:paraId="4BE03161" w14:textId="77777777" w:rsidR="002604F8" w:rsidRPr="00872627" w:rsidRDefault="002604F8" w:rsidP="00872627">
      <w:pPr>
        <w:pStyle w:val="NormalHanging12a"/>
        <w:rPr>
          <w:bCs/>
          <w:iCs/>
          <w:szCs w:val="24"/>
        </w:rPr>
      </w:pPr>
      <w:r w:rsidRPr="00872627">
        <w:rPr>
          <w:szCs w:val="24"/>
        </w:rPr>
        <w:t>K.</w:t>
      </w:r>
      <w:r w:rsidRPr="00872627">
        <w:rPr>
          <w:szCs w:val="24"/>
        </w:rPr>
        <w:tab/>
        <w:t>vzhledem k tomu, že ruská útočná válka proti Ukrajině jasně ukazuje, že pro zajištění bezpečnosti a stability na našem kontinentu má rozšiřování EU zásadní význam;</w:t>
      </w:r>
    </w:p>
    <w:p w14:paraId="72D330C0" w14:textId="716C2BCE" w:rsidR="002604F8" w:rsidRPr="00872627" w:rsidRDefault="002604F8" w:rsidP="00872627">
      <w:pPr>
        <w:pStyle w:val="NormalHanging12a"/>
        <w:rPr>
          <w:szCs w:val="24"/>
        </w:rPr>
      </w:pPr>
      <w:r w:rsidRPr="00872627">
        <w:rPr>
          <w:szCs w:val="24"/>
        </w:rPr>
        <w:t>1.</w:t>
      </w:r>
      <w:r w:rsidRPr="00872627">
        <w:rPr>
          <w:szCs w:val="24"/>
        </w:rPr>
        <w:tab/>
        <w:t>oceňuje neochvějné odhodlání Albánie začlenit se do EU, které odráží konsensus mezi všemi politickými stranami, a to jak vládními, tak opozičními, jakož i širokou podporu občanů, a s potěšením sleduje, že Albánie důsledně postupuje v plném souladu se</w:t>
      </w:r>
      <w:r w:rsidR="00173182" w:rsidRPr="00872627">
        <w:rPr>
          <w:szCs w:val="24"/>
        </w:rPr>
        <w:t> </w:t>
      </w:r>
      <w:r w:rsidRPr="00872627">
        <w:rPr>
          <w:szCs w:val="24"/>
        </w:rPr>
        <w:t xml:space="preserve">společnou zahraniční a bezpečnostní politikou EU a s jejím úsilím o zajištění mezinárodního řádu založeného na pravidlech, včetně rozhodné reakce na ruskou </w:t>
      </w:r>
      <w:r w:rsidRPr="00872627">
        <w:rPr>
          <w:szCs w:val="24"/>
        </w:rPr>
        <w:lastRenderedPageBreak/>
        <w:t>útočnou válku proti Ukrajině, neboť se Albánie připojila k restriktivním opatřením EU vůči Rusku a Bělorusku; uznává aktivní úlohu, kterou země plní v daném regionu a v regionálních iniciativách;</w:t>
      </w:r>
    </w:p>
    <w:p w14:paraId="2B021FC6" w14:textId="7C7B12FF" w:rsidR="002604F8" w:rsidRPr="00872627" w:rsidRDefault="002604F8" w:rsidP="00872627">
      <w:pPr>
        <w:pStyle w:val="NormalHanging12a"/>
        <w:rPr>
          <w:szCs w:val="24"/>
        </w:rPr>
      </w:pPr>
      <w:r w:rsidRPr="00872627">
        <w:rPr>
          <w:szCs w:val="24"/>
        </w:rPr>
        <w:t>2.</w:t>
      </w:r>
      <w:r w:rsidRPr="00872627">
        <w:rPr>
          <w:szCs w:val="24"/>
        </w:rPr>
        <w:tab/>
        <w:t>oceňuje, že cílem Albánie je uzavřít přístupová jednání do konce roku 2027 a že v posledních letech dosáhla rychlého pokroku, zejména že v roce 2024 otevřela dva okruhy kapitol jednání</w:t>
      </w:r>
      <w:r w:rsidR="00C4731C" w:rsidRPr="007F4566">
        <w:rPr>
          <w:bCs/>
          <w:iCs/>
        </w:rPr>
        <w:t xml:space="preserve"> a v roce 2025 zatím další dva okruhy</w:t>
      </w:r>
      <w:r w:rsidRPr="00872627">
        <w:rPr>
          <w:szCs w:val="24"/>
        </w:rPr>
        <w:t>; připomíná, že kandidátské země procházejí během přístupových jednání hlubokou transformací, aby splnily kritéria členství, přičemž tato jednání trvají tak dlouho, jak je třeba k provedení nezbytných reforem; zdůrazňuje, že je nutné posílit transparentnost, odpovědnost a </w:t>
      </w:r>
      <w:proofErr w:type="spellStart"/>
      <w:r w:rsidRPr="00872627">
        <w:rPr>
          <w:szCs w:val="24"/>
        </w:rPr>
        <w:t>inkluzivnost</w:t>
      </w:r>
      <w:proofErr w:type="spellEnd"/>
      <w:r w:rsidRPr="00872627">
        <w:rPr>
          <w:szCs w:val="24"/>
        </w:rPr>
        <w:t xml:space="preserve"> procesu přistoupení, včetně jeho parlamentního rozměru; varuje před veškerými kroky, které by mohly ohrozit systém brzd a protivah;</w:t>
      </w:r>
    </w:p>
    <w:p w14:paraId="0B89C9AC" w14:textId="77777777" w:rsidR="002604F8" w:rsidRPr="00872627" w:rsidRDefault="002604F8" w:rsidP="00872627">
      <w:pPr>
        <w:pStyle w:val="NormalHanging12a"/>
        <w:rPr>
          <w:szCs w:val="24"/>
        </w:rPr>
      </w:pPr>
      <w:r w:rsidRPr="00872627">
        <w:rPr>
          <w:szCs w:val="24"/>
        </w:rPr>
        <w:t>3.</w:t>
      </w:r>
      <w:r w:rsidRPr="00872627">
        <w:rPr>
          <w:szCs w:val="24"/>
        </w:rPr>
        <w:tab/>
        <w:t>konstatuje, že tempo procesu přistoupení k EU je určováno pokrokem kandidátské země ve sbližování s </w:t>
      </w:r>
      <w:proofErr w:type="spellStart"/>
      <w:r w:rsidRPr="00872627">
        <w:rPr>
          <w:i/>
          <w:iCs/>
          <w:szCs w:val="24"/>
        </w:rPr>
        <w:t>acquis</w:t>
      </w:r>
      <w:proofErr w:type="spellEnd"/>
      <w:r w:rsidRPr="00872627">
        <w:rPr>
          <w:szCs w:val="24"/>
        </w:rPr>
        <w:t xml:space="preserve"> EU, výsledky dané země dosažené při provádění nových předpisů a řádným fungováním všech jejích institucí a že přistoupení je podmíněno dodržováním zásad právního státu, řádnou správou věcí veřejných a dodržováním základních práv; naléhavě vyzývá Albánii, aby urychlila reformy s cílem posílit právní stát a hospodářský růst, bojovat proti korupci a organizované trestné činnosti, předcházet obchodování s lidmi, zajistit ochranu základních práv a dosáhnout pokroku v oblasti svobody projevu, svobody informací a plurality a nezávislosti sdělovacích prostředků;</w:t>
      </w:r>
    </w:p>
    <w:p w14:paraId="400A7DB0" w14:textId="77777777" w:rsidR="002604F8" w:rsidRPr="00872627" w:rsidRDefault="002604F8" w:rsidP="00872627">
      <w:pPr>
        <w:pStyle w:val="NormalHanging12a"/>
        <w:rPr>
          <w:szCs w:val="24"/>
        </w:rPr>
      </w:pPr>
      <w:r w:rsidRPr="00872627">
        <w:rPr>
          <w:szCs w:val="24"/>
        </w:rPr>
        <w:t>4.</w:t>
      </w:r>
      <w:r w:rsidRPr="00872627">
        <w:rPr>
          <w:szCs w:val="24"/>
        </w:rPr>
        <w:tab/>
        <w:t>vítá nový Nástroj EU pro reformy a růst pro západní Balkán, který poskytne Albánii 922 milionů EUR ve formě grantů a půjček, jakmile splní podmínky stanovené v jejím ambiciózním programu reforem;</w:t>
      </w:r>
    </w:p>
    <w:p w14:paraId="6D84973C" w14:textId="77777777" w:rsidR="002604F8" w:rsidRPr="00872627" w:rsidRDefault="002604F8" w:rsidP="00872627">
      <w:pPr>
        <w:pStyle w:val="NormalHanging12a"/>
        <w:rPr>
          <w:szCs w:val="24"/>
        </w:rPr>
      </w:pPr>
      <w:r w:rsidRPr="00872627">
        <w:rPr>
          <w:szCs w:val="24"/>
        </w:rPr>
        <w:t>5.</w:t>
      </w:r>
      <w:r w:rsidRPr="00872627">
        <w:rPr>
          <w:szCs w:val="24"/>
        </w:rPr>
        <w:tab/>
        <w:t>bere na vědomí, že Albánie přijala národní plán evropské integrace na období 2024–2026; vítá skutečnost, že zřídila orgány odpovědné za proces integrace;</w:t>
      </w:r>
      <w:r w:rsidRPr="00872627">
        <w:rPr>
          <w:b/>
          <w:i/>
          <w:szCs w:val="24"/>
        </w:rPr>
        <w:t xml:space="preserve"> </w:t>
      </w:r>
      <w:r w:rsidRPr="00872627">
        <w:rPr>
          <w:szCs w:val="24"/>
        </w:rPr>
        <w:t>vyzývá k vynaložení většího úsilí o zvýšení transparentnosti a šíření informací o integraci do EU mezi veřejností;</w:t>
      </w:r>
    </w:p>
    <w:p w14:paraId="12AAD1E2" w14:textId="77777777" w:rsidR="002604F8" w:rsidRPr="00872627" w:rsidRDefault="002604F8" w:rsidP="00872627">
      <w:pPr>
        <w:pStyle w:val="NormalHanging12a"/>
        <w:rPr>
          <w:bCs/>
          <w:iCs/>
          <w:szCs w:val="24"/>
        </w:rPr>
      </w:pPr>
      <w:r w:rsidRPr="00872627">
        <w:rPr>
          <w:szCs w:val="24"/>
        </w:rPr>
        <w:t>6.</w:t>
      </w:r>
      <w:r w:rsidRPr="00872627">
        <w:rPr>
          <w:szCs w:val="24"/>
        </w:rPr>
        <w:tab/>
        <w:t xml:space="preserve">oceňuje rozhodnutí otevřít v Tiraně informační kancelář Evropského parlamentu pro západní Balkán; konstatuje, že tato kancelář bude sloužit jako klíčové kontaktní místo mezi Evropským parlamentem a vnitrostátními parlamenty, občanskou společností a místními partnery z celého regionu západního Balkánu; </w:t>
      </w:r>
    </w:p>
    <w:p w14:paraId="3E4292F5" w14:textId="77777777" w:rsidR="002604F8" w:rsidRPr="00872627" w:rsidRDefault="002604F8" w:rsidP="00872627">
      <w:pPr>
        <w:pStyle w:val="NormalHanging12a"/>
        <w:rPr>
          <w:bCs/>
          <w:iCs/>
          <w:szCs w:val="24"/>
        </w:rPr>
      </w:pPr>
      <w:r w:rsidRPr="00872627">
        <w:rPr>
          <w:szCs w:val="24"/>
        </w:rPr>
        <w:t>7.</w:t>
      </w:r>
      <w:r w:rsidRPr="00872627">
        <w:rPr>
          <w:szCs w:val="24"/>
        </w:rPr>
        <w:tab/>
        <w:t>vítá účast 18 albánských účastníků v iniciativě zapojující členy z kandidátských zemí, kterou zahájil Evropský hospodářský a sociální výbor a jejímž cílem je vytvořit užší vazby s kandidátskými zeměmi a usnadnit jejich postupnou integraci do Evropské unie;</w:t>
      </w:r>
    </w:p>
    <w:p w14:paraId="1B0CA243" w14:textId="77777777" w:rsidR="002604F8" w:rsidRPr="00872627" w:rsidRDefault="002604F8" w:rsidP="00872627">
      <w:pPr>
        <w:pStyle w:val="NormalHanging12a"/>
        <w:rPr>
          <w:b/>
          <w:i/>
          <w:szCs w:val="24"/>
        </w:rPr>
      </w:pPr>
      <w:r w:rsidRPr="00872627">
        <w:rPr>
          <w:b/>
          <w:i/>
          <w:szCs w:val="24"/>
        </w:rPr>
        <w:t>Demokratické instituce, sdělovací prostředky a občanská společnost</w:t>
      </w:r>
    </w:p>
    <w:p w14:paraId="4EB9B556" w14:textId="77777777" w:rsidR="002604F8" w:rsidRPr="00872627" w:rsidRDefault="002604F8" w:rsidP="00872627">
      <w:pPr>
        <w:pStyle w:val="NormalHanging12a"/>
        <w:rPr>
          <w:szCs w:val="24"/>
        </w:rPr>
      </w:pPr>
      <w:r w:rsidRPr="00872627">
        <w:rPr>
          <w:szCs w:val="24"/>
        </w:rPr>
        <w:t>8.</w:t>
      </w:r>
      <w:r w:rsidRPr="00872627">
        <w:rPr>
          <w:szCs w:val="24"/>
        </w:rPr>
        <w:tab/>
        <w:t xml:space="preserve">trvá na tom, že konstruktivní politická diskuse a řádné fungování parlamentu jsou klíčovými aspekty demokratické správy věcí veřejných; znovu potvrzuje, že albánští političtí aktéři nesou společnou odpovědnost za prohloubení konstruktivního a inkluzivního politického dialogu a za překonání pokračující silné politické polarizace v zemi; vyjadřuje politování nad přetrvávajícími konflikty a štvavou rétorikou politiků všech stran a nad střety mezi vládnoucí většinou a opozicí; zdůrazňuje, že je nezbytné podporovat politickou kulturu založenou na vzájemném respektu a dodržování demokratických norem a zajistit, aby politická soutěž neohrožovala institucionální stabilitu, a že je třeba plně respektovat úlohu parlamentarismu, a to tím, že se ukončí </w:t>
      </w:r>
      <w:r w:rsidRPr="00872627">
        <w:rPr>
          <w:szCs w:val="24"/>
        </w:rPr>
        <w:lastRenderedPageBreak/>
        <w:t>politické útoky; vyzývá ke skutečnému dialogu na podporu politické stability a pokroku a poukazuje na potřebu konsensu všech politických stran ohledně integrační agendy EU a smysluplného zapojení občanské společnosti; zdůrazňuje, že je nutné zajistit účinnější parlamentní dohled a lepší fungování institucí;</w:t>
      </w:r>
    </w:p>
    <w:p w14:paraId="456E8BA5" w14:textId="77777777" w:rsidR="002604F8" w:rsidRPr="00872627" w:rsidRDefault="002604F8" w:rsidP="00872627">
      <w:pPr>
        <w:pStyle w:val="NormalHanging12a"/>
        <w:rPr>
          <w:bCs/>
          <w:iCs/>
          <w:szCs w:val="24"/>
        </w:rPr>
      </w:pPr>
      <w:r w:rsidRPr="00872627">
        <w:rPr>
          <w:szCs w:val="24"/>
        </w:rPr>
        <w:t>9.</w:t>
      </w:r>
      <w:r w:rsidRPr="00872627">
        <w:rPr>
          <w:szCs w:val="24"/>
        </w:rPr>
        <w:tab/>
        <w:t xml:space="preserve">uznává sílící hrozbu zahraničního nepřátelského vlivu a hybridního vměšování do fungování albánských demokratických institucí; zdůrazňuje, že narativy souznící s Kremlem se snaží oslabit důvěru veřejnosti v demokratické instituce a šířit protizápadní nálady; vyzývá Albánii, aby posílila institucionální odolnost vůči skrytému politickému financování, manipulaci se sdělovacími prostředky a kybernetickým hrozbám, které mají přímý dopad na proces jejího přistoupení k EU; vyzývá orgány EU, aby pozorně sledovaly, nakolik je Albánie vystavena zahraničnímu škodlivému vlivu; </w:t>
      </w:r>
    </w:p>
    <w:p w14:paraId="3CF005E5" w14:textId="77777777" w:rsidR="002604F8" w:rsidRPr="00872627" w:rsidRDefault="002604F8" w:rsidP="00872627">
      <w:pPr>
        <w:pStyle w:val="NormalHanging12a"/>
        <w:rPr>
          <w:bCs/>
          <w:iCs/>
          <w:szCs w:val="24"/>
        </w:rPr>
      </w:pPr>
      <w:r w:rsidRPr="00872627">
        <w:rPr>
          <w:szCs w:val="24"/>
        </w:rPr>
        <w:t>10.</w:t>
      </w:r>
      <w:r w:rsidRPr="00872627">
        <w:rPr>
          <w:szCs w:val="24"/>
        </w:rPr>
        <w:tab/>
        <w:t xml:space="preserve">vítá, že Albánie blokuje ruské dezinformační domény, zdůrazňuje však, že je zapotřebí koordinovaný mechanismus reakce EU a Albánie na dezinformace, který by byl koncipován po vzoru platformy </w:t>
      </w:r>
      <w:proofErr w:type="spellStart"/>
      <w:r w:rsidRPr="00872627">
        <w:rPr>
          <w:szCs w:val="24"/>
        </w:rPr>
        <w:t>EUvsDisinfo</w:t>
      </w:r>
      <w:proofErr w:type="spellEnd"/>
      <w:r w:rsidRPr="00872627">
        <w:rPr>
          <w:szCs w:val="24"/>
        </w:rPr>
        <w:t xml:space="preserve">, aby tak bylo možné rychle vyvracet narativy Kremlu a bojovat proti nim; podporuje hlubší regionální spolupráci mezi zeměmi západního Balkánu při sdílení osvědčených postupů a vypracování společné strategie boje proti dezinformacím a zahraničnímu vměšování; varuje před stále silnější stopou čínských státem podporovaných sdělovacích prostředků v Albánii; </w:t>
      </w:r>
    </w:p>
    <w:p w14:paraId="5F1EEA92" w14:textId="77777777" w:rsidR="002604F8" w:rsidRPr="00872627" w:rsidRDefault="002604F8" w:rsidP="00872627">
      <w:pPr>
        <w:pStyle w:val="NormalHanging12a"/>
        <w:rPr>
          <w:bCs/>
          <w:iCs/>
          <w:szCs w:val="24"/>
        </w:rPr>
      </w:pPr>
      <w:r w:rsidRPr="00872627">
        <w:rPr>
          <w:szCs w:val="24"/>
        </w:rPr>
        <w:t>11.</w:t>
      </w:r>
      <w:r w:rsidRPr="00872627">
        <w:rPr>
          <w:szCs w:val="24"/>
        </w:rPr>
        <w:tab/>
        <w:t xml:space="preserve">poukazuje na povinnost albánského parlamentu neprodleně respektovat rozhodnutí Ústavního soudu; zdůrazňuje, že parlament má při zajišťování systému brzd a protivah zásadní a nenahraditelnou úlohu; vyzývá Albánii, aby zajistila skutečnou demokratickou odpovědnost a silnější a transparentnější správu věcí veřejných; </w:t>
      </w:r>
    </w:p>
    <w:p w14:paraId="4019CEB6" w14:textId="73D56E51" w:rsidR="002604F8" w:rsidRPr="00872627" w:rsidRDefault="002604F8" w:rsidP="00872627">
      <w:pPr>
        <w:pStyle w:val="NormalHanging12a"/>
        <w:rPr>
          <w:szCs w:val="24"/>
        </w:rPr>
      </w:pPr>
      <w:r w:rsidRPr="00872627">
        <w:rPr>
          <w:szCs w:val="24"/>
        </w:rPr>
        <w:t>12.</w:t>
      </w:r>
      <w:r w:rsidRPr="00872627">
        <w:rPr>
          <w:szCs w:val="24"/>
        </w:rPr>
        <w:tab/>
        <w:t xml:space="preserve">bere na vědomí změny albánského volebního zákona z července 2024, které umožňují hlasování albánské diaspory mimo území Albánie a zavádějí částečně otevřené kandidátní listiny; bere na vědomí parlamentní volby konané dne 11. května 2025 a zdůrazňuje, že na základě předběžných závěrů OBSE/ODIHR byly volby pluralitní a profesionálně organizované, avšak proběhly ve vysoce polarizovaném prostředí a kandidující osoby a subjekty neměly rovné podmínky; vyjadřuje znepokojení nad tím, že vládnoucí strana měla výhodu vyplývající z rozsáhlého využívání administrativních zdrojů; </w:t>
      </w:r>
      <w:r w:rsidR="000439AB" w:rsidRPr="007F4566">
        <w:rPr>
          <w:bCs/>
          <w:iCs/>
        </w:rPr>
        <w:t>konstatuje, že v nadcházejících měsících se očekává zveřejnění závěrečné zprávy OBSE/ODIHR, která bude obsahovat závěrečné hodnocení a doporučení, jež mají být provedena;</w:t>
      </w:r>
      <w:r w:rsidR="000439AB" w:rsidRPr="000439AB">
        <w:rPr>
          <w:bCs/>
          <w:iCs/>
        </w:rPr>
        <w:t xml:space="preserve"> </w:t>
      </w:r>
      <w:r w:rsidRPr="00872627">
        <w:rPr>
          <w:szCs w:val="24"/>
        </w:rPr>
        <w:t>vyzývá všechny strany, aby projevily politickou vůli ke komplexní a inkluzivní volební reformě s cílem plně a včas provést všechna doporučení OBSE/ODIHR a Benátské komise, včetně doporučení týkajících se rámce pro financování voleb a politických stran;</w:t>
      </w:r>
    </w:p>
    <w:p w14:paraId="391BF6A2" w14:textId="77777777" w:rsidR="002604F8" w:rsidRPr="00872627" w:rsidRDefault="002604F8" w:rsidP="00872627">
      <w:pPr>
        <w:pStyle w:val="NormalHanging12a"/>
        <w:rPr>
          <w:bCs/>
          <w:iCs/>
          <w:szCs w:val="24"/>
        </w:rPr>
      </w:pPr>
      <w:r w:rsidRPr="00872627">
        <w:rPr>
          <w:szCs w:val="24"/>
        </w:rPr>
        <w:t>13.</w:t>
      </w:r>
      <w:r w:rsidRPr="00872627">
        <w:rPr>
          <w:szCs w:val="24"/>
        </w:rPr>
        <w:tab/>
        <w:t xml:space="preserve">vyjadřuje politování nad tím, že v posledních letech se prostředí pro svobodné sdělovací prostředky a nezávislé novináře zhoršuje; se znepokojením konstatuje, že nezávislost a pluralita sdělovacích prostředků v Albánii jsou i nadále ovlivňovány vysokou koncentrací trhu, překrýváním obchodních a politických zájmů, nedostatečnou transparentností financování a vlastnických struktur, zastrašováním novinářů a jejich nestabilními pracovními podmínkami; konstatuje, že ve světovém indexu svobody tisku organizace Reportéři bez hranic za rok 2024 se Albánie umístila na 99. místě, což odráží přetrvávající problémy týkající se koncentrace vlastnictví sdělovacích prostředků, politického vměšování a hrozeb vůči novinářům; zdůrazňuje, že nedostatečná transparentnost financování sdělovacích prostředků a vlastnických struktur zvyšuje riziko redakční předpojatosti a pronikání zahraniční propagandy a podkopává </w:t>
      </w:r>
      <w:r w:rsidRPr="00872627">
        <w:rPr>
          <w:szCs w:val="24"/>
        </w:rPr>
        <w:lastRenderedPageBreak/>
        <w:t xml:space="preserve">důvěru veřejnosti v žurnalistiku; vyzývá albánské orgány, aby zajistily transparentnost vlastnictví sdělovacích prostředků a prosazovaly politiku nulové tolerance vůči zastrašování novinářů; vyzývá albánskou vládu, aby podporovala nezávislé platformy pro ověřování faktů jako prostředek k zajištění přístupu veřejnosti k přesným informacím a k zachování integrity informačního prostoru; </w:t>
      </w:r>
    </w:p>
    <w:p w14:paraId="00D16884" w14:textId="3F03F7C1" w:rsidR="002604F8" w:rsidRPr="00872627" w:rsidRDefault="002604F8" w:rsidP="00872627">
      <w:pPr>
        <w:pStyle w:val="NormalHanging12a"/>
        <w:rPr>
          <w:bCs/>
          <w:iCs/>
          <w:szCs w:val="24"/>
        </w:rPr>
      </w:pPr>
      <w:r w:rsidRPr="00872627">
        <w:rPr>
          <w:szCs w:val="24"/>
        </w:rPr>
        <w:t>14.</w:t>
      </w:r>
      <w:r w:rsidRPr="00872627">
        <w:rPr>
          <w:szCs w:val="24"/>
        </w:rPr>
        <w:tab/>
        <w:t>připomíná, že jakákoli revize zákonů o sdělovacích prostředcích by měla být v souladu s doporučeními Benátské komise a měla by probíhat transparentním a inkluzivním způsobem, a to po konzultaci s mediálními organizacemi a s cílem zlepšit svobodu sdělovacích prostředků a samoregulaci; vítá platformu na podporu ochrany žurnalistiky a bezpečnosti novinářů, kterou zřídila Rada Evropy spolu s EU a sítí významných organizací hájících svobodu tisku; lituje toho, že nebylo dosaženo žádného pokroku ve sbližování legislativního rámce s </w:t>
      </w:r>
      <w:proofErr w:type="spellStart"/>
      <w:r w:rsidRPr="00872627">
        <w:rPr>
          <w:i/>
          <w:iCs/>
          <w:szCs w:val="24"/>
        </w:rPr>
        <w:t>acquis</w:t>
      </w:r>
      <w:proofErr w:type="spellEnd"/>
      <w:r w:rsidRPr="00872627">
        <w:rPr>
          <w:szCs w:val="24"/>
        </w:rPr>
        <w:t xml:space="preserve"> EU a normami EU, mj. s</w:t>
      </w:r>
      <w:r w:rsidR="00872627" w:rsidRPr="00872627">
        <w:rPr>
          <w:szCs w:val="24"/>
        </w:rPr>
        <w:t xml:space="preserve"> </w:t>
      </w:r>
      <w:r w:rsidRPr="00872627">
        <w:rPr>
          <w:szCs w:val="24"/>
        </w:rPr>
        <w:t>Evropským aktem o svobodě médií</w:t>
      </w:r>
      <w:r w:rsidRPr="00872627">
        <w:rPr>
          <w:rStyle w:val="FootnoteReference"/>
          <w:szCs w:val="24"/>
        </w:rPr>
        <w:footnoteReference w:id="4"/>
      </w:r>
      <w:r w:rsidRPr="00872627">
        <w:rPr>
          <w:szCs w:val="24"/>
        </w:rPr>
        <w:t>; připomíná, že je nutné přijmout opatření na podporu investigativní žurnalistiky, ověřování faktů a mediální gramotnosti a bojovat proti nenávistným projevům, dezinformacím a falešným zprávám; vyjadřuje znepokojení nad přetrvávající štvavou rétorikou proti sdělovacím prostředkům, mimo jiné ze strany vysoce postavených politiků, veřejných činitelů a dalších veřejně činných osob, která posiluje kulturu zastrašování; důrazně odsuzuje sílící verbální útoky na novináře, kteří informují o záležitostech týkajících se právního státu a korupce, jakož i </w:t>
      </w:r>
      <w:proofErr w:type="spellStart"/>
      <w:r w:rsidRPr="00872627">
        <w:rPr>
          <w:szCs w:val="24"/>
        </w:rPr>
        <w:t>mizogynní</w:t>
      </w:r>
      <w:proofErr w:type="spellEnd"/>
      <w:r w:rsidRPr="00872627">
        <w:rPr>
          <w:szCs w:val="24"/>
        </w:rPr>
        <w:t xml:space="preserve"> obtěžování na internetu namířené proti novinářkám, očerňující kampaně, násilí a nepokoje, a vyzývá k zajištění pravomocného odsouzení útočníků; vyjadřuje politování nad tím, že trestní zákoník neposkytuje novinářům ochranu před hrozbami a násilím, a vyzývá albánské orgány, aby přijaly právní rámec, který by novináře, obránce lidských práv, ekologické aktivisty a další zúčastněné strany účinně chránil před znepokojivým nárůstem strategických soudních řízení proti účasti veřejnosti, zrušily trestnost pomluvy a respektovaly úlohu nezávislé žurnalistiky jako klíčové kontroly moci a aby ve vztahu ke sdělovacím prostředkům jednaly takovým způsobem, aby byly dodržovány demokratické zásady;</w:t>
      </w:r>
    </w:p>
    <w:p w14:paraId="7CA34440" w14:textId="77777777" w:rsidR="002604F8" w:rsidRPr="00872627" w:rsidRDefault="002604F8" w:rsidP="00872627">
      <w:pPr>
        <w:pStyle w:val="NormalHanging12a"/>
        <w:rPr>
          <w:szCs w:val="24"/>
        </w:rPr>
      </w:pPr>
      <w:r w:rsidRPr="00872627">
        <w:rPr>
          <w:szCs w:val="24"/>
        </w:rPr>
        <w:t>15.</w:t>
      </w:r>
      <w:r w:rsidRPr="00872627">
        <w:rPr>
          <w:szCs w:val="24"/>
        </w:rPr>
        <w:tab/>
        <w:t>připomíná odpovědnost celostátních a místních orgánů za zvýšení transparentnosti, odpovědnosti a </w:t>
      </w:r>
      <w:proofErr w:type="spellStart"/>
      <w:r w:rsidRPr="00872627">
        <w:rPr>
          <w:szCs w:val="24"/>
        </w:rPr>
        <w:t>inkluzivnosti</w:t>
      </w:r>
      <w:proofErr w:type="spellEnd"/>
      <w:r w:rsidRPr="00872627">
        <w:rPr>
          <w:szCs w:val="24"/>
        </w:rPr>
        <w:t xml:space="preserve"> na základě smysluplných pravidelných veřejných konzultací se zúčastněnými stranami; se znepokojením konstatuje, že uplatňování právního rámce pro veřejné konzultace ze strany albánského parlamentu zůstává převážně jen formálního rázu; zdůrazňuje potřebu větší transparentnosti, pokud jde o veřejné údaje a klíčové legislativní projekty; trvá na tom, že je nutné navýšit finanční zdroje, rozšířit správní kapacitu a zvýšit fiskální autonomii místních orgánů;</w:t>
      </w:r>
    </w:p>
    <w:p w14:paraId="1E7E4337" w14:textId="77777777" w:rsidR="002604F8" w:rsidRPr="00872627" w:rsidRDefault="002604F8" w:rsidP="00872627">
      <w:pPr>
        <w:pStyle w:val="NormalHanging12a"/>
        <w:rPr>
          <w:bCs/>
          <w:iCs/>
          <w:szCs w:val="24"/>
        </w:rPr>
      </w:pPr>
      <w:r w:rsidRPr="00872627">
        <w:rPr>
          <w:szCs w:val="24"/>
        </w:rPr>
        <w:t>16.</w:t>
      </w:r>
      <w:r w:rsidRPr="00872627">
        <w:rPr>
          <w:szCs w:val="24"/>
        </w:rPr>
        <w:tab/>
        <w:t xml:space="preserve">oceňuje dynamickou a konstruktivní občanskou společnost Albánie, která hraje v reformním procesu klíčovou pozitivní úlohu; vítá zlepšení monitorování voleb a rostoucí zapojení občanské společnosti do dohledu nad demokratickými procesy; zdůrazňuje, že občanská společnost má zásadní význam pro podporu demokracie a pluralismu a pro dobrou správu věcí veřejných a dosažení sociálního pokroku; vybízí albánskou vládu, aby v rámci procesu přistoupení k EU od rané fáze a v rámci transparentního legislativního postupu posílila úlohu občanské společnosti, včetně organizací hájících práva žen; vyjadřuje politování nad tím, že organizace občanské </w:t>
      </w:r>
      <w:r w:rsidRPr="00872627">
        <w:rPr>
          <w:szCs w:val="24"/>
        </w:rPr>
        <w:lastRenderedPageBreak/>
        <w:t>společnosti fungují ve složitých podmínkách a dostávají omezené veřejné finanční prostředky; trvá na tom, aby byly položeny základy pro účinný systém osvobození od DPH v souladu se závazky, které Albánie přijala v rámci dohody o spolupráci mezi EU a Albánií a NPP III; naléhavě vyzývá albánské orgány, aby urychlily vypracování plánu vládní politiky na období 2024–2027, která by se zaměřila na vytvoření příznivějšího prostředí pro rozvoj občanské společnosti, a aby provádění tohoto plánu pečlivě sledovaly;</w:t>
      </w:r>
    </w:p>
    <w:p w14:paraId="6CE54CA6" w14:textId="77777777" w:rsidR="002604F8" w:rsidRPr="00872627" w:rsidRDefault="002604F8" w:rsidP="00872627">
      <w:pPr>
        <w:spacing w:after="240"/>
        <w:ind w:left="567" w:hanging="567"/>
        <w:rPr>
          <w:szCs w:val="24"/>
        </w:rPr>
      </w:pPr>
      <w:r w:rsidRPr="00872627">
        <w:rPr>
          <w:szCs w:val="24"/>
        </w:rPr>
        <w:t>17.</w:t>
      </w:r>
      <w:r w:rsidRPr="00872627">
        <w:rPr>
          <w:szCs w:val="24"/>
        </w:rPr>
        <w:tab/>
        <w:t>považuje za pozitivní, že byla vytvořena nová funkce státního ministra pro veřejnou správu a boj proti korupci, a poukazuje na význam účinnosti tohoto ministerstva a provádění reforem veřejné správy a boje proti korupci; je však i nadále znepokojen tím, že při reformě veřejné správy bylo dosaženo jen omezeného pokroku; trvá na tom, aby albánské orgány účinně prováděly ustanovení o náboru zaměstnanců na základě zásluh a aby přezkoumaly účinnost stávajících monitorovacích struktur z hlediska nové reformy veřejné správy a protikorupční reformy; zdůrazňuje, že je třeba podporovat kulturu odpovědnosti, nestranického přístupu k veřejným informacím a kontroly veřejných institucí, a to i pokud jde o provádění programu reforem; konstatuje, že veřejné subjekty musí zlepšit dodržování požadavků na transparentnost a svou schopnost reagovat na žádosti o informace;</w:t>
      </w:r>
    </w:p>
    <w:p w14:paraId="33BA7AEF" w14:textId="77777777" w:rsidR="002604F8" w:rsidRPr="00872627" w:rsidRDefault="002604F8" w:rsidP="00872627">
      <w:pPr>
        <w:pStyle w:val="NormalHanging12a"/>
        <w:rPr>
          <w:bCs/>
          <w:iCs/>
          <w:szCs w:val="24"/>
        </w:rPr>
      </w:pPr>
      <w:r w:rsidRPr="00872627">
        <w:rPr>
          <w:szCs w:val="24"/>
        </w:rPr>
        <w:t>18.</w:t>
      </w:r>
      <w:r w:rsidRPr="00872627">
        <w:rPr>
          <w:szCs w:val="24"/>
        </w:rPr>
        <w:tab/>
        <w:t>vyjadřuje politování nad tím, že při sbližování právního rámce pro zadávání veřejných zakázek s </w:t>
      </w:r>
      <w:proofErr w:type="spellStart"/>
      <w:r w:rsidRPr="00872627">
        <w:rPr>
          <w:i/>
          <w:iCs/>
          <w:szCs w:val="24"/>
        </w:rPr>
        <w:t>acquis</w:t>
      </w:r>
      <w:proofErr w:type="spellEnd"/>
      <w:r w:rsidRPr="00872627">
        <w:rPr>
          <w:szCs w:val="24"/>
        </w:rPr>
        <w:t xml:space="preserve"> EU bylo dosaženo pouze omezeného pokroku; vyjadřuje znepokojení nad nově zavedenými dočasnými výjimkami v právních předpisech o zadávání veřejných zakázek; vyzývá albánské orgány, aby v souladu s </w:t>
      </w:r>
      <w:proofErr w:type="spellStart"/>
      <w:r w:rsidRPr="00872627">
        <w:rPr>
          <w:i/>
          <w:iCs/>
          <w:szCs w:val="24"/>
        </w:rPr>
        <w:t>acquis</w:t>
      </w:r>
      <w:proofErr w:type="spellEnd"/>
      <w:r w:rsidRPr="00872627">
        <w:rPr>
          <w:szCs w:val="24"/>
        </w:rPr>
        <w:t xml:space="preserve"> EU zlepšily soutěžní postupy zadávání veřejných zakázek; </w:t>
      </w:r>
    </w:p>
    <w:p w14:paraId="140AFBC4" w14:textId="77777777" w:rsidR="002604F8" w:rsidRPr="00872627" w:rsidRDefault="002604F8" w:rsidP="00872627">
      <w:pPr>
        <w:pStyle w:val="NormalHanging12a"/>
        <w:rPr>
          <w:bCs/>
          <w:iCs/>
          <w:szCs w:val="24"/>
        </w:rPr>
      </w:pPr>
      <w:r w:rsidRPr="00872627">
        <w:rPr>
          <w:szCs w:val="24"/>
        </w:rPr>
        <w:t>19.</w:t>
      </w:r>
      <w:r w:rsidRPr="00872627">
        <w:rPr>
          <w:szCs w:val="24"/>
        </w:rPr>
        <w:tab/>
        <w:t xml:space="preserve">vítá pokrok, jejž Albánie dosáhla při zlepšování předávání údajů </w:t>
      </w:r>
      <w:proofErr w:type="spellStart"/>
      <w:r w:rsidRPr="00872627">
        <w:rPr>
          <w:szCs w:val="24"/>
        </w:rPr>
        <w:t>Eurostatu</w:t>
      </w:r>
      <w:proofErr w:type="spellEnd"/>
      <w:r w:rsidRPr="00872627">
        <w:rPr>
          <w:szCs w:val="24"/>
        </w:rPr>
        <w:t xml:space="preserve">; </w:t>
      </w:r>
    </w:p>
    <w:p w14:paraId="046958FC" w14:textId="77777777" w:rsidR="002604F8" w:rsidRPr="00872627" w:rsidRDefault="002604F8" w:rsidP="00872627">
      <w:pPr>
        <w:pStyle w:val="NormalHanging12a"/>
        <w:rPr>
          <w:b/>
          <w:i/>
          <w:szCs w:val="24"/>
        </w:rPr>
      </w:pPr>
      <w:r w:rsidRPr="00872627">
        <w:rPr>
          <w:b/>
          <w:i/>
          <w:szCs w:val="24"/>
        </w:rPr>
        <w:t>Základní práva</w:t>
      </w:r>
    </w:p>
    <w:p w14:paraId="588779A9" w14:textId="77777777" w:rsidR="002604F8" w:rsidRPr="00872627" w:rsidRDefault="002604F8" w:rsidP="00872627">
      <w:pPr>
        <w:pStyle w:val="NormalHanging12a"/>
        <w:rPr>
          <w:bCs/>
          <w:iCs/>
          <w:szCs w:val="24"/>
        </w:rPr>
      </w:pPr>
      <w:r w:rsidRPr="00872627">
        <w:rPr>
          <w:szCs w:val="24"/>
        </w:rPr>
        <w:t>20.</w:t>
      </w:r>
      <w:r w:rsidRPr="00872627">
        <w:rPr>
          <w:szCs w:val="24"/>
        </w:rPr>
        <w:tab/>
        <w:t>konstatuje, že právní rámec Albánie pro genderově podmíněné násilí dosud není plně v souladu s Istanbulskou úmluvou; vyjadřuje vážné znepokojení nad tím, že násilí páchané na ženách zůstává palčivým problémem a že případy vražd žen jsou stále velmi časté; oceňuje, že veřejná ochránkyně práv zřídila platformu pro monitorování situace v oblasti vražd žen;</w:t>
      </w:r>
      <w:r w:rsidRPr="00872627">
        <w:rPr>
          <w:b/>
          <w:i/>
          <w:szCs w:val="24"/>
        </w:rPr>
        <w:t xml:space="preserve"> </w:t>
      </w:r>
      <w:r w:rsidRPr="00872627">
        <w:rPr>
          <w:szCs w:val="24"/>
        </w:rPr>
        <w:t>naléhavě vyzývá k rozšíření podpůrných služeb pro oběti, zejména pokud jde o zdravotní péči, finanční podporu pro azylové domy, bezplatnou právní pomoc a jejich opětovné začlenění do společnosti a rehabilitaci; zdůrazňuje, že je třeba zvýšit finanční a institucionální podporu programů prevence, osvětových kampaní pro veřejnost a specializované odborné přípravy pro donucovací a soudní orgány s cílem zajistit přístup zaměřený na oběti;</w:t>
      </w:r>
    </w:p>
    <w:p w14:paraId="6053387C" w14:textId="77777777" w:rsidR="002604F8" w:rsidRPr="00872627" w:rsidRDefault="002604F8" w:rsidP="00872627">
      <w:pPr>
        <w:pStyle w:val="NormalHanging12a"/>
        <w:rPr>
          <w:bCs/>
          <w:iCs/>
          <w:szCs w:val="24"/>
        </w:rPr>
      </w:pPr>
      <w:r w:rsidRPr="00872627">
        <w:rPr>
          <w:szCs w:val="24"/>
        </w:rPr>
        <w:t>21.</w:t>
      </w:r>
      <w:r w:rsidRPr="00872627">
        <w:rPr>
          <w:szCs w:val="24"/>
        </w:rPr>
        <w:tab/>
        <w:t>vyjadřuje znepokojení nad přetrvávajícími nedostatky, jako je nesoulad nebo jen částečný soulad s </w:t>
      </w:r>
      <w:proofErr w:type="spellStart"/>
      <w:r w:rsidRPr="00872627">
        <w:rPr>
          <w:i/>
          <w:iCs/>
          <w:szCs w:val="24"/>
        </w:rPr>
        <w:t>acquis</w:t>
      </w:r>
      <w:proofErr w:type="spellEnd"/>
      <w:r w:rsidRPr="00872627">
        <w:rPr>
          <w:szCs w:val="24"/>
        </w:rPr>
        <w:t xml:space="preserve"> EU, pokud jde o osoby se zdravotním postižením a rovnost žen a mužů; uznává, že je třeba, aby Albánie plně sladila svůj právní rámec týkající se genderově podmíněného násilí s Istanbulskou úmluvou; konstatuje, že podle globální zprávy Světového ekonomického fóra o genderových rozdílech za rok 2024 Albánie klesla o šest míst na 23. místo na světě, což naznačuje, že se rozdíly mezi ženami a muži prohlubují; vyjadřuje vážné znepokojení nad tím, že násilí páchané na ženách zůstává palčivým problémem a že případy vražd žen jsou stále velmi časté; vyzývá k plnému a účinnému provádění stávajících právních předpisů, včetně přísnějšího prosazování ochranných opatření a lepší schopnosti soudů reagovat na případy </w:t>
      </w:r>
      <w:r w:rsidRPr="00872627">
        <w:rPr>
          <w:szCs w:val="24"/>
        </w:rPr>
        <w:lastRenderedPageBreak/>
        <w:t>genderově podmíněného násilí, jak je zdůrazněno ve zprávě Evropské komise o Albánii za rok 2024;</w:t>
      </w:r>
    </w:p>
    <w:p w14:paraId="73AAE30E" w14:textId="77777777" w:rsidR="002604F8" w:rsidRDefault="002604F8" w:rsidP="00872627">
      <w:pPr>
        <w:pStyle w:val="NormalHanging12a"/>
        <w:rPr>
          <w:szCs w:val="24"/>
        </w:rPr>
      </w:pPr>
      <w:r w:rsidRPr="00872627">
        <w:rPr>
          <w:szCs w:val="24"/>
        </w:rPr>
        <w:t>22.</w:t>
      </w:r>
      <w:r w:rsidRPr="00872627">
        <w:rPr>
          <w:szCs w:val="24"/>
        </w:rPr>
        <w:tab/>
        <w:t>vítá, že byl přijat nový a lépe financovaný národní akční plán pro osoby LGBTI+; vyjadřuje však politování nad tím, že při zavádění nezbytných právních předpisů v této oblasti nebylo dosaženo žádného pokroku, a vyzývá albánské orgány, aby přijaly nezbytné právní předpisy týkající se uznávání genderové identity a pohlavních znaků a také partnerství a manželství osob stejného pohlaví; vyjadřuje politování nad tím, že osoby LGBTI+ nadále čelí hrozbám a urážlivým mediálním kampaním, aniž by jim veřejné instituce poskytovaly odpovídající ochranu; konstatuje, že ženy žijící ve venkovských a odlehlých oblastech, romské ženy a balkánské Egypťanky a osoby LGBTI+ se nadále potýkají s omezeným přístupem k primární zdravotní péči; naléhavě vyzývá veřejné orgány, aby prokázaly pevné odhodlání chránit práva osob LGBTI+ a aby rozhodně bojovaly proti diskriminačním a nenávistným projevům vůči této komunitě;</w:t>
      </w:r>
    </w:p>
    <w:p w14:paraId="2FA443E8" w14:textId="059386A7" w:rsidR="00E802F3" w:rsidRPr="00E802F3" w:rsidRDefault="00E802F3" w:rsidP="00872627">
      <w:pPr>
        <w:pStyle w:val="NormalHanging12a"/>
        <w:rPr>
          <w:rFonts w:eastAsia="Calibri"/>
          <w:bCs/>
          <w:iCs/>
          <w:szCs w:val="24"/>
        </w:rPr>
      </w:pPr>
      <w:r w:rsidRPr="007F4566">
        <w:rPr>
          <w:bCs/>
          <w:iCs/>
        </w:rPr>
        <w:t>2</w:t>
      </w:r>
      <w:r w:rsidR="00F10EE5">
        <w:rPr>
          <w:bCs/>
          <w:iCs/>
        </w:rPr>
        <w:t>3</w:t>
      </w:r>
      <w:r w:rsidRPr="007F4566">
        <w:rPr>
          <w:bCs/>
          <w:iCs/>
        </w:rPr>
        <w:t>.</w:t>
      </w:r>
      <w:r w:rsidRPr="00E802F3">
        <w:rPr>
          <w:bCs/>
          <w:iCs/>
        </w:rPr>
        <w:tab/>
      </w:r>
      <w:r w:rsidRPr="007F4566">
        <w:rPr>
          <w:bCs/>
          <w:iCs/>
        </w:rPr>
        <w:t>vyzývá Albánii, aby plně respektovala autonomii albánské pravoslavné autokefální církve a zdržela se veškeré činnosti, která by oslabila její svobodu náboženského projevu nebo její vlastnická práva; vyzývá k ukončení zásahů do jmenování představitelů církve a k dialogu s náboženskými orgány s cílem chránit náboženský pluralismus;</w:t>
      </w:r>
    </w:p>
    <w:p w14:paraId="7DD59382" w14:textId="0BC98FC8" w:rsidR="002604F8" w:rsidRPr="00872627" w:rsidRDefault="002604F8" w:rsidP="00872627">
      <w:pPr>
        <w:spacing w:after="240"/>
        <w:ind w:left="567" w:hanging="567"/>
        <w:rPr>
          <w:bCs/>
          <w:iCs/>
          <w:szCs w:val="24"/>
        </w:rPr>
      </w:pPr>
      <w:r w:rsidRPr="00872627">
        <w:rPr>
          <w:bCs/>
          <w:iCs/>
          <w:szCs w:val="24"/>
          <w:lang w:eastAsia="en-US"/>
        </w:rPr>
        <w:t>2</w:t>
      </w:r>
      <w:r w:rsidR="00F10EE5">
        <w:rPr>
          <w:bCs/>
          <w:iCs/>
          <w:szCs w:val="24"/>
          <w:lang w:eastAsia="en-US"/>
        </w:rPr>
        <w:t>4</w:t>
      </w:r>
      <w:r w:rsidRPr="00872627">
        <w:rPr>
          <w:szCs w:val="24"/>
          <w:lang w:eastAsia="en-US"/>
        </w:rPr>
        <w:t>.</w:t>
      </w:r>
      <w:r w:rsidRPr="00872627">
        <w:rPr>
          <w:szCs w:val="24"/>
          <w:lang w:eastAsia="en-US"/>
        </w:rPr>
        <w:tab/>
      </w:r>
      <w:r w:rsidRPr="00872627">
        <w:rPr>
          <w:szCs w:val="24"/>
        </w:rPr>
        <w:t>vítá přijetí připravovaných prováděcích právních předpisů týkajících se práv příslušníků menšin, zejména pokud jde o sebeurčení a používání menšinových jazyků, a </w:t>
      </w:r>
      <w:r w:rsidR="00E802F3" w:rsidRPr="007F4566">
        <w:rPr>
          <w:bCs/>
          <w:iCs/>
        </w:rPr>
        <w:t>to i na úrovni místních samosprávních celků, a </w:t>
      </w:r>
      <w:r w:rsidRPr="001A5888">
        <w:rPr>
          <w:bCs/>
          <w:iCs/>
          <w:szCs w:val="24"/>
        </w:rPr>
        <w:t xml:space="preserve">poukazuje na nutnost účinného uplatňování všech ustanovení těchto podzákonných předpisů, aby byla zajištěna možnost výkonu práv menšin a práv na vzdělání v praxi; vyzývá příslušné orgány, aby </w:t>
      </w:r>
      <w:r w:rsidR="00E802F3" w:rsidRPr="007F4566">
        <w:rPr>
          <w:bCs/>
          <w:iCs/>
        </w:rPr>
        <w:t xml:space="preserve">zajistily účinné provádění těchto předpisů, zejména tím, že přidělí odpovídající zdroje ústředním orgánům a orgánům místní správy; vyzývá orgány, aby zajistily, že postupy pro výběr členů Výboru pro národnostní menšiny budou přezkoumány v souladu s doporučeními Komise a Poradního výboru k Rámcové úmluvě o ochraně národnostních menšin; vyzývá příslušné orgány, aby </w:t>
      </w:r>
      <w:r w:rsidRPr="001A5888">
        <w:rPr>
          <w:bCs/>
          <w:iCs/>
          <w:szCs w:val="24"/>
        </w:rPr>
        <w:t>zvýšily kapacitu Státního výboru pro národnostní menšiny</w:t>
      </w:r>
      <w:r w:rsidR="00763083" w:rsidRPr="001A5888">
        <w:rPr>
          <w:bCs/>
          <w:iCs/>
          <w:szCs w:val="24"/>
        </w:rPr>
        <w:t xml:space="preserve"> </w:t>
      </w:r>
      <w:r w:rsidR="00763083" w:rsidRPr="007F4566">
        <w:rPr>
          <w:bCs/>
          <w:iCs/>
        </w:rPr>
        <w:t>a zajistily, aby byl plně funkční a měl k dispozici odpovídající zdroje</w:t>
      </w:r>
      <w:r w:rsidRPr="00872627">
        <w:rPr>
          <w:szCs w:val="24"/>
        </w:rPr>
        <w:t>; vyjadřuje znepokojení nad přetrvávajícími problémy s diskriminací a sociálním vyloučením, které postihují menšinové skupiny v Albánii; vyzývá albánskou vládu, aby neomezeně dodržovala a chránila veškerá lidská práva, včetně práv menšin, a aby zajistila, že všechna obvinění z porušování lidských práv, včetně nenávistných projevů, budou urychleně a důkladně prošetřena; naléhavě vyzývá albánské orgány, aby v souladu s doporučeními obsaženými ve zprávě Komise o Albánii z roku 2024 posílily institucionální mechanismy s cílem předcházet diskriminaci a zajistit smysluplnou politickou účast všech komunit; vyzývá Albánii, aby chránila a podporovala kulturní dědictví, jazyky a tradice svých národnostních menšin; vyzývá tuto zemi, aby zajistila pro národnostní menšiny vzdělávání v </w:t>
      </w:r>
      <w:r w:rsidR="00E802F3" w:rsidRPr="007F4566">
        <w:rPr>
          <w:bCs/>
          <w:iCs/>
        </w:rPr>
        <w:t>jejich mateřském jazyce, včetně odpovídajícího základního a středního vzdělávání v řečtině v regionech, které tradičně obývá řecká národnostní menšina,</w:t>
      </w:r>
      <w:r w:rsidR="00E802F3" w:rsidRPr="00E802F3">
        <w:rPr>
          <w:bCs/>
          <w:iCs/>
        </w:rPr>
        <w:t xml:space="preserve"> </w:t>
      </w:r>
      <w:r w:rsidRPr="00872627">
        <w:rPr>
          <w:szCs w:val="24"/>
        </w:rPr>
        <w:t xml:space="preserve">a aby všem svým občanům </w:t>
      </w:r>
      <w:r w:rsidR="0085248C" w:rsidRPr="007F4566">
        <w:t>po celé zemi</w:t>
      </w:r>
      <w:r w:rsidR="0085248C">
        <w:t xml:space="preserve"> </w:t>
      </w:r>
      <w:r w:rsidRPr="00872627">
        <w:rPr>
          <w:szCs w:val="24"/>
        </w:rPr>
        <w:t xml:space="preserve">zajistila </w:t>
      </w:r>
      <w:r w:rsidR="00E802F3">
        <w:rPr>
          <w:szCs w:val="24"/>
        </w:rPr>
        <w:t>neomezený</w:t>
      </w:r>
      <w:r w:rsidRPr="00872627">
        <w:rPr>
          <w:szCs w:val="24"/>
        </w:rPr>
        <w:t xml:space="preserve"> přístup ke státnímu základnímu, střednímu a vyššímu vzdělávání</w:t>
      </w:r>
      <w:r w:rsidR="0085248C" w:rsidRPr="007F4566">
        <w:rPr>
          <w:bCs/>
          <w:iCs/>
        </w:rPr>
        <w:t>, a plně tak provedla příslušné právní předpisy</w:t>
      </w:r>
      <w:r w:rsidRPr="00872627">
        <w:rPr>
          <w:szCs w:val="24"/>
        </w:rPr>
        <w:t>; </w:t>
      </w:r>
    </w:p>
    <w:p w14:paraId="62ACB3A5" w14:textId="30ACC576" w:rsidR="0085248C" w:rsidRPr="0085248C" w:rsidRDefault="0085248C" w:rsidP="00872627">
      <w:pPr>
        <w:pStyle w:val="NormalHanging12a"/>
        <w:rPr>
          <w:bCs/>
          <w:iCs/>
          <w:szCs w:val="24"/>
        </w:rPr>
      </w:pPr>
      <w:r w:rsidRPr="007F4566">
        <w:rPr>
          <w:bCs/>
          <w:iCs/>
        </w:rPr>
        <w:t>2</w:t>
      </w:r>
      <w:r w:rsidR="00F10EE5">
        <w:rPr>
          <w:bCs/>
          <w:iCs/>
        </w:rPr>
        <w:t>5</w:t>
      </w:r>
      <w:r w:rsidRPr="007F4566">
        <w:rPr>
          <w:bCs/>
          <w:iCs/>
        </w:rPr>
        <w:t>.</w:t>
      </w:r>
      <w:r w:rsidRPr="0085248C">
        <w:rPr>
          <w:bCs/>
          <w:iCs/>
        </w:rPr>
        <w:tab/>
      </w:r>
      <w:r w:rsidRPr="007F4566">
        <w:rPr>
          <w:bCs/>
          <w:iCs/>
        </w:rPr>
        <w:t xml:space="preserve">vyzývá Albánii, aby chránila a zachovala náboženské a kulturní dědictví řecké pravoslavné menšiny, mimo jiné prostřednictvím obnovy a právního uznání kostelů a hřbitovů; vyzývá orgány, aby nevyvlastňovaly ani nedemolovaly majetek, který má </w:t>
      </w:r>
      <w:r w:rsidRPr="007F4566">
        <w:rPr>
          <w:bCs/>
          <w:iCs/>
        </w:rPr>
        <w:lastRenderedPageBreak/>
        <w:t>historický nebo kulturní význam pro řeckou menšinu;</w:t>
      </w:r>
    </w:p>
    <w:p w14:paraId="6D190216" w14:textId="4E9DB0E4" w:rsidR="002604F8" w:rsidRPr="00872627" w:rsidRDefault="002604F8" w:rsidP="00872627">
      <w:pPr>
        <w:pStyle w:val="NormalHanging12a"/>
        <w:rPr>
          <w:bCs/>
          <w:iCs/>
          <w:szCs w:val="24"/>
        </w:rPr>
      </w:pPr>
      <w:r w:rsidRPr="00872627">
        <w:rPr>
          <w:szCs w:val="24"/>
        </w:rPr>
        <w:t>2</w:t>
      </w:r>
      <w:r w:rsidR="00F10EE5">
        <w:rPr>
          <w:szCs w:val="24"/>
        </w:rPr>
        <w:t>6</w:t>
      </w:r>
      <w:r w:rsidRPr="00872627">
        <w:rPr>
          <w:szCs w:val="24"/>
        </w:rPr>
        <w:t>.</w:t>
      </w:r>
      <w:r w:rsidRPr="00872627">
        <w:rPr>
          <w:szCs w:val="24"/>
        </w:rPr>
        <w:tab/>
        <w:t xml:space="preserve">připomíná, že Albánie by měla chránit právo na vlastnictví, zejména dosažením rozhodujícího pokroku v oblasti první registrace a odškodnění, zlepšením transparentnosti státního katastru a kvality katastrálních údajů v katastru nemovitostí a zajištěním dodržování práva na spravedlivý proces a práva na účinný opravný prostředek v případech vyvlastnění a odebrání majetku; </w:t>
      </w:r>
    </w:p>
    <w:p w14:paraId="6D6AC7D6" w14:textId="68A0F528" w:rsidR="0085248C" w:rsidRDefault="0085248C" w:rsidP="00872627">
      <w:pPr>
        <w:pStyle w:val="NormalHanging12a"/>
        <w:rPr>
          <w:bCs/>
          <w:iCs/>
        </w:rPr>
      </w:pPr>
      <w:r w:rsidRPr="007F4566">
        <w:rPr>
          <w:bCs/>
          <w:iCs/>
        </w:rPr>
        <w:t>2</w:t>
      </w:r>
      <w:r w:rsidR="00F10EE5">
        <w:rPr>
          <w:bCs/>
          <w:iCs/>
        </w:rPr>
        <w:t>7</w:t>
      </w:r>
      <w:r w:rsidRPr="007F4566">
        <w:rPr>
          <w:bCs/>
          <w:iCs/>
        </w:rPr>
        <w:t>.</w:t>
      </w:r>
      <w:r w:rsidRPr="0085248C">
        <w:rPr>
          <w:bCs/>
          <w:iCs/>
        </w:rPr>
        <w:tab/>
      </w:r>
      <w:r w:rsidRPr="007F4566">
        <w:rPr>
          <w:bCs/>
          <w:iCs/>
        </w:rPr>
        <w:t>vybízí albánskou vládu, aby řešila a napravila nespravedlnost, které se na všech náboženských skupinách dopustil komunistický režim;</w:t>
      </w:r>
    </w:p>
    <w:p w14:paraId="7C0B9839" w14:textId="34DE405F" w:rsidR="0085248C" w:rsidRPr="0085248C" w:rsidRDefault="0085248C" w:rsidP="00872627">
      <w:pPr>
        <w:pStyle w:val="NormalHanging12a"/>
        <w:rPr>
          <w:bCs/>
          <w:iCs/>
          <w:szCs w:val="24"/>
        </w:rPr>
      </w:pPr>
      <w:r w:rsidRPr="007F4566">
        <w:rPr>
          <w:bCs/>
          <w:iCs/>
        </w:rPr>
        <w:t>2</w:t>
      </w:r>
      <w:r w:rsidR="00F10EE5">
        <w:rPr>
          <w:bCs/>
          <w:iCs/>
        </w:rPr>
        <w:t>8</w:t>
      </w:r>
      <w:r w:rsidRPr="007F4566">
        <w:rPr>
          <w:bCs/>
          <w:iCs/>
        </w:rPr>
        <w:t>.</w:t>
      </w:r>
      <w:r w:rsidRPr="0085248C">
        <w:rPr>
          <w:bCs/>
          <w:iCs/>
        </w:rPr>
        <w:tab/>
      </w:r>
      <w:r w:rsidRPr="007F4566">
        <w:rPr>
          <w:bCs/>
          <w:iCs/>
        </w:rPr>
        <w:t>vyjadřuje znepokojení nad pomalým navracením náboženského majetku zabaveného komunisty; dále se znepokojením konstatuje, že navzdory četným žádostem náboženských skupin vláda Albánie dosud nevrátila všechny posvátné předměty, relikvie, ikony ani archivy zabavené během komunistického režimu</w:t>
      </w:r>
      <w:r w:rsidRPr="007F4566">
        <w:rPr>
          <w:rStyle w:val="FootnoteReference"/>
          <w:bCs/>
          <w:iCs/>
        </w:rPr>
        <w:footnoteReference w:id="5"/>
      </w:r>
      <w:r w:rsidRPr="007F4566">
        <w:rPr>
          <w:bCs/>
          <w:iCs/>
        </w:rPr>
        <w:t>;</w:t>
      </w:r>
    </w:p>
    <w:p w14:paraId="7372096A" w14:textId="1297EE60" w:rsidR="002604F8" w:rsidRPr="00872627" w:rsidRDefault="002604F8" w:rsidP="00872627">
      <w:pPr>
        <w:pStyle w:val="NormalHanging12a"/>
        <w:rPr>
          <w:bCs/>
          <w:iCs/>
          <w:szCs w:val="24"/>
        </w:rPr>
      </w:pPr>
      <w:r w:rsidRPr="0085248C">
        <w:rPr>
          <w:bCs/>
          <w:iCs/>
          <w:szCs w:val="24"/>
        </w:rPr>
        <w:t>2</w:t>
      </w:r>
      <w:r w:rsidR="00F10EE5">
        <w:rPr>
          <w:bCs/>
          <w:iCs/>
          <w:szCs w:val="24"/>
        </w:rPr>
        <w:t>9</w:t>
      </w:r>
      <w:r w:rsidRPr="0085248C">
        <w:rPr>
          <w:bCs/>
          <w:iCs/>
          <w:szCs w:val="24"/>
        </w:rPr>
        <w:t>.</w:t>
      </w:r>
      <w:r w:rsidRPr="0085248C">
        <w:rPr>
          <w:bCs/>
          <w:iCs/>
          <w:szCs w:val="24"/>
        </w:rPr>
        <w:tab/>
        <w:t>vyzývá ke zvýšení investic do modernizace vzdělávacího systému, které by zajistily jeho kvalitu a </w:t>
      </w:r>
      <w:proofErr w:type="spellStart"/>
      <w:r w:rsidRPr="0085248C">
        <w:rPr>
          <w:bCs/>
          <w:iCs/>
          <w:szCs w:val="24"/>
        </w:rPr>
        <w:t>inkluzivnost</w:t>
      </w:r>
      <w:proofErr w:type="spellEnd"/>
      <w:r w:rsidRPr="0085248C">
        <w:rPr>
          <w:bCs/>
          <w:iCs/>
          <w:szCs w:val="24"/>
        </w:rPr>
        <w:t>; vyzývá Albánii, aby zavedla opatření na podporu příležitostí</w:t>
      </w:r>
      <w:r w:rsidRPr="00872627">
        <w:rPr>
          <w:szCs w:val="24"/>
        </w:rPr>
        <w:t xml:space="preserve"> při zaměstnávání a vzdělávání osob se zdravotním postižením; </w:t>
      </w:r>
    </w:p>
    <w:p w14:paraId="78E0186C" w14:textId="717CE6F8" w:rsidR="002604F8" w:rsidRPr="00872627" w:rsidRDefault="00F10EE5" w:rsidP="00872627">
      <w:pPr>
        <w:pStyle w:val="NormalHanging12a"/>
        <w:rPr>
          <w:szCs w:val="24"/>
        </w:rPr>
      </w:pPr>
      <w:r>
        <w:rPr>
          <w:szCs w:val="24"/>
        </w:rPr>
        <w:t>30</w:t>
      </w:r>
      <w:r w:rsidR="002604F8" w:rsidRPr="00872627">
        <w:rPr>
          <w:szCs w:val="24"/>
        </w:rPr>
        <w:t>.</w:t>
      </w:r>
      <w:r w:rsidR="002604F8" w:rsidRPr="00872627">
        <w:rPr>
          <w:szCs w:val="24"/>
        </w:rPr>
        <w:tab/>
      </w:r>
      <w:r w:rsidR="0085248C">
        <w:rPr>
          <w:szCs w:val="24"/>
        </w:rPr>
        <w:t>vítá</w:t>
      </w:r>
      <w:r w:rsidR="002604F8" w:rsidRPr="00872627">
        <w:rPr>
          <w:szCs w:val="24"/>
        </w:rPr>
        <w:t xml:space="preserve"> sčítání lidu </w:t>
      </w:r>
      <w:r w:rsidR="0085248C">
        <w:rPr>
          <w:szCs w:val="24"/>
        </w:rPr>
        <w:t>v Albánii provedené</w:t>
      </w:r>
      <w:r w:rsidR="002604F8" w:rsidRPr="00872627">
        <w:rPr>
          <w:szCs w:val="24"/>
        </w:rPr>
        <w:t xml:space="preserve"> v roce 202</w:t>
      </w:r>
      <w:r w:rsidR="0085248C">
        <w:rPr>
          <w:szCs w:val="24"/>
        </w:rPr>
        <w:t>3</w:t>
      </w:r>
      <w:r w:rsidR="002604F8" w:rsidRPr="00872627">
        <w:rPr>
          <w:szCs w:val="24"/>
        </w:rPr>
        <w:t xml:space="preserve">; </w:t>
      </w:r>
      <w:r w:rsidR="0085248C" w:rsidRPr="007F4566">
        <w:rPr>
          <w:bCs/>
          <w:iCs/>
        </w:rPr>
        <w:t>vyzývá orgány, aby v souladu s doporučením Komise</w:t>
      </w:r>
      <w:r w:rsidR="0085248C" w:rsidRPr="0085248C">
        <w:rPr>
          <w:bCs/>
          <w:iCs/>
        </w:rPr>
        <w:t xml:space="preserve">, </w:t>
      </w:r>
      <w:r w:rsidR="0085248C" w:rsidRPr="007F4566">
        <w:rPr>
          <w:bCs/>
          <w:iCs/>
        </w:rPr>
        <w:t>které uvedla ve své zprávě o Albánii za rok 2024, zveřejnily podrobné údaje a tematickou analýzu</w:t>
      </w:r>
    </w:p>
    <w:p w14:paraId="4815DD3F" w14:textId="5FB5BF30" w:rsidR="002604F8" w:rsidRPr="00872627" w:rsidRDefault="00F10EE5" w:rsidP="00872627">
      <w:pPr>
        <w:pStyle w:val="NormalHanging12a"/>
        <w:rPr>
          <w:szCs w:val="24"/>
        </w:rPr>
      </w:pPr>
      <w:r>
        <w:rPr>
          <w:szCs w:val="24"/>
        </w:rPr>
        <w:t>31</w:t>
      </w:r>
      <w:r w:rsidR="002604F8" w:rsidRPr="00872627">
        <w:rPr>
          <w:szCs w:val="24"/>
        </w:rPr>
        <w:t>.</w:t>
      </w:r>
      <w:r w:rsidR="002604F8" w:rsidRPr="00872627">
        <w:rPr>
          <w:szCs w:val="24"/>
        </w:rPr>
        <w:tab/>
        <w:t>vitá přijetí zákona o ochraně osobních údajů, jehož cílem je dosáhnout plného souladu s </w:t>
      </w:r>
      <w:proofErr w:type="spellStart"/>
      <w:r w:rsidR="002604F8" w:rsidRPr="00872627">
        <w:rPr>
          <w:i/>
          <w:iCs/>
          <w:szCs w:val="24"/>
        </w:rPr>
        <w:t>acquis</w:t>
      </w:r>
      <w:proofErr w:type="spellEnd"/>
      <w:r w:rsidR="002604F8" w:rsidRPr="00872627">
        <w:rPr>
          <w:szCs w:val="24"/>
        </w:rPr>
        <w:t xml:space="preserve"> EU; oceňuje albánské orgány za přijetí prováděcích právních předpisů o příslušném postupu a spravedlivé odměně, pokud jde o používání osiřelých děl a databázi děl chráněných autorským právem, vyjadřuje však vážné znepokojení nad tím, jak se zachází s osobními údaji, a nad nedostatky systémů IT; vyzývá albánské orgány, aby posílily záruky proti porušování ochrany údajů, zpřísnily prevenci, zajistily větší informovanost veřejnosti a rozšířily institucionální kapacitu s cílem zajistit účinné uplatňování nového zákona o ochraně osobních údajů; vyzývá Albánii, aby dále spolupracovala s Úřadem EU pro duševní vlastnictví; </w:t>
      </w:r>
    </w:p>
    <w:p w14:paraId="09D59707" w14:textId="5A748175" w:rsidR="002604F8" w:rsidRPr="00872627" w:rsidRDefault="00F10EE5" w:rsidP="00872627">
      <w:pPr>
        <w:pStyle w:val="NormalHanging12a"/>
        <w:rPr>
          <w:bCs/>
          <w:iCs/>
          <w:szCs w:val="24"/>
        </w:rPr>
      </w:pPr>
      <w:r>
        <w:rPr>
          <w:szCs w:val="24"/>
        </w:rPr>
        <w:t>3</w:t>
      </w:r>
      <w:r w:rsidR="002604F8" w:rsidRPr="00872627">
        <w:rPr>
          <w:szCs w:val="24"/>
        </w:rPr>
        <w:t>2.</w:t>
      </w:r>
      <w:r w:rsidR="002604F8" w:rsidRPr="00872627">
        <w:rPr>
          <w:szCs w:val="24"/>
        </w:rPr>
        <w:tab/>
        <w:t xml:space="preserve">je si vědom užší spolupráce mezi Albánií a EU při zvládání migračních toků a v rámci ochrany hranic, zejména prostřednictvím nové národní strategie pro migraci na období 2024–2026 a spolupráce s agenturou </w:t>
      </w:r>
      <w:proofErr w:type="spellStart"/>
      <w:r w:rsidR="002604F8" w:rsidRPr="00872627">
        <w:rPr>
          <w:szCs w:val="24"/>
        </w:rPr>
        <w:t>Frontex</w:t>
      </w:r>
      <w:proofErr w:type="spellEnd"/>
      <w:r w:rsidR="002604F8" w:rsidRPr="00872627">
        <w:rPr>
          <w:szCs w:val="24"/>
        </w:rPr>
        <w:t>; bere na vědomí memorandum o porozumění mezi Itálií a Albánií;</w:t>
      </w:r>
    </w:p>
    <w:p w14:paraId="620F928D" w14:textId="77777777" w:rsidR="002604F8" w:rsidRPr="00872627" w:rsidRDefault="002604F8" w:rsidP="00872627">
      <w:pPr>
        <w:pStyle w:val="NormalHanging12a"/>
        <w:rPr>
          <w:b/>
          <w:i/>
          <w:szCs w:val="24"/>
        </w:rPr>
      </w:pPr>
      <w:r w:rsidRPr="00872627">
        <w:rPr>
          <w:b/>
          <w:i/>
          <w:szCs w:val="24"/>
        </w:rPr>
        <w:t>Právní stát</w:t>
      </w:r>
    </w:p>
    <w:p w14:paraId="0A760F1B" w14:textId="42974A5C" w:rsidR="002604F8" w:rsidRPr="00872627" w:rsidRDefault="00F10EE5" w:rsidP="00872627">
      <w:pPr>
        <w:pStyle w:val="NormalHanging12a"/>
        <w:rPr>
          <w:bCs/>
          <w:iCs/>
          <w:szCs w:val="24"/>
        </w:rPr>
      </w:pPr>
      <w:r>
        <w:rPr>
          <w:szCs w:val="24"/>
        </w:rPr>
        <w:t>33</w:t>
      </w:r>
      <w:r w:rsidR="002604F8" w:rsidRPr="00872627">
        <w:rPr>
          <w:szCs w:val="24"/>
        </w:rPr>
        <w:t>.</w:t>
      </w:r>
      <w:r w:rsidR="002604F8" w:rsidRPr="00872627">
        <w:rPr>
          <w:szCs w:val="24"/>
        </w:rPr>
        <w:tab/>
        <w:t>oceňuje pokrok, kterého Albánie dosáhla při provádění reformy soudnictví zaměřené na zvýšení nezávislosti, transparentnosti a odpovědnosti soudnictví, včetně procesu prověřování dokončeného na úrovni první instance; vítá nový</w:t>
      </w:r>
      <w:r w:rsidR="002604F8" w:rsidRPr="00872627">
        <w:rPr>
          <w:b/>
          <w:i/>
          <w:szCs w:val="24"/>
        </w:rPr>
        <w:t xml:space="preserve"> </w:t>
      </w:r>
      <w:r w:rsidR="002604F8" w:rsidRPr="00872627">
        <w:rPr>
          <w:szCs w:val="24"/>
        </w:rPr>
        <w:t>reformní proces týkající se „řádné správy, právního státu a boje proti korupci pro Albánii 2030“, jenž zahájil albánský parlament; zdůrazňuje, že jakákoli iniciativa zaměřená na posílení veřejné správy, právního státu a boje proti korupci, musí být založena na </w:t>
      </w:r>
      <w:proofErr w:type="spellStart"/>
      <w:r w:rsidR="002604F8" w:rsidRPr="00872627">
        <w:rPr>
          <w:szCs w:val="24"/>
        </w:rPr>
        <w:t>inkluzivnosti</w:t>
      </w:r>
      <w:proofErr w:type="spellEnd"/>
      <w:r w:rsidR="002604F8" w:rsidRPr="00872627">
        <w:rPr>
          <w:szCs w:val="24"/>
        </w:rPr>
        <w:t xml:space="preserve">, transparentnosti a spolupráci; </w:t>
      </w:r>
    </w:p>
    <w:p w14:paraId="6E2E3727" w14:textId="410C71A1" w:rsidR="002604F8" w:rsidRPr="00872627" w:rsidRDefault="002604F8" w:rsidP="00872627">
      <w:pPr>
        <w:pStyle w:val="NormalHanging12a"/>
        <w:rPr>
          <w:szCs w:val="24"/>
        </w:rPr>
      </w:pPr>
      <w:r w:rsidRPr="00872627">
        <w:rPr>
          <w:szCs w:val="24"/>
        </w:rPr>
        <w:t>3</w:t>
      </w:r>
      <w:r w:rsidR="00F10EE5">
        <w:rPr>
          <w:szCs w:val="24"/>
        </w:rPr>
        <w:t>4</w:t>
      </w:r>
      <w:r w:rsidRPr="00872627">
        <w:rPr>
          <w:szCs w:val="24"/>
        </w:rPr>
        <w:t>.</w:t>
      </w:r>
      <w:r w:rsidRPr="00872627">
        <w:rPr>
          <w:szCs w:val="24"/>
        </w:rPr>
        <w:tab/>
        <w:t xml:space="preserve">vyjadřuje znepokojení nad soustavným politickým vměšováním do soudního systému </w:t>
      </w:r>
      <w:r w:rsidRPr="00872627">
        <w:rPr>
          <w:szCs w:val="24"/>
        </w:rPr>
        <w:lastRenderedPageBreak/>
        <w:t>a nad politickým tlakem, který je na něj neustále vyvíjen; je znepokojen tím, že se jmenování členů Vysoké soudní rady a Vysoké rady státního zastupitelství, kteří nepocházejí z řad soudců, na základě zásluh vyznačuje nedostatky a že ohledně jejich bezúhonnosti panují pochyby</w:t>
      </w:r>
      <w:r w:rsidR="003720FC">
        <w:t xml:space="preserve">; </w:t>
      </w:r>
      <w:r w:rsidR="003720FC" w:rsidRPr="007F4566">
        <w:rPr>
          <w:bCs/>
          <w:iCs/>
        </w:rPr>
        <w:t>vyjadřuje politování nad přetrvávajícími problémy, pokud jde o fungování soudnictví, na něž upozornila zpráva SPAK za rok 2024</w:t>
      </w:r>
      <w:r w:rsidRPr="003720FC">
        <w:rPr>
          <w:bCs/>
          <w:iCs/>
          <w:szCs w:val="24"/>
        </w:rPr>
        <w:t xml:space="preserve">; </w:t>
      </w:r>
    </w:p>
    <w:p w14:paraId="7E06C3C8" w14:textId="15700EE6" w:rsidR="002604F8" w:rsidRPr="00872627" w:rsidRDefault="002604F8" w:rsidP="00872627">
      <w:pPr>
        <w:pStyle w:val="NormalHanging12a"/>
        <w:rPr>
          <w:bCs/>
          <w:iCs/>
          <w:szCs w:val="24"/>
        </w:rPr>
      </w:pPr>
      <w:r w:rsidRPr="00872627">
        <w:rPr>
          <w:szCs w:val="24"/>
        </w:rPr>
        <w:t>3</w:t>
      </w:r>
      <w:r w:rsidR="00F10EE5">
        <w:rPr>
          <w:szCs w:val="24"/>
        </w:rPr>
        <w:t>5</w:t>
      </w:r>
      <w:r w:rsidRPr="00872627">
        <w:rPr>
          <w:szCs w:val="24"/>
        </w:rPr>
        <w:t>.</w:t>
      </w:r>
      <w:r w:rsidRPr="00872627">
        <w:rPr>
          <w:szCs w:val="24"/>
        </w:rPr>
        <w:tab/>
        <w:t>vyzývá k bezodkladným krokům k zajištění nezávislosti soudnictví a institucionální integrity;</w:t>
      </w:r>
    </w:p>
    <w:p w14:paraId="6491D028" w14:textId="06F84621" w:rsidR="002604F8" w:rsidRPr="00872627" w:rsidRDefault="002604F8" w:rsidP="00872627">
      <w:pPr>
        <w:pStyle w:val="NormalHanging12a"/>
        <w:rPr>
          <w:szCs w:val="24"/>
        </w:rPr>
      </w:pPr>
      <w:r w:rsidRPr="00872627">
        <w:rPr>
          <w:szCs w:val="24"/>
        </w:rPr>
        <w:t>3</w:t>
      </w:r>
      <w:r w:rsidR="00F10EE5">
        <w:rPr>
          <w:szCs w:val="24"/>
        </w:rPr>
        <w:t>6</w:t>
      </w:r>
      <w:r w:rsidRPr="00872627">
        <w:rPr>
          <w:szCs w:val="24"/>
        </w:rPr>
        <w:t>.</w:t>
      </w:r>
      <w:r w:rsidRPr="00872627">
        <w:rPr>
          <w:szCs w:val="24"/>
        </w:rPr>
        <w:tab/>
        <w:t xml:space="preserve">poukazuje na to, že se Albánie v indexu vnímání korupce organizace </w:t>
      </w:r>
      <w:proofErr w:type="spellStart"/>
      <w:r w:rsidRPr="00872627">
        <w:rPr>
          <w:szCs w:val="24"/>
        </w:rPr>
        <w:t>Transparency</w:t>
      </w:r>
      <w:proofErr w:type="spellEnd"/>
      <w:r w:rsidRPr="00872627">
        <w:rPr>
          <w:szCs w:val="24"/>
        </w:rPr>
        <w:t xml:space="preserve"> International za rok 2024 umístila na 80. místě, což naznačuje, že v boji proti korupci vysoce postavených osob a při zajišťování nezávislosti soudnictví je třeba dosáhnout významného pokroku; vyzdvihuje klíčovou práci albánského zvláštního útvaru pro boj proti korupci a organizované trestné činnosti (SPAK) při dosahování výsledků v oblasti vyšetřování, stíhání a usvědčování pachatelů v případech korupce vysoce postavených osob i v případech týkajících se ochrany finančních zájmů EU; zdůrazňuje, že je důležité zajistit úplnou nezávislost protikorupčních institucí, a vybízí k rozšíření jejich operativní a vyšetřovací kapacity; vítá vyšetřování případů korupce vysoce postavených osob a příslušná soudní řízení; zdůrazňuje, že důležitou prioritou je i nadále zvýšení počtu pravomocně odsouzených vysoce postavených úředníků; naléhavě vyzývá všechny aktéry, aby se zdrželi jakýchkoli kroků, které podrývají činnost nezávislých institucí, jako je útvar SPAK; vyjadřuje politování nad zastrašujícím prostředím, v němž soudy působí, a nad případy nepřiměřeného tlaku, kterému jsou vystaveny a které představují vážnou hrozbu pro nezávislost soudnictví; vyjadřuje znepokojení nad tím, že nedostatečná institucionální podpora soudců, kteří čelí hrozbám, oslabuje důvěru veřejnosti a vážně ohrožuje právní stát a proces integrace Albánie do EU;</w:t>
      </w:r>
    </w:p>
    <w:p w14:paraId="48EB7C27" w14:textId="7DA718C8" w:rsidR="002604F8" w:rsidRPr="00872627" w:rsidRDefault="002604F8" w:rsidP="00872627">
      <w:pPr>
        <w:pStyle w:val="NormalHanging12a"/>
        <w:rPr>
          <w:bCs/>
          <w:iCs/>
          <w:szCs w:val="24"/>
        </w:rPr>
      </w:pPr>
      <w:r w:rsidRPr="00872627">
        <w:rPr>
          <w:szCs w:val="24"/>
        </w:rPr>
        <w:t>3</w:t>
      </w:r>
      <w:r w:rsidR="00F10EE5">
        <w:rPr>
          <w:szCs w:val="24"/>
        </w:rPr>
        <w:t>7</w:t>
      </w:r>
      <w:r w:rsidRPr="00872627">
        <w:rPr>
          <w:szCs w:val="24"/>
        </w:rPr>
        <w:t>.</w:t>
      </w:r>
      <w:r w:rsidRPr="00872627">
        <w:rPr>
          <w:szCs w:val="24"/>
        </w:rPr>
        <w:tab/>
        <w:t>konstatuje, že kvalitu a účinnost soudního systému mohou narušovat problémy související s nedostatkem soudců a soudních zaměstnanců, s úrovní základního a následného justičního vzdělávání, s důsledností judikatury a s absencí moderního integrovaného systému správy případů; konstatuje, že rozpočtové prostředky jsou nedostatečné, zejména pokud jde o soudní složku; zdůrazňuje, že prioritou by mělo zůstat snížení počtu nevyřízených spisů v soudním systému; oceňuje však, že albánský ústavní soud zvýšil svou účinnost tím, že snížil počet nevyřízených případů, a nadále prosazuje institucionální systém brzd a protivah;</w:t>
      </w:r>
    </w:p>
    <w:p w14:paraId="0D06B40C" w14:textId="0E6EA4B9" w:rsidR="002604F8" w:rsidRPr="00872627" w:rsidRDefault="002604F8" w:rsidP="00872627">
      <w:pPr>
        <w:pStyle w:val="NormalHanging12a"/>
        <w:rPr>
          <w:szCs w:val="24"/>
        </w:rPr>
      </w:pPr>
      <w:r w:rsidRPr="00872627">
        <w:rPr>
          <w:szCs w:val="24"/>
        </w:rPr>
        <w:t>3</w:t>
      </w:r>
      <w:r w:rsidR="00F10EE5">
        <w:rPr>
          <w:szCs w:val="24"/>
        </w:rPr>
        <w:t>8</w:t>
      </w:r>
      <w:r w:rsidRPr="00872627">
        <w:rPr>
          <w:szCs w:val="24"/>
        </w:rPr>
        <w:t>.</w:t>
      </w:r>
      <w:r w:rsidRPr="00872627">
        <w:rPr>
          <w:szCs w:val="24"/>
        </w:rPr>
        <w:tab/>
        <w:t>vítá přijetí vnitrostátních právních předpisů, jejichž cílem je dosáhnout souladu s </w:t>
      </w:r>
      <w:proofErr w:type="spellStart"/>
      <w:r w:rsidRPr="00872627">
        <w:rPr>
          <w:i/>
          <w:iCs/>
          <w:szCs w:val="24"/>
        </w:rPr>
        <w:t>acquis</w:t>
      </w:r>
      <w:proofErr w:type="spellEnd"/>
      <w:r w:rsidRPr="00872627">
        <w:rPr>
          <w:szCs w:val="24"/>
        </w:rPr>
        <w:t xml:space="preserve"> EU v oblasti boje proti praní peněz; konstatuje, že je třeba zřídit úřad se silným mandátem pro vymáhání majetku z trestné činnosti a zvýšit účinnost prověřování a vyšetřování případů korupce vysokých úředníků a jejich stíhání a usvědčování, a to i prostřednictvím zabavení a konečné konfiskace majetku pocházejícího z trestné činnosti;</w:t>
      </w:r>
    </w:p>
    <w:p w14:paraId="5535D599" w14:textId="45B20E9F" w:rsidR="002604F8" w:rsidRPr="00872627" w:rsidRDefault="002604F8" w:rsidP="00872627">
      <w:pPr>
        <w:pStyle w:val="NormalHanging12a"/>
        <w:rPr>
          <w:bCs/>
          <w:iCs/>
          <w:szCs w:val="24"/>
        </w:rPr>
      </w:pPr>
      <w:r w:rsidRPr="00872627">
        <w:rPr>
          <w:szCs w:val="24"/>
        </w:rPr>
        <w:t>3</w:t>
      </w:r>
      <w:r w:rsidR="00F10EE5">
        <w:rPr>
          <w:szCs w:val="24"/>
        </w:rPr>
        <w:t>9</w:t>
      </w:r>
      <w:r w:rsidRPr="00872627">
        <w:rPr>
          <w:szCs w:val="24"/>
        </w:rPr>
        <w:t>.</w:t>
      </w:r>
      <w:r w:rsidRPr="00872627">
        <w:rPr>
          <w:szCs w:val="24"/>
        </w:rPr>
        <w:tab/>
        <w:t>vyzývá Albánii, aby pokračovala ve sbližování svého právního rámce, zejména svého trestního řádu, s </w:t>
      </w:r>
      <w:proofErr w:type="spellStart"/>
      <w:r w:rsidRPr="00872627">
        <w:rPr>
          <w:i/>
          <w:iCs/>
          <w:szCs w:val="24"/>
        </w:rPr>
        <w:t>acquis</w:t>
      </w:r>
      <w:proofErr w:type="spellEnd"/>
      <w:r w:rsidRPr="00872627">
        <w:rPr>
          <w:szCs w:val="24"/>
        </w:rPr>
        <w:t xml:space="preserve"> EU v oblasti boje proti organizované trestné činnosti, obchodování s lidmi a obchodu s drogami a střelnými zbraněmi, ale také v oblasti boje proti </w:t>
      </w:r>
      <w:proofErr w:type="spellStart"/>
      <w:r w:rsidRPr="00872627">
        <w:rPr>
          <w:szCs w:val="24"/>
        </w:rPr>
        <w:t>kyberkriminalitě</w:t>
      </w:r>
      <w:proofErr w:type="spellEnd"/>
      <w:r w:rsidRPr="00872627">
        <w:rPr>
          <w:szCs w:val="24"/>
        </w:rPr>
        <w:t xml:space="preserve">, extremismu a teroristickým hrozbám; </w:t>
      </w:r>
      <w:r w:rsidR="003720FC" w:rsidRPr="007F4566">
        <w:rPr>
          <w:bCs/>
          <w:iCs/>
        </w:rPr>
        <w:t xml:space="preserve">je i nadále znepokojen přetrvávající hrozbou, kterou v Evropě představují albánské mafiánské skupiny, a diverzifikací jejich činnosti; vyjadřuje politování nad tím, že navzdory úsilí o rozbití jejich sítí, a to i prostřednictvím využívání dat ze služby pro zasílání šifrovaných zpráv </w:t>
      </w:r>
      <w:proofErr w:type="spellStart"/>
      <w:r w:rsidR="003720FC" w:rsidRPr="007F4566">
        <w:rPr>
          <w:bCs/>
          <w:iCs/>
        </w:rPr>
        <w:t>Sky</w:t>
      </w:r>
      <w:proofErr w:type="spellEnd"/>
      <w:r w:rsidR="003720FC" w:rsidRPr="007F4566">
        <w:rPr>
          <w:bCs/>
          <w:iCs/>
        </w:rPr>
        <w:t xml:space="preserve">-ECC při vyšetřování, se tyto zločinecké skupiny stále výrazně podílejí na </w:t>
      </w:r>
      <w:r w:rsidR="003720FC" w:rsidRPr="007F4566">
        <w:rPr>
          <w:bCs/>
          <w:iCs/>
        </w:rPr>
        <w:lastRenderedPageBreak/>
        <w:t xml:space="preserve">nedovoleném obchodování s drogami a zbraněmi, převaděčství migrantů, obchodování s lidmi a praní peněz v několika členských státech, zejména v Nizozemsku, Belgii, Itálii a Francii; </w:t>
      </w:r>
      <w:r w:rsidRPr="00872627">
        <w:rPr>
          <w:szCs w:val="24"/>
        </w:rPr>
        <w:t>bere na vědomí jmenování dalších státních zástupců do zvláštního státního zastupitelství a zřízení odboru pro finanční vyšetřování; oceňuje účast Albánie na společných operacích a spolupráci v rámci evropské multidisciplinární platformy pro boj proti hrozbám vyplývajícím z trestné činnosti (EMPACT) v boji proti obchodu s omamnými látkami, praní peněz a kybernetické trestné činnosti; oceňuje dále intenzivnější spolupráci s agenturami EUROPOL, EUROJUST, FRONTEX</w:t>
      </w:r>
      <w:r w:rsidRPr="007F4566">
        <w:rPr>
          <w:bCs/>
          <w:iCs/>
          <w:szCs w:val="24"/>
        </w:rPr>
        <w:t xml:space="preserve"> a </w:t>
      </w:r>
      <w:r w:rsidRPr="00872627">
        <w:rPr>
          <w:szCs w:val="24"/>
        </w:rPr>
        <w:t>INTERPOL a se sítí CARIN v boji proti organizované trestné činnosti a rozbíjení nadnárodních zločineckých sítí; doporučuje Albánii, aby za účelem zvýšení regionální stability posílila svůj mechanismus výměny zpravodajských informací s agenturami EU; vyzývá k trvalému úsilí o harmonizaci bezpečnostní politiky Albánie se strategiemi EU a k podpoře integrovanějšího a odolnějšího regionálního bezpečnostního rámce; vyzývá Albánii, aby ve spolupráci s členskými státy a agenturami EU posílila boj proti obchodování s lidmi; zdůrazňuje, že je třeba bojovat proti nezákonnému obchodu s ručními palnými a lehkými zbraněmi, neboť Albánie je i nadále jejich cílovou i tranzitní zemí; vítá přijetí nové strategie na ochranu obětí trestných činů; zdůrazňuje, že je důležité, aby se pracovníkům odpovědným za řízení migrace dostalo průběžného proškolování, aby bylo možné zajistit účinné uplatňování právních předpisů EU a lépe bojovat proti sítím obchodníků s lidmi;</w:t>
      </w:r>
    </w:p>
    <w:p w14:paraId="0D5032FD" w14:textId="5AE7B331" w:rsidR="002604F8" w:rsidRPr="00872627" w:rsidRDefault="00F10EE5" w:rsidP="00872627">
      <w:pPr>
        <w:pStyle w:val="NormalHanging12a"/>
        <w:rPr>
          <w:bCs/>
          <w:iCs/>
          <w:szCs w:val="24"/>
        </w:rPr>
      </w:pPr>
      <w:r>
        <w:rPr>
          <w:szCs w:val="24"/>
        </w:rPr>
        <w:t>40</w:t>
      </w:r>
      <w:r w:rsidR="002604F8" w:rsidRPr="00872627">
        <w:rPr>
          <w:szCs w:val="24"/>
        </w:rPr>
        <w:t>.</w:t>
      </w:r>
      <w:r w:rsidR="002604F8" w:rsidRPr="00872627">
        <w:rPr>
          <w:szCs w:val="24"/>
        </w:rPr>
        <w:tab/>
        <w:t>vybízí Evropskou službu pro vnější činnost a Komisi, aby dále pomáhaly zvyšovat odolnost Albánie vůči hybridním hrozbám v oblasti kybernetické bezpečnosti, manipulace s informacemi a ochrany kritické infrastruktury; vyzývá Albánii, aby s cílem zabránit hospodářské závislosti a dluhové pasti a ochránit národní zájmy, zvýšit bezpečnost a zajistit soulad s normami EU vyhodnocovala rizika spojená s přímými zahraničními investicemi, zejména ve strategických odvětvích, jako je energetika, těžba a telekomunikace, a aby tyto investice prověřovala;</w:t>
      </w:r>
    </w:p>
    <w:p w14:paraId="58C0D6AC" w14:textId="05D238F2" w:rsidR="002604F8" w:rsidRPr="00872627" w:rsidRDefault="00F10EE5" w:rsidP="00872627">
      <w:pPr>
        <w:pStyle w:val="NormalHanging12a"/>
        <w:rPr>
          <w:bCs/>
          <w:iCs/>
          <w:szCs w:val="24"/>
        </w:rPr>
      </w:pPr>
      <w:r>
        <w:rPr>
          <w:szCs w:val="24"/>
        </w:rPr>
        <w:t>41</w:t>
      </w:r>
      <w:r w:rsidR="002604F8" w:rsidRPr="00872627">
        <w:rPr>
          <w:szCs w:val="24"/>
        </w:rPr>
        <w:t>.</w:t>
      </w:r>
      <w:r w:rsidR="002604F8" w:rsidRPr="00872627">
        <w:rPr>
          <w:szCs w:val="24"/>
        </w:rPr>
        <w:tab/>
        <w:t>vyzývá EU a země západního Balkánu, aby s cílem prohloubit spolupráci a usnadnit stíhání případů zneužívání finančních prostředků EU vytvořily rámec pro účinnou spolupráci mezi Úřadem evropského veřejného žalobce (EPPO) a přistupujícími zeměmi; oceňuje, že Albánie uzavřela s uvedeným úřadem dvoustranné pracovní ujednání;</w:t>
      </w:r>
    </w:p>
    <w:p w14:paraId="78F85840" w14:textId="77777777" w:rsidR="002604F8" w:rsidRPr="00872627" w:rsidRDefault="002604F8" w:rsidP="00872627">
      <w:pPr>
        <w:pStyle w:val="NormalHanging12a"/>
        <w:rPr>
          <w:b/>
          <w:i/>
          <w:szCs w:val="24"/>
        </w:rPr>
      </w:pPr>
      <w:r w:rsidRPr="00872627">
        <w:rPr>
          <w:b/>
          <w:i/>
          <w:szCs w:val="24"/>
        </w:rPr>
        <w:t>Sociálně-ekonomické reformy</w:t>
      </w:r>
    </w:p>
    <w:p w14:paraId="6A5E924C" w14:textId="6CDF3CBB" w:rsidR="002604F8" w:rsidRPr="00872627" w:rsidRDefault="00F10EE5" w:rsidP="00872627">
      <w:pPr>
        <w:pStyle w:val="NormalHanging12a"/>
        <w:rPr>
          <w:szCs w:val="24"/>
        </w:rPr>
      </w:pPr>
      <w:r>
        <w:rPr>
          <w:szCs w:val="24"/>
        </w:rPr>
        <w:t>42</w:t>
      </w:r>
      <w:r w:rsidR="002604F8" w:rsidRPr="00872627">
        <w:rPr>
          <w:szCs w:val="24"/>
        </w:rPr>
        <w:t>.</w:t>
      </w:r>
      <w:r w:rsidR="002604F8" w:rsidRPr="00872627">
        <w:rPr>
          <w:szCs w:val="24"/>
        </w:rPr>
        <w:tab/>
        <w:t>vítá, že se Albánie zapojila do realizace růstového plánu EU pro západní Balkán, který zahrnuje integraci do jednotného trhu EU, regionální hospodářskou integraci, základní reformy a zvýšenou finanční podporu;</w:t>
      </w:r>
    </w:p>
    <w:p w14:paraId="491F61F9" w14:textId="4B29C134" w:rsidR="002604F8" w:rsidRPr="00872627" w:rsidRDefault="00F10EE5" w:rsidP="00872627">
      <w:pPr>
        <w:pStyle w:val="NormalHanging12a"/>
        <w:rPr>
          <w:bCs/>
          <w:iCs/>
          <w:szCs w:val="24"/>
        </w:rPr>
      </w:pPr>
      <w:r>
        <w:rPr>
          <w:szCs w:val="24"/>
        </w:rPr>
        <w:t>4</w:t>
      </w:r>
      <w:r w:rsidR="002604F8" w:rsidRPr="00872627">
        <w:rPr>
          <w:szCs w:val="24"/>
        </w:rPr>
        <w:t>3.</w:t>
      </w:r>
      <w:r w:rsidR="002604F8" w:rsidRPr="00872627">
        <w:rPr>
          <w:szCs w:val="24"/>
        </w:rPr>
        <w:tab/>
        <w:t>znovu opakuje, jak důležité je zlepšit veřejnou infrastrukturu v zemích západního Balkánu a vybudovat propojení s členskými státy EU; připomíná potenciál hospodářského a investičního plánu pro západní Balkán, pokud jde o zajištění většího regionálního propojení prostřednictvím železniční a silniční infrastruktury; v této souvislosti naléhavě vyzývá orgány všech zemí, aby dokončily koridor VIII spojující Albánii, Severní Makedonii a Bulharsko; připomíná, že je důležité zlepšit letecké spojení mezi zeměmi západního Balkánu a mezi těmito zeměmi a členskými státy EU;</w:t>
      </w:r>
    </w:p>
    <w:p w14:paraId="53FE6AAB" w14:textId="1BE5B7B1" w:rsidR="002604F8" w:rsidRPr="00872627" w:rsidRDefault="002604F8" w:rsidP="00872627">
      <w:pPr>
        <w:pStyle w:val="NormalHanging12a"/>
        <w:rPr>
          <w:bCs/>
          <w:iCs/>
          <w:szCs w:val="24"/>
        </w:rPr>
      </w:pPr>
      <w:r w:rsidRPr="00872627">
        <w:rPr>
          <w:szCs w:val="24"/>
        </w:rPr>
        <w:t>4</w:t>
      </w:r>
      <w:r w:rsidR="00F10EE5">
        <w:rPr>
          <w:szCs w:val="24"/>
        </w:rPr>
        <w:t>4</w:t>
      </w:r>
      <w:r w:rsidRPr="00872627">
        <w:rPr>
          <w:szCs w:val="24"/>
        </w:rPr>
        <w:t>.</w:t>
      </w:r>
      <w:r w:rsidRPr="00872627">
        <w:rPr>
          <w:szCs w:val="24"/>
        </w:rPr>
        <w:tab/>
        <w:t xml:space="preserve">vítá reformní program Albánie zaměřený na podnikatelské prostředí, lidský kapitál, digitalizaci, energetickou a ekologickou transformaci, základní práva a právní stát; vítá </w:t>
      </w:r>
      <w:r w:rsidRPr="00872627">
        <w:rPr>
          <w:szCs w:val="24"/>
        </w:rPr>
        <w:lastRenderedPageBreak/>
        <w:t>dále účast Albánie v unijním programu Digitální Evropa; vítá skutečnost, že Albánie byla v rámci programu na podporu zlepšení správy a řízení veřejného sektoru, který se realizuje pod vedením EU a Organizace pro hospodářskou spolupráci a rozvoj, zařazena mezi regionální lídry v oblasti veřejné správy a digitálních veřejných zakázek;</w:t>
      </w:r>
    </w:p>
    <w:p w14:paraId="624EFA76" w14:textId="56C4C5EF" w:rsidR="002604F8" w:rsidRPr="00872627" w:rsidRDefault="002604F8" w:rsidP="00872627">
      <w:pPr>
        <w:pStyle w:val="NormalHanging12a"/>
        <w:rPr>
          <w:bCs/>
          <w:iCs/>
          <w:szCs w:val="24"/>
        </w:rPr>
      </w:pPr>
      <w:r w:rsidRPr="00872627">
        <w:rPr>
          <w:szCs w:val="24"/>
        </w:rPr>
        <w:t>4</w:t>
      </w:r>
      <w:r w:rsidR="00F10EE5">
        <w:rPr>
          <w:szCs w:val="24"/>
        </w:rPr>
        <w:t>5</w:t>
      </w:r>
      <w:r w:rsidRPr="00872627">
        <w:rPr>
          <w:szCs w:val="24"/>
        </w:rPr>
        <w:t>.</w:t>
      </w:r>
      <w:r w:rsidRPr="00872627">
        <w:rPr>
          <w:szCs w:val="24"/>
        </w:rPr>
        <w:tab/>
        <w:t>vybízí albánské orgány, aby snížily riziko chudoby a sociálního vyloučení tím, že dále zlepší přístup ke vzdělávání a bydlení a také k sociálním a zdravotním službám, zejména v případě znevýhodněných skupin obyvatel a menšin, včetně Romů a balkánských Egypťanů; vyzývá k realizaci albánské národní strategie sociální ochrany na období 2024–2030 a národní strategie pro zaměstnanost a dovednosti na období 2023–2030; vyzývá Albánii, aby přijala další opatření zaměřená na boj proti nezaměstnanosti mládeže, a albánské orgány, aby účinně prováděly národní agendu pro práva dítěte tím, že budou poskytovat pomoc dětem čelícím vyloučení a chudobě;</w:t>
      </w:r>
    </w:p>
    <w:p w14:paraId="0AEB60A1" w14:textId="55EA4A59" w:rsidR="002604F8" w:rsidRPr="00872627" w:rsidRDefault="002604F8" w:rsidP="00872627">
      <w:pPr>
        <w:pStyle w:val="NormalHanging12a"/>
        <w:rPr>
          <w:bCs/>
          <w:iCs/>
          <w:szCs w:val="24"/>
        </w:rPr>
      </w:pPr>
      <w:r w:rsidRPr="00872627">
        <w:rPr>
          <w:szCs w:val="24"/>
        </w:rPr>
        <w:t>4</w:t>
      </w:r>
      <w:r w:rsidR="00F10EE5">
        <w:rPr>
          <w:szCs w:val="24"/>
        </w:rPr>
        <w:t>6</w:t>
      </w:r>
      <w:r w:rsidRPr="00872627">
        <w:rPr>
          <w:szCs w:val="24"/>
        </w:rPr>
        <w:t>.</w:t>
      </w:r>
      <w:r w:rsidRPr="00872627">
        <w:rPr>
          <w:szCs w:val="24"/>
        </w:rPr>
        <w:tab/>
        <w:t>oceňuje albánské orgány za přijetí legislativních aktů zajišťujících reformu vysokoškolského vzdělávání a za provádění národní strategie vzdělávání na období 2021–2026; vyzývá Albánii, aby rozšířila mediální gramotnost jako jeden ze základních předmětů školních osnov a zároveň zajistila, aby se učitelům za účelem realizace kvalitních programů dostalo specializované odborné přípravy a moderních zdrojů; vybízí ke spolupráci v rámci vzdělávacích iniciativ EU a regionálních sítí, jako je Středisko pro sledování mediální gramotnosti na západním Balkáně, s cílem zavést osvědčené postupy v oblasti kritického myšlení a vzdělávání v oblasti digitální gramotnosti;</w:t>
      </w:r>
    </w:p>
    <w:p w14:paraId="02E6B937" w14:textId="18332116" w:rsidR="002604F8" w:rsidRPr="00872627" w:rsidRDefault="002604F8" w:rsidP="00872627">
      <w:pPr>
        <w:pStyle w:val="NormalHanging12a"/>
        <w:rPr>
          <w:bCs/>
          <w:iCs/>
          <w:szCs w:val="24"/>
        </w:rPr>
      </w:pPr>
      <w:r w:rsidRPr="00872627">
        <w:rPr>
          <w:szCs w:val="24"/>
        </w:rPr>
        <w:t>4</w:t>
      </w:r>
      <w:r w:rsidR="00F10EE5">
        <w:rPr>
          <w:szCs w:val="24"/>
        </w:rPr>
        <w:t>7</w:t>
      </w:r>
      <w:r w:rsidRPr="00872627">
        <w:rPr>
          <w:szCs w:val="24"/>
        </w:rPr>
        <w:t>.</w:t>
      </w:r>
      <w:r w:rsidRPr="00872627">
        <w:rPr>
          <w:szCs w:val="24"/>
        </w:rPr>
        <w:tab/>
        <w:t>vítá pokrok, kterého Albánie dosáhla při uzavírání dvoustranných dohod o sociálním zabezpečení s členskými státy EU a při přípravě svého systému služeb zaměstnanosti na propojení s evropskou sítí služeb v oblasti zaměstnanosti EURES;</w:t>
      </w:r>
    </w:p>
    <w:p w14:paraId="685C1359" w14:textId="7C88F9EB" w:rsidR="002604F8" w:rsidRPr="00872627" w:rsidRDefault="002604F8" w:rsidP="00872627">
      <w:pPr>
        <w:pStyle w:val="NormalHanging12a"/>
        <w:rPr>
          <w:bCs/>
          <w:iCs/>
          <w:szCs w:val="24"/>
        </w:rPr>
      </w:pPr>
      <w:r w:rsidRPr="00872627">
        <w:rPr>
          <w:szCs w:val="24"/>
        </w:rPr>
        <w:t>4</w:t>
      </w:r>
      <w:r w:rsidR="00F10EE5">
        <w:rPr>
          <w:szCs w:val="24"/>
        </w:rPr>
        <w:t>8</w:t>
      </w:r>
      <w:r w:rsidRPr="00872627">
        <w:rPr>
          <w:szCs w:val="24"/>
        </w:rPr>
        <w:t>.</w:t>
      </w:r>
      <w:r w:rsidRPr="00872627">
        <w:rPr>
          <w:szCs w:val="24"/>
        </w:rPr>
        <w:tab/>
        <w:t>oceňuje, že se Albánie v listopadu 2024 připojila k jednotné oblasti pro platby v eurech, což snižuje náklady pro občany a podniky a přispěje k další integraci Albánie v rámci jednotného trhu; oceňuje albánské orgány za dosažení souladu s </w:t>
      </w:r>
      <w:proofErr w:type="spellStart"/>
      <w:r w:rsidRPr="00872627">
        <w:rPr>
          <w:i/>
          <w:iCs/>
          <w:szCs w:val="24"/>
        </w:rPr>
        <w:t>acquis</w:t>
      </w:r>
      <w:proofErr w:type="spellEnd"/>
      <w:r w:rsidRPr="00872627">
        <w:rPr>
          <w:szCs w:val="24"/>
        </w:rPr>
        <w:t xml:space="preserve"> EU v oblasti plateb (směrnice o platebních účtech</w:t>
      </w:r>
      <w:r w:rsidRPr="00872627">
        <w:rPr>
          <w:rStyle w:val="FootnoteReference"/>
          <w:bCs/>
          <w:iCs/>
          <w:szCs w:val="24"/>
        </w:rPr>
        <w:footnoteReference w:id="6"/>
      </w:r>
      <w:r w:rsidRPr="00872627">
        <w:rPr>
          <w:szCs w:val="24"/>
        </w:rPr>
        <w:t>) a za přijetí opatření, která vedla k tomu, že tato země byla vyňata z šedého seznamu Finančního akčního výboru; uznává úsilí Albánie o zvýšení konkurenceschopnosti svého hospodářství a vyzývá albánskou vládu, aby pokračovala ve strukturálních reformách na podporu atraktivnějšího podnikatelského prostředí, které by bylo v souladu s normami EU; vyjadřuje politování nad tím, že neefektivnost veřejné správy, nadměrný regulační rámec, korupce a rozsáhlá neformální ekonomika podrývají podnikatelské prostředí a brání rozvoji hospodářské soutěže;</w:t>
      </w:r>
    </w:p>
    <w:p w14:paraId="2F5F2928" w14:textId="2DE89DAA" w:rsidR="002604F8" w:rsidRPr="00872627" w:rsidRDefault="002604F8" w:rsidP="00872627">
      <w:pPr>
        <w:pStyle w:val="NormalHanging12a"/>
        <w:rPr>
          <w:bCs/>
          <w:iCs/>
          <w:szCs w:val="24"/>
        </w:rPr>
      </w:pPr>
      <w:r w:rsidRPr="00872627">
        <w:rPr>
          <w:szCs w:val="24"/>
        </w:rPr>
        <w:t>4</w:t>
      </w:r>
      <w:r w:rsidR="00F10EE5">
        <w:rPr>
          <w:szCs w:val="24"/>
        </w:rPr>
        <w:t>9</w:t>
      </w:r>
      <w:r w:rsidRPr="00872627">
        <w:rPr>
          <w:szCs w:val="24"/>
        </w:rPr>
        <w:t>.</w:t>
      </w:r>
      <w:r w:rsidRPr="00872627">
        <w:rPr>
          <w:szCs w:val="24"/>
        </w:rPr>
        <w:tab/>
        <w:t>oceňuje zlepšení fiskální výkonnosti Albánie; vyzývá albánské orgány, aby dále zkvalitnily analýzu fiskálních rizik rozšířením příslušného oddělení ministerstva financí; vyzývá k zajištění větší transparentnosti a odpovědnosti státních podniků prostřednictvím výročních finančních zpráv; vyzývá Albánii, aby zpřísnila svou veřejnou interní finanční kontrolu a zajistila provádění doporučení nejvyššího kontrolního úřadu (ALSAI);</w:t>
      </w:r>
    </w:p>
    <w:p w14:paraId="70BABC9E" w14:textId="4FF54ECF" w:rsidR="002604F8" w:rsidRPr="00872627" w:rsidRDefault="00F10EE5" w:rsidP="00872627">
      <w:pPr>
        <w:pStyle w:val="NormalHanging12a"/>
        <w:rPr>
          <w:bCs/>
          <w:iCs/>
          <w:szCs w:val="24"/>
        </w:rPr>
      </w:pPr>
      <w:r>
        <w:rPr>
          <w:szCs w:val="24"/>
        </w:rPr>
        <w:lastRenderedPageBreak/>
        <w:t>50</w:t>
      </w:r>
      <w:r w:rsidR="002604F8" w:rsidRPr="00872627">
        <w:rPr>
          <w:szCs w:val="24"/>
        </w:rPr>
        <w:t>.</w:t>
      </w:r>
      <w:r w:rsidR="002604F8" w:rsidRPr="00872627">
        <w:rPr>
          <w:szCs w:val="24"/>
        </w:rPr>
        <w:tab/>
        <w:t>vítá další sbližování právních předpisů s </w:t>
      </w:r>
      <w:proofErr w:type="spellStart"/>
      <w:r w:rsidR="002604F8" w:rsidRPr="00872627">
        <w:rPr>
          <w:i/>
          <w:iCs/>
          <w:szCs w:val="24"/>
        </w:rPr>
        <w:t>acquis</w:t>
      </w:r>
      <w:proofErr w:type="spellEnd"/>
      <w:r w:rsidR="002604F8" w:rsidRPr="00872627">
        <w:rPr>
          <w:szCs w:val="24"/>
        </w:rPr>
        <w:t xml:space="preserve"> EU v oblasti soukromých penzijních fondů, ozdravných postupů u bank a rámce pro řešení krize bank; vyzývá Albánii, aby dokončila harmonizaci s </w:t>
      </w:r>
      <w:proofErr w:type="spellStart"/>
      <w:r w:rsidR="002604F8" w:rsidRPr="00872627">
        <w:rPr>
          <w:i/>
          <w:iCs/>
          <w:szCs w:val="24"/>
        </w:rPr>
        <w:t>acquis</w:t>
      </w:r>
      <w:proofErr w:type="spellEnd"/>
      <w:r w:rsidR="002604F8" w:rsidRPr="00872627">
        <w:rPr>
          <w:szCs w:val="24"/>
        </w:rPr>
        <w:t xml:space="preserve"> EU v oblasti pojišťovnictví, kapitálových trhů, trhů s cennými papíry, investičních fondů a infrastruktury finančních trhů;</w:t>
      </w:r>
    </w:p>
    <w:p w14:paraId="46E2F87A" w14:textId="10DD430E" w:rsidR="002604F8" w:rsidRPr="00872627" w:rsidRDefault="00F10EE5" w:rsidP="00872627">
      <w:pPr>
        <w:pStyle w:val="NormalHanging12a"/>
        <w:rPr>
          <w:bCs/>
          <w:iCs/>
          <w:szCs w:val="24"/>
        </w:rPr>
      </w:pPr>
      <w:r>
        <w:rPr>
          <w:szCs w:val="24"/>
        </w:rPr>
        <w:t>51</w:t>
      </w:r>
      <w:r w:rsidR="002604F8" w:rsidRPr="00872627">
        <w:rPr>
          <w:szCs w:val="24"/>
        </w:rPr>
        <w:t>.</w:t>
      </w:r>
      <w:r w:rsidR="002604F8" w:rsidRPr="00872627">
        <w:rPr>
          <w:szCs w:val="24"/>
        </w:rPr>
        <w:tab/>
        <w:t>vítá dohodu o snížení cen roamingu, které bylo dosaženo na summitu v Tiraně; vyzývá v této souvislosti příslušné orgány, soukromé subjekty a všechny zúčastněné strany, aby se snažily o dosažení dohodnutých cílů, jimiž je výrazné snížení roamingových poplatků za data a jejich další snížení, které by do roku 2027 vedlo k cenám roamingu mezi zeměmi západního Balkánu a EU blížícím se vnitrostátním cenám; vítá zahájení první fáze provádění plánu pro roaming mezi západním Balkánem a EU;</w:t>
      </w:r>
    </w:p>
    <w:p w14:paraId="0C633C8F" w14:textId="13621A20" w:rsidR="002604F8" w:rsidRPr="00872627" w:rsidRDefault="00F10EE5" w:rsidP="00872627">
      <w:pPr>
        <w:pStyle w:val="NormalHanging12a"/>
        <w:rPr>
          <w:bCs/>
          <w:iCs/>
          <w:szCs w:val="24"/>
        </w:rPr>
      </w:pPr>
      <w:r>
        <w:rPr>
          <w:szCs w:val="24"/>
        </w:rPr>
        <w:t>52</w:t>
      </w:r>
      <w:r w:rsidR="002604F8" w:rsidRPr="00872627">
        <w:rPr>
          <w:szCs w:val="24"/>
        </w:rPr>
        <w:t>.</w:t>
      </w:r>
      <w:r w:rsidR="002604F8" w:rsidRPr="00872627">
        <w:rPr>
          <w:szCs w:val="24"/>
        </w:rPr>
        <w:tab/>
        <w:t>je znepokojen nedostatečným pokrokem v oblasti práva obchodních společností v Albánii; vyzývá albánské orgány, aby dokončily sbližování právních předpisů v oblasti práva obchodních společností s </w:t>
      </w:r>
      <w:proofErr w:type="spellStart"/>
      <w:r w:rsidR="002604F8" w:rsidRPr="00872627">
        <w:rPr>
          <w:i/>
          <w:iCs/>
          <w:szCs w:val="24"/>
        </w:rPr>
        <w:t>acquis</w:t>
      </w:r>
      <w:proofErr w:type="spellEnd"/>
      <w:r w:rsidR="002604F8" w:rsidRPr="00872627">
        <w:rPr>
          <w:szCs w:val="24"/>
        </w:rPr>
        <w:t xml:space="preserve"> EU;</w:t>
      </w:r>
    </w:p>
    <w:p w14:paraId="5617046D" w14:textId="77777777" w:rsidR="002604F8" w:rsidRPr="00872627" w:rsidRDefault="002604F8" w:rsidP="00872627">
      <w:pPr>
        <w:pStyle w:val="NormalHanging12a"/>
        <w:rPr>
          <w:b/>
          <w:i/>
          <w:szCs w:val="24"/>
        </w:rPr>
      </w:pPr>
      <w:r w:rsidRPr="00872627">
        <w:rPr>
          <w:b/>
          <w:i/>
          <w:szCs w:val="24"/>
        </w:rPr>
        <w:t>Životní prostředí, biologická rozmanitost, energetika a doprava, udržitelný cestovní ruch</w:t>
      </w:r>
    </w:p>
    <w:p w14:paraId="4C11B891" w14:textId="3590ED48" w:rsidR="002604F8" w:rsidRPr="00872627" w:rsidRDefault="00F10EE5" w:rsidP="00872627">
      <w:pPr>
        <w:pStyle w:val="NormalHanging12a"/>
        <w:rPr>
          <w:bCs/>
          <w:iCs/>
          <w:szCs w:val="24"/>
        </w:rPr>
      </w:pPr>
      <w:r>
        <w:rPr>
          <w:szCs w:val="24"/>
        </w:rPr>
        <w:t>53</w:t>
      </w:r>
      <w:r w:rsidR="002604F8" w:rsidRPr="00872627">
        <w:rPr>
          <w:szCs w:val="24"/>
        </w:rPr>
        <w:t>.</w:t>
      </w:r>
      <w:r w:rsidR="002604F8" w:rsidRPr="00872627">
        <w:rPr>
          <w:szCs w:val="24"/>
        </w:rPr>
        <w:tab/>
        <w:t>zdůrazňuje, že je třeba, aby Albánie vynaložila větší úsilí o dosažení souladu s </w:t>
      </w:r>
      <w:proofErr w:type="spellStart"/>
      <w:r w:rsidR="002604F8" w:rsidRPr="00872627">
        <w:rPr>
          <w:i/>
          <w:szCs w:val="24"/>
        </w:rPr>
        <w:t>acquis</w:t>
      </w:r>
      <w:proofErr w:type="spellEnd"/>
      <w:r w:rsidR="002604F8" w:rsidRPr="00872627">
        <w:rPr>
          <w:szCs w:val="24"/>
        </w:rPr>
        <w:t xml:space="preserve"> EU v oblasti životního prostředí; vyzývá Albánii, aby uvedla své předpisy do souladu se směrnicí EU o posuzování vlivů na životní prostředí</w:t>
      </w:r>
      <w:r w:rsidR="002604F8" w:rsidRPr="00872627">
        <w:rPr>
          <w:rStyle w:val="FootnoteReference"/>
          <w:szCs w:val="24"/>
        </w:rPr>
        <w:footnoteReference w:id="7"/>
      </w:r>
      <w:r w:rsidR="002604F8" w:rsidRPr="00872627">
        <w:rPr>
          <w:szCs w:val="24"/>
        </w:rPr>
        <w:t xml:space="preserve"> a se směrnicí o strategickém posuzování vlivů na životní prostředí</w:t>
      </w:r>
      <w:r w:rsidR="002604F8" w:rsidRPr="00872627">
        <w:rPr>
          <w:rStyle w:val="FootnoteReference"/>
          <w:szCs w:val="24"/>
        </w:rPr>
        <w:footnoteReference w:id="8"/>
      </w:r>
      <w:r w:rsidR="002604F8" w:rsidRPr="00872627">
        <w:rPr>
          <w:szCs w:val="24"/>
        </w:rPr>
        <w:t>; zdůrazňuje, že je třeba posílit boj proti trestné činnosti proti životnímu prostředí;</w:t>
      </w:r>
    </w:p>
    <w:p w14:paraId="5EE26CE3" w14:textId="13EBAAB7" w:rsidR="002604F8" w:rsidRPr="00872627" w:rsidRDefault="002604F8" w:rsidP="00872627">
      <w:pPr>
        <w:pStyle w:val="NormalHanging12a"/>
        <w:rPr>
          <w:bCs/>
          <w:iCs/>
          <w:szCs w:val="24"/>
        </w:rPr>
      </w:pPr>
      <w:r w:rsidRPr="00872627">
        <w:rPr>
          <w:szCs w:val="24"/>
        </w:rPr>
        <w:t>5</w:t>
      </w:r>
      <w:r w:rsidR="00F10EE5">
        <w:rPr>
          <w:szCs w:val="24"/>
        </w:rPr>
        <w:t>4</w:t>
      </w:r>
      <w:r w:rsidRPr="00872627">
        <w:rPr>
          <w:szCs w:val="24"/>
        </w:rPr>
        <w:t>.</w:t>
      </w:r>
      <w:r w:rsidRPr="00872627">
        <w:rPr>
          <w:szCs w:val="24"/>
        </w:rPr>
        <w:tab/>
        <w:t>poukazuje na nutnost transparentních inkluzivních veřejných konzultací v souladu s </w:t>
      </w:r>
      <w:proofErr w:type="spellStart"/>
      <w:r w:rsidRPr="00872627">
        <w:rPr>
          <w:szCs w:val="24"/>
        </w:rPr>
        <w:t>Aarhuskou</w:t>
      </w:r>
      <w:proofErr w:type="spellEnd"/>
      <w:r w:rsidRPr="00872627">
        <w:rPr>
          <w:szCs w:val="24"/>
        </w:rPr>
        <w:t xml:space="preserve"> úmluvou, které by zajistily aktivní zapojení místních komunit, nevládních organizací a vědeckých ústavů do rozhodovacích procesů v oblasti životního prostředí, zejména pokud jde o projekty se značnými environmentálními a socioekonomickými dopady; varuje, že nedostatečné zapojení zainteresovaných stran podkopává standardy v oblasti veřejné správy a dodržování povinností vyplývajících z </w:t>
      </w:r>
      <w:proofErr w:type="spellStart"/>
      <w:r w:rsidRPr="00872627">
        <w:rPr>
          <w:i/>
          <w:iCs/>
          <w:szCs w:val="24"/>
        </w:rPr>
        <w:t>acquis</w:t>
      </w:r>
      <w:proofErr w:type="spellEnd"/>
      <w:r w:rsidRPr="00872627">
        <w:rPr>
          <w:szCs w:val="24"/>
        </w:rPr>
        <w:t xml:space="preserve"> EU ze strany Albánie; vyjadřuje znepokojení nad hospodářským a environmentálním dopadem nekonkurenceschopných projektů v oblasti rozvoje financovaných zahraničním kapitálem;</w:t>
      </w:r>
    </w:p>
    <w:p w14:paraId="2F7834FB" w14:textId="5300F3DD" w:rsidR="002604F8" w:rsidRPr="00872627" w:rsidRDefault="002604F8" w:rsidP="00872627">
      <w:pPr>
        <w:pStyle w:val="NormalHanging12a"/>
        <w:rPr>
          <w:bCs/>
          <w:iCs/>
          <w:szCs w:val="24"/>
        </w:rPr>
      </w:pPr>
      <w:r w:rsidRPr="00872627">
        <w:rPr>
          <w:szCs w:val="24"/>
        </w:rPr>
        <w:t>5</w:t>
      </w:r>
      <w:r w:rsidR="00F10EE5">
        <w:rPr>
          <w:szCs w:val="24"/>
        </w:rPr>
        <w:t>5</w:t>
      </w:r>
      <w:r w:rsidRPr="00872627">
        <w:rPr>
          <w:szCs w:val="24"/>
        </w:rPr>
        <w:t>.</w:t>
      </w:r>
      <w:r w:rsidRPr="00872627">
        <w:rPr>
          <w:szCs w:val="24"/>
        </w:rPr>
        <w:tab/>
        <w:t xml:space="preserve">připomíná, že Albánie musí vyvinout značné úsilí, aby dosáhla cílů týkajících se ochrany klimatu, energetické účinnosti, diverzifikace a ekologického zajišťování dodávek energie a dopravy; konstatuje, že problémy s kvalitou ovzduší a vody a s nakládáním s odpady jsou pro tuto zemi i nadále obzvláště náročné; naléhavě vyzývá ústřední vládu a místní orgány, aby zvýšily úsilí o zlepšení kvality ovzduší a snížení potenciálně smrtelného znečištění; naléhavě vyzývá albánskou vládu, aby upřednostnila uplatňování strategií zaměřených na přizpůsobení se změně klimatu, rozvoj obnovitelných zdrojů energie a modernizaci systému nakládání s odpady s cílem splnit normy EU a podpořit udržitelný hospodářský růst; vybízí albánské orgány, aby podpořily opatření a navýšily investice související s rozšířením systému veřejné </w:t>
      </w:r>
      <w:r w:rsidRPr="00872627">
        <w:rPr>
          <w:szCs w:val="24"/>
        </w:rPr>
        <w:lastRenderedPageBreak/>
        <w:t>dopravy a železnic;</w:t>
      </w:r>
    </w:p>
    <w:p w14:paraId="319545F8" w14:textId="669846C4" w:rsidR="002604F8" w:rsidRPr="00872627" w:rsidRDefault="002604F8" w:rsidP="00872627">
      <w:pPr>
        <w:pStyle w:val="NormalHanging12a"/>
        <w:rPr>
          <w:bCs/>
          <w:iCs/>
          <w:szCs w:val="24"/>
        </w:rPr>
      </w:pPr>
      <w:r w:rsidRPr="00872627">
        <w:rPr>
          <w:szCs w:val="24"/>
        </w:rPr>
        <w:t>5</w:t>
      </w:r>
      <w:r w:rsidR="00F10EE5">
        <w:rPr>
          <w:szCs w:val="24"/>
        </w:rPr>
        <w:t>6</w:t>
      </w:r>
      <w:r w:rsidRPr="00872627">
        <w:rPr>
          <w:szCs w:val="24"/>
        </w:rPr>
        <w:t>.</w:t>
      </w:r>
      <w:r w:rsidRPr="00872627">
        <w:rPr>
          <w:szCs w:val="24"/>
        </w:rPr>
        <w:tab/>
        <w:t xml:space="preserve">je pevně přesvědčen, že ochrana životního prostředí a udržitelný rozvoj cestovního ruchu musí jít ruku v ruce; oceňuje zřízení národního parku Divoká řeka </w:t>
      </w:r>
      <w:proofErr w:type="spellStart"/>
      <w:r w:rsidRPr="00872627">
        <w:rPr>
          <w:szCs w:val="24"/>
        </w:rPr>
        <w:t>Vjosa</w:t>
      </w:r>
      <w:proofErr w:type="spellEnd"/>
      <w:r w:rsidRPr="00872627">
        <w:rPr>
          <w:szCs w:val="24"/>
        </w:rPr>
        <w:t xml:space="preserve">, prvního svého druhu v Evropě, a vyzývá k přidělení dostatečných zdrojů na jeho ochranu; vyzývá orgány, aby plně respektovaly jeho ekologickou integritu a přehodnotily v souladu s mezinárodními normami na ochranu biologické rozmanitosti a osvědčenými postupy infrastrukturní projekty, zejména projekt zaměřený na odběr vody z řeky </w:t>
      </w:r>
      <w:proofErr w:type="spellStart"/>
      <w:r w:rsidRPr="00872627">
        <w:rPr>
          <w:szCs w:val="24"/>
        </w:rPr>
        <w:t>Shushicë</w:t>
      </w:r>
      <w:proofErr w:type="spellEnd"/>
      <w:r w:rsidRPr="00872627">
        <w:rPr>
          <w:szCs w:val="24"/>
        </w:rPr>
        <w:t xml:space="preserve"> s cílem zajistit, aby biologická rozmanitost, přírodní stanoviště a ekologické funkce parku zůstaly nedotčeny; opakuje, že je znepokojen výstavbou letiště </w:t>
      </w:r>
      <w:proofErr w:type="spellStart"/>
      <w:r w:rsidRPr="00872627">
        <w:rPr>
          <w:szCs w:val="24"/>
        </w:rPr>
        <w:t>Vlora</w:t>
      </w:r>
      <w:proofErr w:type="spellEnd"/>
      <w:r w:rsidRPr="00872627">
        <w:rPr>
          <w:szCs w:val="24"/>
        </w:rPr>
        <w:t xml:space="preserve"> v chráněné oblasti </w:t>
      </w:r>
      <w:proofErr w:type="spellStart"/>
      <w:r w:rsidRPr="00872627">
        <w:rPr>
          <w:szCs w:val="24"/>
        </w:rPr>
        <w:t>Vjosa-Narta</w:t>
      </w:r>
      <w:proofErr w:type="spellEnd"/>
      <w:r w:rsidRPr="00872627">
        <w:rPr>
          <w:szCs w:val="24"/>
        </w:rPr>
        <w:t>, což je v rozporu s vnitrostátními a mezinárodními normami na ochranu biologické rozmanitosti, a vyzývá Komisi, aby se této záležitosti věnovala v rámci 27. kapitoly přístupových jednání; vyzývá albánské orgány, aby přijaly prováděcí předpisy k zákonu o kulturním dědictví a muzeích;</w:t>
      </w:r>
    </w:p>
    <w:p w14:paraId="46AA0B31" w14:textId="7ADFB31A" w:rsidR="002604F8" w:rsidRPr="00872627" w:rsidRDefault="002604F8" w:rsidP="00872627">
      <w:pPr>
        <w:pStyle w:val="NormalHanging12a"/>
        <w:rPr>
          <w:bCs/>
          <w:iCs/>
          <w:szCs w:val="24"/>
        </w:rPr>
      </w:pPr>
      <w:r w:rsidRPr="00872627">
        <w:rPr>
          <w:szCs w:val="24"/>
        </w:rPr>
        <w:t>5</w:t>
      </w:r>
      <w:r w:rsidR="00F10EE5">
        <w:rPr>
          <w:szCs w:val="24"/>
        </w:rPr>
        <w:t>7</w:t>
      </w:r>
      <w:r w:rsidRPr="00872627">
        <w:rPr>
          <w:szCs w:val="24"/>
        </w:rPr>
        <w:t>.</w:t>
      </w:r>
      <w:r w:rsidRPr="00872627">
        <w:rPr>
          <w:szCs w:val="24"/>
        </w:rPr>
        <w:tab/>
        <w:t>vyjadřuje vážné znepokojení nad nedávnými změnami albánského zákona o chráněných oblastech, které umožňují realizovat rozsáhlé projekty v oblasti infrastruktury a cestovního ruchu v ekologicky citlivých oblastech; vyzývá ke zrušení těchto legislativních změn s cílem zajistit důsledné dodržování veškerých ustanovení vnitrostátních a mezinárodních právních rámců a norem ochrany a řešit problém znečištění moří odpadem, který dopadá na sousední země;</w:t>
      </w:r>
    </w:p>
    <w:p w14:paraId="047C3750" w14:textId="72E6EDD8" w:rsidR="002604F8" w:rsidRPr="00872627" w:rsidRDefault="002604F8" w:rsidP="00872627">
      <w:pPr>
        <w:pStyle w:val="NormalHanging12a"/>
        <w:rPr>
          <w:bCs/>
          <w:iCs/>
          <w:szCs w:val="24"/>
        </w:rPr>
      </w:pPr>
      <w:r w:rsidRPr="00872627">
        <w:rPr>
          <w:szCs w:val="24"/>
        </w:rPr>
        <w:t>5</w:t>
      </w:r>
      <w:r w:rsidR="00F10EE5">
        <w:rPr>
          <w:szCs w:val="24"/>
        </w:rPr>
        <w:t>8</w:t>
      </w:r>
      <w:r w:rsidRPr="00872627">
        <w:rPr>
          <w:szCs w:val="24"/>
        </w:rPr>
        <w:t>.</w:t>
      </w:r>
      <w:r w:rsidRPr="00872627">
        <w:rPr>
          <w:szCs w:val="24"/>
        </w:rPr>
        <w:tab/>
        <w:t xml:space="preserve">vyzývá albánské orgány, aby určily a účinně spravovaly chráněné oblasti, které jsou klíčové pro přežití kriticky ohrožených druhů, zejména balkánského rysa, mj. na základě komplexních programů monitorování biologické rozmanitosti, a aby uplatňovaly a důsledně vymáhaly právní předpisy proti pytláctví; naléhavě vyzývá Albánii, aby upustila od plánů na výstavbu vodní elektrárny </w:t>
      </w:r>
      <w:proofErr w:type="spellStart"/>
      <w:r w:rsidRPr="00872627">
        <w:rPr>
          <w:szCs w:val="24"/>
        </w:rPr>
        <w:t>Skavica</w:t>
      </w:r>
      <w:proofErr w:type="spellEnd"/>
      <w:r w:rsidRPr="00872627">
        <w:rPr>
          <w:szCs w:val="24"/>
        </w:rPr>
        <w:t xml:space="preserve"> na řece Černý Drin, a to vzhledem k jejím závažným ekologickým, sociálním a kulturním dopadům, včetně vysídlování místních komunit;</w:t>
      </w:r>
    </w:p>
    <w:p w14:paraId="2C62A9BE" w14:textId="77777777" w:rsidR="002604F8" w:rsidRPr="00872627" w:rsidRDefault="002604F8" w:rsidP="00872627">
      <w:pPr>
        <w:pStyle w:val="NormalHanging12a"/>
        <w:rPr>
          <w:b/>
          <w:i/>
          <w:szCs w:val="24"/>
        </w:rPr>
      </w:pPr>
      <w:r w:rsidRPr="00872627">
        <w:rPr>
          <w:b/>
          <w:i/>
          <w:szCs w:val="24"/>
        </w:rPr>
        <w:t>Regionální spolupráce a zahraniční politika</w:t>
      </w:r>
    </w:p>
    <w:p w14:paraId="6016A1E8" w14:textId="203F6BFC" w:rsidR="002604F8" w:rsidRPr="00872627" w:rsidRDefault="002604F8" w:rsidP="00872627">
      <w:pPr>
        <w:pStyle w:val="NormalHanging12a"/>
        <w:rPr>
          <w:bCs/>
          <w:iCs/>
          <w:szCs w:val="24"/>
        </w:rPr>
      </w:pPr>
      <w:r w:rsidRPr="00872627">
        <w:rPr>
          <w:szCs w:val="24"/>
        </w:rPr>
        <w:t>5</w:t>
      </w:r>
      <w:r w:rsidR="00F10EE5">
        <w:rPr>
          <w:szCs w:val="24"/>
        </w:rPr>
        <w:t>9</w:t>
      </w:r>
      <w:r w:rsidRPr="00872627">
        <w:rPr>
          <w:szCs w:val="24"/>
        </w:rPr>
        <w:t>.</w:t>
      </w:r>
      <w:r w:rsidRPr="00872627">
        <w:rPr>
          <w:szCs w:val="24"/>
        </w:rPr>
        <w:tab/>
        <w:t>oceňuje, že dne 19. listopadu 2024 bylo mezi EU a Albánií uzavřeno partnerství v oblasti bezpečnosti a obrany, které vytváří platformu pro intenzivnější dialog a hlubší spolupráci v otázkách bezpečnosti a obrany a představuje významný krok vpřed; zdůrazňuje, že je důležité zajistit, aby se toto partnerství promítlo do konkrétních opatření, včetně společných iniciativ v oblasti odborné přípravy, sdílených zpravodajských kapacit a zpřísnění opatření v oblasti bezpečnosti hranic, s cílem řešit regionální a globální bezpečnostní výzvy; poukazuje na potřebu hlubší bezpečnostní spolupráce v rámci západního Balkánu, která by podpořila užší koordinaci činnosti mezi regionálními partnery v boji proti organizované trestné činnosti, kybernetickým hrozbám a hybridním výzvám; vyzývá EU k větší podpoře regionálních bezpečnostních iniciativ, které posilují stabilitu a odolnost na celém západním Balkáně; zdůrazňuje, že toto partnerství představuje významný krok vpřed při posilování úlohy Albánie jako spolehlivého bezpečnostního partnera EU; zdůrazňuje dále, že toto partnerství usnadní mimo jiné realizaci společných iniciativ a úsilí o budování kapacit, čímž přispěje k odolnější a integrovanější bezpečnostní struktuře na západním Balkáně;</w:t>
      </w:r>
    </w:p>
    <w:p w14:paraId="5F4E30D9" w14:textId="3C1E6768" w:rsidR="002604F8" w:rsidRPr="00872627" w:rsidRDefault="002604F8" w:rsidP="00872627">
      <w:pPr>
        <w:pStyle w:val="NormalHanging12a"/>
        <w:rPr>
          <w:szCs w:val="24"/>
        </w:rPr>
      </w:pPr>
      <w:r w:rsidRPr="00872627">
        <w:rPr>
          <w:szCs w:val="24"/>
        </w:rPr>
        <w:t>6</w:t>
      </w:r>
      <w:r w:rsidR="00F10EE5">
        <w:rPr>
          <w:szCs w:val="24"/>
        </w:rPr>
        <w:t>0</w:t>
      </w:r>
      <w:r w:rsidRPr="00872627">
        <w:rPr>
          <w:szCs w:val="24"/>
        </w:rPr>
        <w:t>.</w:t>
      </w:r>
      <w:r w:rsidRPr="00872627">
        <w:rPr>
          <w:szCs w:val="24"/>
        </w:rPr>
        <w:tab/>
        <w:t xml:space="preserve">vítá skutečnost, že Albánie v roce 2024 přijala novou národní bezpečnostní strategii pro další boj proti hybridním hrozbám a nový zákon o kybernetické bezpečnosti; vítá společné prohlášení, které podepsala Albánie, Kosovo a Chorvatsko a jehož cílem je </w:t>
      </w:r>
      <w:r w:rsidRPr="00872627">
        <w:rPr>
          <w:szCs w:val="24"/>
        </w:rPr>
        <w:lastRenderedPageBreak/>
        <w:t>zlepšit spolupráci a posílit obranný potenciál a zároveň poskytnout plnou podporu euroatlantické a regionální obranné integraci;</w:t>
      </w:r>
    </w:p>
    <w:p w14:paraId="4EEB0ACF" w14:textId="62579839" w:rsidR="00584B64" w:rsidRPr="00584B64" w:rsidRDefault="00F10EE5" w:rsidP="00872627">
      <w:pPr>
        <w:pStyle w:val="NormalHanging12a"/>
        <w:rPr>
          <w:bCs/>
          <w:iCs/>
          <w:szCs w:val="24"/>
        </w:rPr>
      </w:pPr>
      <w:r>
        <w:rPr>
          <w:bCs/>
          <w:iCs/>
        </w:rPr>
        <w:t>61</w:t>
      </w:r>
      <w:r w:rsidR="00584B64" w:rsidRPr="007F4566">
        <w:rPr>
          <w:bCs/>
          <w:iCs/>
        </w:rPr>
        <w:t>.</w:t>
      </w:r>
      <w:r w:rsidR="00584B64" w:rsidRPr="00584B64">
        <w:rPr>
          <w:bCs/>
          <w:iCs/>
        </w:rPr>
        <w:tab/>
      </w:r>
      <w:r w:rsidR="00584B64" w:rsidRPr="007F4566">
        <w:rPr>
          <w:bCs/>
          <w:iCs/>
        </w:rPr>
        <w:t>vyjadřuje znepokojení nad rostoucím vlivem Ruska v sousedství EU; oceňuje opatření, která v říjnu 2024 přijal albánský Úřad pro elektronické a poštovní komunikace (AKEP), když uzavřel 155 on-line účtů, které byly spravovány z Ruska a byly zapojeny do šíření dezinformací, a také osm účtů napojených na skupiny provádějící kybernetickou špionáž</w:t>
      </w:r>
      <w:r w:rsidR="00584B64" w:rsidRPr="007F4566">
        <w:rPr>
          <w:rStyle w:val="FootnoteReference"/>
          <w:bCs/>
          <w:iCs/>
        </w:rPr>
        <w:footnoteReference w:id="9"/>
      </w:r>
      <w:r w:rsidR="00584B64" w:rsidRPr="007F4566">
        <w:rPr>
          <w:bCs/>
          <w:iCs/>
        </w:rPr>
        <w:t>; zdůrazňuje, že tato opatření odrážejí pokračující úsilí Albánie o zmírnění kybernetických hrozeb; vyzývá EU, aby zvýšila svou podporu Albánii v boji proti zlovolnému vlivu Ruska a při zajišťování regionální stability;</w:t>
      </w:r>
    </w:p>
    <w:p w14:paraId="55B4E06E" w14:textId="7571D7D8" w:rsidR="002604F8" w:rsidRPr="00872627" w:rsidRDefault="00F10EE5" w:rsidP="00872627">
      <w:pPr>
        <w:pStyle w:val="NormalHanging12a"/>
        <w:rPr>
          <w:szCs w:val="24"/>
        </w:rPr>
      </w:pPr>
      <w:r>
        <w:rPr>
          <w:szCs w:val="24"/>
        </w:rPr>
        <w:t>62</w:t>
      </w:r>
      <w:r w:rsidR="002604F8" w:rsidRPr="00872627">
        <w:rPr>
          <w:szCs w:val="24"/>
        </w:rPr>
        <w:t>.</w:t>
      </w:r>
      <w:r w:rsidR="002604F8" w:rsidRPr="00872627">
        <w:rPr>
          <w:szCs w:val="24"/>
        </w:rPr>
        <w:tab/>
        <w:t xml:space="preserve">oceňuje, že Albánie zajistila úplný soulad se společnou zahraniční a obrannou politiku EU, mj. že podpořila sankce EU proti třetím zemím, a také její pozitivní příspěvek ke společným bezpečnostním a obranným misím, zejména misi EUFOR </w:t>
      </w:r>
      <w:proofErr w:type="spellStart"/>
      <w:r w:rsidR="002604F8" w:rsidRPr="00872627">
        <w:rPr>
          <w:szCs w:val="24"/>
        </w:rPr>
        <w:t>Althea</w:t>
      </w:r>
      <w:proofErr w:type="spellEnd"/>
      <w:r w:rsidR="002604F8" w:rsidRPr="00872627">
        <w:rPr>
          <w:szCs w:val="24"/>
        </w:rPr>
        <w:t xml:space="preserve">, což poukazuje na to, že je tato země odhodlána přispívat k regionální a mezinárodní bezpečnosti a stabilitě, a vítá účast Albánie v operacích pod vedením EU a NATO a její spolupráci s Europolem a Interpolem; vyzývá k její další účasti na operacích pod vedením EU, které se zaměřují na krizové řízení, a na misích v rámci společné bezpečnostní a obranné politiky, jako je operace zajišťující námořní bezpečnost EUNAVFOR </w:t>
      </w:r>
      <w:proofErr w:type="spellStart"/>
      <w:r w:rsidR="002604F8" w:rsidRPr="00872627">
        <w:rPr>
          <w:szCs w:val="24"/>
        </w:rPr>
        <w:t>Aspides</w:t>
      </w:r>
      <w:proofErr w:type="spellEnd"/>
      <w:r w:rsidR="002604F8" w:rsidRPr="00872627">
        <w:rPr>
          <w:szCs w:val="24"/>
        </w:rPr>
        <w:t>; uznává strategický význam jadransko-jónského regionu pro evropskou bezpečnost a hospodářskou stabilitu; vyzývá Albánii, aby v koordinaci s EU a NATO rozšířila své kapacity v oblasti námořní bezpečnosti;</w:t>
      </w:r>
    </w:p>
    <w:p w14:paraId="1712AF82" w14:textId="2B727C38" w:rsidR="002604F8" w:rsidRPr="00872627" w:rsidRDefault="00F10EE5" w:rsidP="00872627">
      <w:pPr>
        <w:pStyle w:val="NormalHanging12a"/>
        <w:rPr>
          <w:szCs w:val="24"/>
        </w:rPr>
      </w:pPr>
      <w:r>
        <w:rPr>
          <w:szCs w:val="24"/>
        </w:rPr>
        <w:t>63</w:t>
      </w:r>
      <w:r w:rsidR="002604F8" w:rsidRPr="00872627">
        <w:rPr>
          <w:szCs w:val="24"/>
        </w:rPr>
        <w:t>.</w:t>
      </w:r>
      <w:r w:rsidR="002604F8" w:rsidRPr="00872627">
        <w:rPr>
          <w:szCs w:val="24"/>
        </w:rPr>
        <w:tab/>
        <w:t>oceňuje soustavné úsilí albánské vlády o podporu dobrých sousedských vztahů; v této souvislosti připomíná, že je důležité, aby se Albánie zasazovala o řešení veškerých sporů týkajících se hranic v souladu se zásadou mírového urovnávání sporů a s Chartou OSN a Úmluvou OSN o mořském právu, mj. tím, že se bude v případě nutnosti řídit rozhodnutími Mezinárodního soudního dvora; vítá aktivní příspěvek Albánie k berlínskému procesu; vybízí dále k trvalému konstruktivnímu zapojení Albánie do iniciativ v rámci regionální spolupráce v souladu s hodnotami EU a cíli rozšíření, což přispívá k míru, bezpečnosti a stabilitě na západním Balkáně; varuje před jakýmikoli kroky, jako je iniciativa „Otevřený Balkán“, které by mohly ohrozit společný regionální trh nebo se odchýlit od berlínského procesu, jelikož takové kroky vytvářejí překážky bránící integraci a zajištění soudržnosti v EU, což by mohlo ohrozit pokrok Albánie na cestě k hlubší regionální a evropské integraci;</w:t>
      </w:r>
    </w:p>
    <w:p w14:paraId="42E3D602" w14:textId="621448D5" w:rsidR="002604F8" w:rsidRPr="00872627" w:rsidRDefault="00F10EE5" w:rsidP="00872627">
      <w:pPr>
        <w:pStyle w:val="NormalHanging12a"/>
        <w:rPr>
          <w:bCs/>
          <w:iCs/>
          <w:szCs w:val="24"/>
        </w:rPr>
      </w:pPr>
      <w:r>
        <w:rPr>
          <w:szCs w:val="24"/>
        </w:rPr>
        <w:t>64</w:t>
      </w:r>
      <w:r w:rsidR="002604F8" w:rsidRPr="00872627">
        <w:rPr>
          <w:szCs w:val="24"/>
        </w:rPr>
        <w:t>.</w:t>
      </w:r>
      <w:r w:rsidR="002604F8" w:rsidRPr="00872627">
        <w:rPr>
          <w:szCs w:val="24"/>
        </w:rPr>
        <w:tab/>
        <w:t>vítá skutečnost, že Albánie ratifikovala dvoustranné dohody o koordinaci systémů sociálního zabezpečení s Chorvatskem, Černou Horou a Bulharskem;</w:t>
      </w:r>
    </w:p>
    <w:p w14:paraId="3995E504" w14:textId="3F3B0113" w:rsidR="002604F8" w:rsidRPr="00872627" w:rsidRDefault="002604F8" w:rsidP="00872627">
      <w:pPr>
        <w:pStyle w:val="NormalHanging12a"/>
        <w:rPr>
          <w:bCs/>
          <w:iCs/>
          <w:szCs w:val="24"/>
        </w:rPr>
      </w:pPr>
      <w:r w:rsidRPr="00872627">
        <w:rPr>
          <w:szCs w:val="24"/>
        </w:rPr>
        <w:t>6</w:t>
      </w:r>
      <w:r w:rsidR="00F10EE5">
        <w:rPr>
          <w:szCs w:val="24"/>
        </w:rPr>
        <w:t>5</w:t>
      </w:r>
      <w:r w:rsidRPr="00872627">
        <w:rPr>
          <w:szCs w:val="24"/>
        </w:rPr>
        <w:t>.</w:t>
      </w:r>
      <w:r w:rsidRPr="00872627">
        <w:rPr>
          <w:szCs w:val="24"/>
        </w:rPr>
        <w:tab/>
        <w:t>poukazuje na konstruktivní úlohu Albánie při prosazování stability a spolupráce na západním Balkáně, zejména prostřednictvím dvoustranného dialogu se sousedními zeměmi a zapojení do regionálních organizací;</w:t>
      </w:r>
    </w:p>
    <w:p w14:paraId="1FF4CB9D" w14:textId="77777777" w:rsidR="00872627" w:rsidRDefault="00872627" w:rsidP="00872627">
      <w:pPr>
        <w:pStyle w:val="NormalHanging12a"/>
        <w:widowControl/>
        <w:ind w:left="0" w:firstLine="0"/>
        <w:jc w:val="center"/>
        <w:rPr>
          <w:szCs w:val="24"/>
        </w:rPr>
      </w:pPr>
      <w:r>
        <w:rPr>
          <w:szCs w:val="24"/>
        </w:rPr>
        <w:t>°</w:t>
      </w:r>
    </w:p>
    <w:p w14:paraId="29198B11" w14:textId="3FAEEDE4" w:rsidR="002604F8" w:rsidRPr="00872627" w:rsidRDefault="00872627" w:rsidP="00872627">
      <w:pPr>
        <w:pStyle w:val="NormalHanging12a"/>
        <w:widowControl/>
        <w:ind w:left="0" w:firstLine="0"/>
        <w:jc w:val="center"/>
        <w:rPr>
          <w:szCs w:val="24"/>
        </w:rPr>
      </w:pPr>
      <w:r>
        <w:rPr>
          <w:szCs w:val="24"/>
        </w:rPr>
        <w:t>°     °</w:t>
      </w:r>
    </w:p>
    <w:p w14:paraId="05E91EB4" w14:textId="55A50CBE" w:rsidR="00E365E1" w:rsidRPr="00872627" w:rsidRDefault="002604F8" w:rsidP="00872627">
      <w:pPr>
        <w:pStyle w:val="NormalHanging12a"/>
        <w:rPr>
          <w:szCs w:val="24"/>
        </w:rPr>
      </w:pPr>
      <w:r w:rsidRPr="00872627">
        <w:rPr>
          <w:szCs w:val="24"/>
        </w:rPr>
        <w:t>6</w:t>
      </w:r>
      <w:r w:rsidR="00F10EE5">
        <w:rPr>
          <w:szCs w:val="24"/>
        </w:rPr>
        <w:t>6</w:t>
      </w:r>
      <w:r w:rsidRPr="00872627">
        <w:rPr>
          <w:szCs w:val="24"/>
        </w:rPr>
        <w:t>.</w:t>
      </w:r>
      <w:r w:rsidRPr="00872627">
        <w:rPr>
          <w:szCs w:val="24"/>
        </w:rPr>
        <w:tab/>
        <w:t xml:space="preserve">pověřuje svou předsedkyni, aby předala toto usnesení předsedovi Evropské rady, Radě, </w:t>
      </w:r>
      <w:r w:rsidRPr="00872627">
        <w:rPr>
          <w:szCs w:val="24"/>
        </w:rPr>
        <w:lastRenderedPageBreak/>
        <w:t>Komisi, místopředsedkyni Komise, vysoké představitelce Unie pro zahraniční věci a bezpečnostní politiku, vládám a parlamentům členských států a prezidentovi, vládě a parlamentu Albánské republiky</w:t>
      </w:r>
      <w:r w:rsidR="00872627">
        <w:rPr>
          <w:szCs w:val="24"/>
        </w:rPr>
        <w:t>.</w:t>
      </w:r>
    </w:p>
    <w:sectPr w:rsidR="00E365E1" w:rsidRPr="00872627" w:rsidSect="00D2285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127F7" w14:textId="77777777" w:rsidR="00244F86" w:rsidRPr="00D22852" w:rsidRDefault="00244F86">
      <w:r w:rsidRPr="00D22852">
        <w:separator/>
      </w:r>
    </w:p>
  </w:endnote>
  <w:endnote w:type="continuationSeparator" w:id="0">
    <w:p w14:paraId="5D09572D" w14:textId="77777777" w:rsidR="00244F86" w:rsidRPr="00D22852" w:rsidRDefault="00244F86">
      <w:r w:rsidRPr="00D2285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0F75C" w14:textId="77777777" w:rsidR="00064002" w:rsidRPr="00D2285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61C0B" w14:textId="77777777" w:rsidR="00064002" w:rsidRPr="00D2285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7D16B" w14:textId="77777777" w:rsidR="00064002" w:rsidRPr="00D2285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FC919" w14:textId="77777777" w:rsidR="00244F86" w:rsidRPr="00D22852" w:rsidRDefault="00244F86">
      <w:r w:rsidRPr="00D22852">
        <w:separator/>
      </w:r>
    </w:p>
  </w:footnote>
  <w:footnote w:type="continuationSeparator" w:id="0">
    <w:p w14:paraId="62EF0F3A" w14:textId="77777777" w:rsidR="00244F86" w:rsidRPr="00D22852" w:rsidRDefault="00244F86">
      <w:r w:rsidRPr="00D22852">
        <w:continuationSeparator/>
      </w:r>
    </w:p>
  </w:footnote>
  <w:footnote w:id="1">
    <w:p w14:paraId="1EEE9CAF" w14:textId="6AF285F2" w:rsidR="002604F8" w:rsidRPr="00D22852" w:rsidRDefault="002604F8" w:rsidP="00D22852">
      <w:pPr>
        <w:pStyle w:val="FootnoteText"/>
        <w:ind w:left="567" w:hanging="567"/>
        <w:rPr>
          <w:sz w:val="24"/>
          <w:lang w:val="cs-CZ"/>
        </w:rPr>
      </w:pPr>
      <w:r w:rsidRPr="00D22852">
        <w:rPr>
          <w:rStyle w:val="FootnoteReference"/>
          <w:sz w:val="24"/>
          <w:lang w:val="cs-CZ"/>
        </w:rPr>
        <w:footnoteRef/>
      </w:r>
      <w:r w:rsidR="00D22852" w:rsidRPr="00D22852">
        <w:rPr>
          <w:sz w:val="24"/>
          <w:lang w:val="cs-CZ"/>
        </w:rPr>
        <w:t xml:space="preserve"> </w:t>
      </w:r>
      <w:r w:rsidR="00D22852" w:rsidRPr="00D22852">
        <w:rPr>
          <w:sz w:val="24"/>
          <w:lang w:val="cs-CZ"/>
        </w:rPr>
        <w:tab/>
      </w:r>
      <w:proofErr w:type="spellStart"/>
      <w:r w:rsidRPr="00D22852">
        <w:rPr>
          <w:sz w:val="24"/>
          <w:lang w:val="cs-CZ"/>
        </w:rPr>
        <w:t>Úř</w:t>
      </w:r>
      <w:proofErr w:type="spellEnd"/>
      <w:r w:rsidRPr="00D22852">
        <w:rPr>
          <w:sz w:val="24"/>
          <w:lang w:val="cs-CZ"/>
        </w:rPr>
        <w:t xml:space="preserve">. </w:t>
      </w:r>
      <w:proofErr w:type="spellStart"/>
      <w:r w:rsidRPr="00D22852">
        <w:rPr>
          <w:sz w:val="24"/>
          <w:lang w:val="cs-CZ"/>
        </w:rPr>
        <w:t>věst</w:t>
      </w:r>
      <w:proofErr w:type="spellEnd"/>
      <w:r w:rsidRPr="00D22852">
        <w:rPr>
          <w:sz w:val="24"/>
          <w:lang w:val="cs-CZ"/>
        </w:rPr>
        <w:t xml:space="preserve">. L 107, 28.4.2009, s. 166, ELI: </w:t>
      </w:r>
      <w:r w:rsidR="00173182">
        <w:fldChar w:fldCharType="begin"/>
      </w:r>
      <w:r w:rsidR="00173182" w:rsidRPr="003902A0">
        <w:rPr>
          <w:lang w:val="fi-FI"/>
        </w:rPr>
        <w:instrText>HYPERLINK "http://data.europa.eu/eli/agree_internation/2009/332/oj" \o "Umožňuje přístup k tomuto dokumentu prostřednictvím jeho identifikátoru URI v ELI."</w:instrText>
      </w:r>
      <w:r w:rsidR="00173182">
        <w:fldChar w:fldCharType="separate"/>
      </w:r>
      <w:r w:rsidRPr="00D22852">
        <w:rPr>
          <w:rStyle w:val="Hyperlink"/>
          <w:sz w:val="24"/>
          <w:lang w:val="cs-CZ"/>
        </w:rPr>
        <w:t>http://data.europa.eu/eli/agree_internation/2009/332/oj</w:t>
      </w:r>
      <w:r w:rsidR="00173182">
        <w:rPr>
          <w:rStyle w:val="Hyperlink"/>
          <w:sz w:val="24"/>
          <w:lang w:val="cs-CZ"/>
        </w:rPr>
        <w:fldChar w:fldCharType="end"/>
      </w:r>
      <w:r w:rsidRPr="00D22852">
        <w:rPr>
          <w:sz w:val="24"/>
          <w:lang w:val="cs-CZ"/>
        </w:rPr>
        <w:t>.</w:t>
      </w:r>
    </w:p>
  </w:footnote>
  <w:footnote w:id="2">
    <w:p w14:paraId="42FDAB55" w14:textId="0AF279ED" w:rsidR="002604F8" w:rsidRPr="00D22852" w:rsidRDefault="002604F8" w:rsidP="00D22852">
      <w:pPr>
        <w:pStyle w:val="FootnoteText"/>
        <w:ind w:left="567" w:hanging="567"/>
        <w:rPr>
          <w:sz w:val="24"/>
          <w:lang w:val="cs-CZ"/>
        </w:rPr>
      </w:pPr>
      <w:r w:rsidRPr="00D22852">
        <w:rPr>
          <w:rStyle w:val="FootnoteReference"/>
          <w:sz w:val="24"/>
          <w:lang w:val="cs-CZ"/>
        </w:rPr>
        <w:footnoteRef/>
      </w:r>
      <w:r w:rsidR="00D22852" w:rsidRPr="00D22852">
        <w:rPr>
          <w:sz w:val="24"/>
          <w:lang w:val="cs-CZ"/>
        </w:rPr>
        <w:t xml:space="preserve"> </w:t>
      </w:r>
      <w:r w:rsidR="00D22852" w:rsidRPr="00D22852">
        <w:rPr>
          <w:sz w:val="24"/>
          <w:lang w:val="cs-CZ"/>
        </w:rPr>
        <w:tab/>
      </w:r>
      <w:proofErr w:type="spellStart"/>
      <w:r w:rsidRPr="00D22852">
        <w:rPr>
          <w:sz w:val="24"/>
          <w:lang w:val="cs-CZ"/>
        </w:rPr>
        <w:t>Úř</w:t>
      </w:r>
      <w:proofErr w:type="spellEnd"/>
      <w:r w:rsidRPr="00D22852">
        <w:rPr>
          <w:sz w:val="24"/>
          <w:lang w:val="cs-CZ"/>
        </w:rPr>
        <w:t xml:space="preserve">. </w:t>
      </w:r>
      <w:proofErr w:type="spellStart"/>
      <w:r w:rsidRPr="00D22852">
        <w:rPr>
          <w:sz w:val="24"/>
          <w:lang w:val="cs-CZ"/>
        </w:rPr>
        <w:t>věst</w:t>
      </w:r>
      <w:proofErr w:type="spellEnd"/>
      <w:r w:rsidRPr="00D22852">
        <w:rPr>
          <w:sz w:val="24"/>
          <w:lang w:val="cs-CZ"/>
        </w:rPr>
        <w:t xml:space="preserve">. L 330, 20.9.2021, s. 1, ELI: </w:t>
      </w:r>
      <w:r w:rsidR="00173182">
        <w:fldChar w:fldCharType="begin"/>
      </w:r>
      <w:r w:rsidR="00173182" w:rsidRPr="003902A0">
        <w:rPr>
          <w:lang w:val="fi-FI"/>
        </w:rPr>
        <w:instrText>HYPERLINK "http://data.europa.eu/eli/reg/2021/1529/oj" \o "Umožňuje přístup k tomuto dokumentu prostřednictvím jeho identifikátoru URI v ELI."</w:instrText>
      </w:r>
      <w:r w:rsidR="00173182">
        <w:fldChar w:fldCharType="separate"/>
      </w:r>
      <w:r w:rsidRPr="00D22852">
        <w:rPr>
          <w:rStyle w:val="Hyperlink"/>
          <w:sz w:val="24"/>
          <w:lang w:val="cs-CZ"/>
        </w:rPr>
        <w:t>http://data.europa.eu/eli/reg/2021/1529/oj</w:t>
      </w:r>
      <w:r w:rsidR="00173182">
        <w:rPr>
          <w:rStyle w:val="Hyperlink"/>
          <w:sz w:val="24"/>
          <w:lang w:val="cs-CZ"/>
        </w:rPr>
        <w:fldChar w:fldCharType="end"/>
      </w:r>
      <w:r w:rsidRPr="00D22852">
        <w:rPr>
          <w:sz w:val="24"/>
          <w:lang w:val="cs-CZ"/>
        </w:rPr>
        <w:t>.</w:t>
      </w:r>
    </w:p>
  </w:footnote>
  <w:footnote w:id="3">
    <w:p w14:paraId="18A2B9D7" w14:textId="06CBD1F9" w:rsidR="002604F8" w:rsidRPr="00D22852" w:rsidRDefault="002604F8" w:rsidP="00D22852">
      <w:pPr>
        <w:pStyle w:val="FootnoteText"/>
        <w:ind w:left="567" w:hanging="567"/>
        <w:rPr>
          <w:sz w:val="24"/>
          <w:lang w:val="cs-CZ"/>
        </w:rPr>
      </w:pPr>
      <w:r w:rsidRPr="00D22852">
        <w:rPr>
          <w:rStyle w:val="FootnoteReference"/>
          <w:sz w:val="24"/>
          <w:lang w:val="cs-CZ"/>
        </w:rPr>
        <w:footnoteRef/>
      </w:r>
      <w:r w:rsidR="00D22852" w:rsidRPr="00D22852">
        <w:rPr>
          <w:sz w:val="24"/>
          <w:lang w:val="cs-CZ"/>
        </w:rPr>
        <w:t xml:space="preserve"> </w:t>
      </w:r>
      <w:r w:rsidR="00D22852" w:rsidRPr="00D22852">
        <w:rPr>
          <w:sz w:val="24"/>
          <w:lang w:val="cs-CZ"/>
        </w:rPr>
        <w:tab/>
      </w:r>
      <w:proofErr w:type="spellStart"/>
      <w:r w:rsidRPr="00D22852">
        <w:rPr>
          <w:sz w:val="24"/>
          <w:lang w:val="cs-CZ"/>
        </w:rPr>
        <w:t>Úř</w:t>
      </w:r>
      <w:proofErr w:type="spellEnd"/>
      <w:r w:rsidRPr="00D22852">
        <w:rPr>
          <w:sz w:val="24"/>
          <w:lang w:val="cs-CZ"/>
        </w:rPr>
        <w:t xml:space="preserve">. </w:t>
      </w:r>
      <w:proofErr w:type="spellStart"/>
      <w:r w:rsidRPr="00D22852">
        <w:rPr>
          <w:sz w:val="24"/>
          <w:lang w:val="cs-CZ"/>
        </w:rPr>
        <w:t>věst</w:t>
      </w:r>
      <w:proofErr w:type="spellEnd"/>
      <w:r w:rsidRPr="00D22852">
        <w:rPr>
          <w:sz w:val="24"/>
          <w:lang w:val="cs-CZ"/>
        </w:rPr>
        <w:t xml:space="preserve">. L, 2024/1449, 24.5.2024, ELI: </w:t>
      </w:r>
      <w:r w:rsidR="00173182">
        <w:fldChar w:fldCharType="begin"/>
      </w:r>
      <w:r w:rsidR="00173182" w:rsidRPr="003902A0">
        <w:rPr>
          <w:lang w:val="fi-FI"/>
        </w:rPr>
        <w:instrText>HYPERLINK "http://data.europa.eu/eli/reg/2024/1449/oj" \t "_blank" \o "Umožňuje přístup k tomuto dokumentu prostřednictvím jeho identifikátoru URI v ELI."</w:instrText>
      </w:r>
      <w:r w:rsidR="00173182">
        <w:fldChar w:fldCharType="separate"/>
      </w:r>
      <w:r w:rsidRPr="00D22852">
        <w:rPr>
          <w:rStyle w:val="Hyperlink"/>
          <w:sz w:val="24"/>
          <w:lang w:val="cs-CZ"/>
        </w:rPr>
        <w:t>http://data.europa.eu/eli/reg/2024/1449/oj</w:t>
      </w:r>
      <w:r w:rsidR="00173182">
        <w:rPr>
          <w:rStyle w:val="Hyperlink"/>
          <w:sz w:val="24"/>
          <w:lang w:val="cs-CZ"/>
        </w:rPr>
        <w:fldChar w:fldCharType="end"/>
      </w:r>
      <w:r w:rsidRPr="00D22852">
        <w:rPr>
          <w:sz w:val="24"/>
          <w:lang w:val="cs-CZ"/>
        </w:rPr>
        <w:t>.</w:t>
      </w:r>
    </w:p>
  </w:footnote>
  <w:footnote w:id="4">
    <w:p w14:paraId="35C03E67" w14:textId="297D7757" w:rsidR="002604F8" w:rsidRPr="00D22852" w:rsidRDefault="002604F8" w:rsidP="00D22852">
      <w:pPr>
        <w:pStyle w:val="FootnoteText"/>
        <w:ind w:left="567" w:hanging="567"/>
        <w:rPr>
          <w:sz w:val="24"/>
          <w:lang w:val="cs-CZ"/>
        </w:rPr>
      </w:pPr>
      <w:r w:rsidRPr="00D22852">
        <w:rPr>
          <w:rStyle w:val="FootnoteReference"/>
          <w:sz w:val="24"/>
          <w:lang w:val="cs-CZ"/>
        </w:rPr>
        <w:footnoteRef/>
      </w:r>
      <w:r w:rsidR="00D22852" w:rsidRPr="00D22852">
        <w:rPr>
          <w:sz w:val="24"/>
          <w:lang w:val="cs-CZ"/>
        </w:rPr>
        <w:t xml:space="preserve"> </w:t>
      </w:r>
      <w:r w:rsidR="00D22852" w:rsidRPr="00D22852">
        <w:rPr>
          <w:sz w:val="24"/>
          <w:lang w:val="cs-CZ"/>
        </w:rPr>
        <w:tab/>
      </w:r>
      <w:r w:rsidRPr="00D22852">
        <w:rPr>
          <w:sz w:val="24"/>
          <w:lang w:val="cs-CZ"/>
        </w:rPr>
        <w:t>Nařízení Evropského parlamentu a Rady (EU) 2024/1083 ze dne 11. dubna 2024, kterým se stanoví společný rámec pro mediální služby na vnitřním trhu a mění směrnice 2010/13/EU (Evropský akt o svobodě médií) (</w:t>
      </w:r>
      <w:proofErr w:type="spellStart"/>
      <w:r w:rsidRPr="00D22852">
        <w:rPr>
          <w:sz w:val="24"/>
          <w:lang w:val="cs-CZ"/>
        </w:rPr>
        <w:t>Úř</w:t>
      </w:r>
      <w:proofErr w:type="spellEnd"/>
      <w:r w:rsidRPr="00D22852">
        <w:rPr>
          <w:sz w:val="24"/>
          <w:lang w:val="cs-CZ"/>
        </w:rPr>
        <w:t xml:space="preserve">. </w:t>
      </w:r>
      <w:proofErr w:type="spellStart"/>
      <w:r w:rsidRPr="00D22852">
        <w:rPr>
          <w:sz w:val="24"/>
          <w:lang w:val="cs-CZ"/>
        </w:rPr>
        <w:t>věst</w:t>
      </w:r>
      <w:proofErr w:type="spellEnd"/>
      <w:r w:rsidRPr="00D22852">
        <w:rPr>
          <w:sz w:val="24"/>
          <w:lang w:val="cs-CZ"/>
        </w:rPr>
        <w:t xml:space="preserve">. L, 2024/1083, 17.4.2024, ELI: </w:t>
      </w:r>
      <w:r w:rsidR="00173182">
        <w:fldChar w:fldCharType="begin"/>
      </w:r>
      <w:r w:rsidR="00173182" w:rsidRPr="003902A0">
        <w:rPr>
          <w:lang w:val="fi-FI"/>
        </w:rPr>
        <w:instrText>HYPERLINK "http://data.europa.eu/eli/reg/2024/1083/oj"</w:instrText>
      </w:r>
      <w:r w:rsidR="00173182">
        <w:fldChar w:fldCharType="separate"/>
      </w:r>
      <w:r w:rsidRPr="00D22852">
        <w:rPr>
          <w:rStyle w:val="Hyperlink"/>
          <w:sz w:val="24"/>
          <w:lang w:val="cs-CZ"/>
        </w:rPr>
        <w:t>http://data.europa.eu/eli/reg/2024/1083/oj</w:t>
      </w:r>
      <w:r w:rsidR="00173182">
        <w:rPr>
          <w:rStyle w:val="Hyperlink"/>
          <w:sz w:val="24"/>
          <w:lang w:val="cs-CZ"/>
        </w:rPr>
        <w:fldChar w:fldCharType="end"/>
      </w:r>
      <w:r w:rsidRPr="00D22852">
        <w:rPr>
          <w:sz w:val="24"/>
          <w:lang w:val="cs-CZ"/>
        </w:rPr>
        <w:t>).</w:t>
      </w:r>
    </w:p>
  </w:footnote>
  <w:footnote w:id="5">
    <w:p w14:paraId="22365165" w14:textId="42ED082F" w:rsidR="0085248C" w:rsidRPr="007F4566" w:rsidRDefault="0085248C" w:rsidP="007F4566">
      <w:pPr>
        <w:pStyle w:val="FootnoteText"/>
        <w:ind w:left="567" w:hanging="567"/>
        <w:rPr>
          <w:sz w:val="24"/>
          <w:szCs w:val="24"/>
          <w:lang w:val="cs-CZ"/>
        </w:rPr>
      </w:pPr>
      <w:r w:rsidRPr="007F4566">
        <w:rPr>
          <w:rStyle w:val="FootnoteReference"/>
          <w:sz w:val="24"/>
          <w:szCs w:val="24"/>
        </w:rPr>
        <w:footnoteRef/>
      </w:r>
      <w:r w:rsidRPr="007F4566">
        <w:rPr>
          <w:sz w:val="24"/>
          <w:szCs w:val="24"/>
          <w:lang w:val="cs-CZ"/>
        </w:rPr>
        <w:t xml:space="preserve"> </w:t>
      </w:r>
      <w:r w:rsidRPr="007F4566">
        <w:rPr>
          <w:sz w:val="24"/>
          <w:szCs w:val="24"/>
          <w:lang w:val="cs-CZ"/>
        </w:rPr>
        <w:tab/>
      </w:r>
      <w:r w:rsidR="00173182">
        <w:fldChar w:fldCharType="begin"/>
      </w:r>
      <w:r w:rsidR="00173182" w:rsidRPr="003902A0">
        <w:rPr>
          <w:lang w:val="fi-FI"/>
        </w:rPr>
        <w:instrText>HYPERLINK "https://www.state.gov/reports/2023-report-on-international-religious-freedom/albania/"</w:instrText>
      </w:r>
      <w:r w:rsidR="00173182">
        <w:fldChar w:fldCharType="separate"/>
      </w:r>
      <w:r w:rsidRPr="007F4566">
        <w:rPr>
          <w:rStyle w:val="Hyperlink"/>
          <w:sz w:val="24"/>
          <w:szCs w:val="24"/>
          <w:lang w:val="cs-CZ"/>
        </w:rPr>
        <w:t>https://www.state.gov/reports/2023-report-on-international-religious-freedom/albania/</w:t>
      </w:r>
      <w:r w:rsidR="00173182">
        <w:rPr>
          <w:rStyle w:val="Hyperlink"/>
          <w:sz w:val="24"/>
          <w:szCs w:val="24"/>
          <w:lang w:val="cs-CZ"/>
        </w:rPr>
        <w:fldChar w:fldCharType="end"/>
      </w:r>
    </w:p>
  </w:footnote>
  <w:footnote w:id="6">
    <w:p w14:paraId="2B26D255" w14:textId="5A038A1C" w:rsidR="002604F8" w:rsidRPr="00D22852" w:rsidRDefault="002604F8" w:rsidP="00D22852">
      <w:pPr>
        <w:pStyle w:val="FootnoteText"/>
        <w:ind w:left="567" w:hanging="567"/>
        <w:rPr>
          <w:sz w:val="24"/>
          <w:lang w:val="cs-CZ"/>
        </w:rPr>
      </w:pPr>
      <w:r w:rsidRPr="00D22852">
        <w:rPr>
          <w:rStyle w:val="FootnoteReference"/>
          <w:sz w:val="24"/>
          <w:lang w:val="cs-CZ"/>
        </w:rPr>
        <w:footnoteRef/>
      </w:r>
      <w:r w:rsidR="00D22852" w:rsidRPr="00D22852">
        <w:rPr>
          <w:sz w:val="24"/>
          <w:lang w:val="cs-CZ"/>
        </w:rPr>
        <w:t xml:space="preserve"> </w:t>
      </w:r>
      <w:r w:rsidR="00D22852" w:rsidRPr="00D22852">
        <w:rPr>
          <w:sz w:val="24"/>
          <w:lang w:val="cs-CZ"/>
        </w:rPr>
        <w:tab/>
      </w:r>
      <w:r w:rsidRPr="00D22852">
        <w:rPr>
          <w:sz w:val="24"/>
          <w:lang w:val="cs-CZ"/>
        </w:rPr>
        <w:t>Směrnice Evropského parlamentu a Rady 2014/92/EU ze dne 23. července 2014 o porovnatelnosti poplatků souvisejících s platebními účty, změně platebního účtu a přístupu k platebním účtům se základními prvky (</w:t>
      </w:r>
      <w:proofErr w:type="spellStart"/>
      <w:r w:rsidRPr="00D22852">
        <w:rPr>
          <w:sz w:val="24"/>
          <w:lang w:val="cs-CZ"/>
        </w:rPr>
        <w:t>Úř</w:t>
      </w:r>
      <w:proofErr w:type="spellEnd"/>
      <w:r w:rsidRPr="00D22852">
        <w:rPr>
          <w:sz w:val="24"/>
          <w:lang w:val="cs-CZ"/>
        </w:rPr>
        <w:t>. </w:t>
      </w:r>
      <w:proofErr w:type="spellStart"/>
      <w:r w:rsidRPr="00D22852">
        <w:rPr>
          <w:sz w:val="24"/>
          <w:lang w:val="cs-CZ"/>
        </w:rPr>
        <w:t>věst</w:t>
      </w:r>
      <w:proofErr w:type="spellEnd"/>
      <w:r w:rsidRPr="00D22852">
        <w:rPr>
          <w:sz w:val="24"/>
          <w:lang w:val="cs-CZ"/>
        </w:rPr>
        <w:t>. L 257, 28.8.2014, s. 214</w:t>
      </w:r>
      <w:r w:rsidR="00872627">
        <w:rPr>
          <w:sz w:val="24"/>
          <w:lang w:val="cs-CZ"/>
        </w:rPr>
        <w:t xml:space="preserve">, ELI: </w:t>
      </w:r>
      <w:r w:rsidR="00173182">
        <w:fldChar w:fldCharType="begin"/>
      </w:r>
      <w:r w:rsidR="00173182" w:rsidRPr="003902A0">
        <w:rPr>
          <w:lang w:val="fi-FI"/>
        </w:rPr>
        <w:instrText>HYPERLINK "http://data.europa.eu/eli/dir/2014/92/oj" \o "Umožňuje přístup k tomuto dokumentu prostřednictvím URI podle specifikací ELI."</w:instrText>
      </w:r>
      <w:r w:rsidR="00173182">
        <w:fldChar w:fldCharType="separate"/>
      </w:r>
      <w:r w:rsidR="00872627" w:rsidRPr="00872627">
        <w:rPr>
          <w:rStyle w:val="Hyperlink"/>
          <w:sz w:val="24"/>
          <w:lang w:val="cs-CZ"/>
        </w:rPr>
        <w:t>http://data.europa.eu/eli/dir/2014/92/oj</w:t>
      </w:r>
      <w:r w:rsidR="00173182">
        <w:rPr>
          <w:rStyle w:val="Hyperlink"/>
          <w:sz w:val="24"/>
          <w:lang w:val="cs-CZ"/>
        </w:rPr>
        <w:fldChar w:fldCharType="end"/>
      </w:r>
      <w:r w:rsidRPr="00D22852">
        <w:rPr>
          <w:sz w:val="24"/>
          <w:lang w:val="cs-CZ"/>
        </w:rPr>
        <w:t xml:space="preserve">). </w:t>
      </w:r>
    </w:p>
  </w:footnote>
  <w:footnote w:id="7">
    <w:p w14:paraId="0B5FC359" w14:textId="6013F850" w:rsidR="002604F8" w:rsidRPr="00D22852" w:rsidRDefault="002604F8" w:rsidP="00D22852">
      <w:pPr>
        <w:pStyle w:val="FootnoteText"/>
        <w:ind w:left="567" w:hanging="567"/>
        <w:rPr>
          <w:sz w:val="24"/>
          <w:lang w:val="cs-CZ"/>
        </w:rPr>
      </w:pPr>
      <w:r w:rsidRPr="00D22852">
        <w:rPr>
          <w:rStyle w:val="FootnoteReference"/>
          <w:sz w:val="24"/>
          <w:lang w:val="cs-CZ"/>
        </w:rPr>
        <w:footnoteRef/>
      </w:r>
      <w:r w:rsidR="00D22852" w:rsidRPr="00D22852">
        <w:rPr>
          <w:sz w:val="24"/>
          <w:lang w:val="cs-CZ"/>
        </w:rPr>
        <w:t xml:space="preserve"> </w:t>
      </w:r>
      <w:r w:rsidR="00D22852" w:rsidRPr="00D22852">
        <w:rPr>
          <w:sz w:val="24"/>
          <w:lang w:val="cs-CZ"/>
        </w:rPr>
        <w:tab/>
      </w:r>
      <w:r w:rsidRPr="00D22852">
        <w:rPr>
          <w:sz w:val="24"/>
          <w:lang w:val="cs-CZ"/>
        </w:rPr>
        <w:t>Směrnice Evropského parlamentu a Rady 2011/92/EU ze dne 13. prosince 2011 o posuzování vlivů některých veřejných a soukromých záměrů na životní prostředí (</w:t>
      </w:r>
      <w:proofErr w:type="spellStart"/>
      <w:r w:rsidRPr="00D22852">
        <w:rPr>
          <w:sz w:val="24"/>
          <w:lang w:val="cs-CZ"/>
        </w:rPr>
        <w:t>Úř</w:t>
      </w:r>
      <w:proofErr w:type="spellEnd"/>
      <w:r w:rsidRPr="00D22852">
        <w:rPr>
          <w:sz w:val="24"/>
          <w:lang w:val="cs-CZ"/>
        </w:rPr>
        <w:t>. </w:t>
      </w:r>
      <w:proofErr w:type="spellStart"/>
      <w:r w:rsidRPr="00D22852">
        <w:rPr>
          <w:sz w:val="24"/>
          <w:lang w:val="cs-CZ"/>
        </w:rPr>
        <w:t>věst</w:t>
      </w:r>
      <w:proofErr w:type="spellEnd"/>
      <w:r w:rsidRPr="00D22852">
        <w:rPr>
          <w:sz w:val="24"/>
          <w:lang w:val="cs-CZ"/>
        </w:rPr>
        <w:t xml:space="preserve">. L 26, 28.1.2012, s. 1., ELI: </w:t>
      </w:r>
      <w:r w:rsidR="00173182">
        <w:fldChar w:fldCharType="begin"/>
      </w:r>
      <w:r w:rsidR="00173182" w:rsidRPr="003902A0">
        <w:rPr>
          <w:lang w:val="fi-FI"/>
        </w:rPr>
        <w:instrText>HYPERLINK "http://data.europa.eu/eli/dir/2011/92/oj"</w:instrText>
      </w:r>
      <w:r w:rsidR="00173182">
        <w:fldChar w:fldCharType="separate"/>
      </w:r>
      <w:r w:rsidRPr="00872627">
        <w:rPr>
          <w:rStyle w:val="Hyperlink"/>
          <w:sz w:val="24"/>
          <w:lang w:val="cs-CZ"/>
        </w:rPr>
        <w:t>http://data.europa.eu/eli/dir/2011/92/oj</w:t>
      </w:r>
      <w:r w:rsidR="00173182">
        <w:rPr>
          <w:rStyle w:val="Hyperlink"/>
          <w:sz w:val="24"/>
          <w:lang w:val="cs-CZ"/>
        </w:rPr>
        <w:fldChar w:fldCharType="end"/>
      </w:r>
      <w:r w:rsidRPr="00D22852">
        <w:rPr>
          <w:sz w:val="24"/>
          <w:lang w:val="cs-CZ"/>
        </w:rPr>
        <w:t xml:space="preserve">). </w:t>
      </w:r>
    </w:p>
  </w:footnote>
  <w:footnote w:id="8">
    <w:p w14:paraId="73D5F735" w14:textId="14892119" w:rsidR="002604F8" w:rsidRPr="00D22852" w:rsidRDefault="002604F8" w:rsidP="00D22852">
      <w:pPr>
        <w:pStyle w:val="FootnoteText"/>
        <w:ind w:left="567" w:hanging="567"/>
        <w:rPr>
          <w:sz w:val="24"/>
          <w:lang w:val="cs-CZ"/>
        </w:rPr>
      </w:pPr>
      <w:r w:rsidRPr="00D22852">
        <w:rPr>
          <w:rStyle w:val="FootnoteReference"/>
          <w:sz w:val="24"/>
          <w:lang w:val="cs-CZ"/>
        </w:rPr>
        <w:footnoteRef/>
      </w:r>
      <w:r w:rsidR="00D22852" w:rsidRPr="00D22852">
        <w:rPr>
          <w:sz w:val="24"/>
          <w:lang w:val="cs-CZ"/>
        </w:rPr>
        <w:t xml:space="preserve"> </w:t>
      </w:r>
      <w:r w:rsidR="00D22852" w:rsidRPr="00D22852">
        <w:rPr>
          <w:sz w:val="24"/>
          <w:lang w:val="cs-CZ"/>
        </w:rPr>
        <w:tab/>
      </w:r>
      <w:r w:rsidRPr="00D22852">
        <w:rPr>
          <w:sz w:val="24"/>
          <w:lang w:val="cs-CZ"/>
        </w:rPr>
        <w:t>Směrnice Evropského parlamentu a Rady 2001/42/ES ze dne 27. června 2001 o posuzování vlivů některých plánů a programů na životní prostředí (</w:t>
      </w:r>
      <w:proofErr w:type="spellStart"/>
      <w:r w:rsidRPr="00D22852">
        <w:rPr>
          <w:sz w:val="24"/>
          <w:lang w:val="cs-CZ"/>
        </w:rPr>
        <w:t>Úř</w:t>
      </w:r>
      <w:proofErr w:type="spellEnd"/>
      <w:r w:rsidRPr="00D22852">
        <w:rPr>
          <w:sz w:val="24"/>
          <w:lang w:val="cs-CZ"/>
        </w:rPr>
        <w:t>. </w:t>
      </w:r>
      <w:proofErr w:type="spellStart"/>
      <w:r w:rsidRPr="00D22852">
        <w:rPr>
          <w:sz w:val="24"/>
          <w:lang w:val="cs-CZ"/>
        </w:rPr>
        <w:t>věst</w:t>
      </w:r>
      <w:proofErr w:type="spellEnd"/>
      <w:r w:rsidRPr="00D22852">
        <w:rPr>
          <w:sz w:val="24"/>
          <w:lang w:val="cs-CZ"/>
        </w:rPr>
        <w:t xml:space="preserve">. L 197, 21.7.2001, s. 30, ELI: </w:t>
      </w:r>
      <w:r w:rsidR="00173182">
        <w:fldChar w:fldCharType="begin"/>
      </w:r>
      <w:r w:rsidR="00173182" w:rsidRPr="003902A0">
        <w:rPr>
          <w:lang w:val="fi-FI"/>
        </w:rPr>
        <w:instrText>HYPERLINK "http://data.europa.eu/eli/dir/2001/42/oj" \o "Umožňuje přístup k tomuto dokumentu prostřednictvím URI podle specifikací ELI."</w:instrText>
      </w:r>
      <w:r w:rsidR="00173182">
        <w:fldChar w:fldCharType="separate"/>
      </w:r>
      <w:r w:rsidR="00872627" w:rsidRPr="00872627">
        <w:rPr>
          <w:rStyle w:val="Hyperlink"/>
          <w:sz w:val="24"/>
          <w:lang w:val="cs-CZ"/>
        </w:rPr>
        <w:t>http://data.europa.eu/eli/dir/2001/42/oj</w:t>
      </w:r>
      <w:r w:rsidR="00173182">
        <w:rPr>
          <w:rStyle w:val="Hyperlink"/>
          <w:sz w:val="24"/>
          <w:lang w:val="cs-CZ"/>
        </w:rPr>
        <w:fldChar w:fldCharType="end"/>
      </w:r>
      <w:r w:rsidR="00872627">
        <w:rPr>
          <w:sz w:val="24"/>
          <w:lang w:val="cs-CZ"/>
        </w:rPr>
        <w:t>).</w:t>
      </w:r>
    </w:p>
  </w:footnote>
  <w:footnote w:id="9">
    <w:p w14:paraId="5FBD9721" w14:textId="12392D24" w:rsidR="00584B64" w:rsidRPr="007F4566" w:rsidRDefault="00584B64" w:rsidP="007F4566">
      <w:pPr>
        <w:pStyle w:val="FootnoteText"/>
        <w:ind w:left="567" w:hanging="567"/>
        <w:rPr>
          <w:sz w:val="24"/>
          <w:szCs w:val="24"/>
          <w:lang w:val="cs-CZ"/>
        </w:rPr>
      </w:pPr>
      <w:r w:rsidRPr="007F4566">
        <w:rPr>
          <w:rStyle w:val="FootnoteReference"/>
          <w:sz w:val="24"/>
          <w:szCs w:val="24"/>
        </w:rPr>
        <w:footnoteRef/>
      </w:r>
      <w:r w:rsidRPr="007F4566">
        <w:rPr>
          <w:sz w:val="24"/>
          <w:szCs w:val="24"/>
          <w:lang w:val="cs-CZ"/>
        </w:rPr>
        <w:t xml:space="preserve"> </w:t>
      </w:r>
      <w:r w:rsidRPr="007F4566">
        <w:rPr>
          <w:sz w:val="24"/>
          <w:szCs w:val="24"/>
          <w:lang w:val="cs-CZ"/>
        </w:rPr>
        <w:tab/>
      </w:r>
      <w:r w:rsidR="00173182">
        <w:fldChar w:fldCharType="begin"/>
      </w:r>
      <w:r w:rsidR="00173182" w:rsidRPr="003902A0">
        <w:rPr>
          <w:lang w:val="cs-CZ"/>
        </w:rPr>
        <w:instrText>HYPERLINK "https://politiko.al/english/e-tjera/-mbyll-155-llogari-ruse-ne-internet-per-dezinformimin-ne-tirane-i517028?"</w:instrText>
      </w:r>
      <w:r w:rsidR="00173182">
        <w:fldChar w:fldCharType="separate"/>
      </w:r>
      <w:r w:rsidRPr="007F4566">
        <w:rPr>
          <w:rStyle w:val="Hyperlink"/>
          <w:sz w:val="24"/>
          <w:szCs w:val="24"/>
          <w:lang w:val="cs-CZ"/>
        </w:rPr>
        <w:t>https://politiko.al/english/e-tjera/-mbyll-155-llogari-ruse-ne-internet-per-dezinformimin-ne-tirane-i517028?</w:t>
      </w:r>
      <w:r w:rsidR="00173182">
        <w:rPr>
          <w:rStyle w:val="Hyperlink"/>
          <w:sz w:val="24"/>
          <w:szCs w:val="24"/>
          <w:lang w:val="cs-CZ"/>
        </w:rPr>
        <w:fldChar w:fldCharType="end"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47579" w14:textId="77777777" w:rsidR="00064002" w:rsidRPr="00D2285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93E11" w14:textId="77777777" w:rsidR="00064002" w:rsidRPr="00D2285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7E89C" w14:textId="77777777" w:rsidR="00064002" w:rsidRPr="00D2285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66867048">
    <w:abstractNumId w:val="9"/>
  </w:num>
  <w:num w:numId="2" w16cid:durableId="1061028125">
    <w:abstractNumId w:val="9"/>
  </w:num>
  <w:num w:numId="3" w16cid:durableId="1129669402">
    <w:abstractNumId w:val="7"/>
  </w:num>
  <w:num w:numId="4" w16cid:durableId="1701542608">
    <w:abstractNumId w:val="7"/>
  </w:num>
  <w:num w:numId="5" w16cid:durableId="1439329449">
    <w:abstractNumId w:val="6"/>
  </w:num>
  <w:num w:numId="6" w16cid:durableId="1123843090">
    <w:abstractNumId w:val="6"/>
  </w:num>
  <w:num w:numId="7" w16cid:durableId="688409448">
    <w:abstractNumId w:val="5"/>
  </w:num>
  <w:num w:numId="8" w16cid:durableId="1009064862">
    <w:abstractNumId w:val="5"/>
  </w:num>
  <w:num w:numId="9" w16cid:durableId="761754029">
    <w:abstractNumId w:val="4"/>
  </w:num>
  <w:num w:numId="10" w16cid:durableId="1408309342">
    <w:abstractNumId w:val="4"/>
  </w:num>
  <w:num w:numId="11" w16cid:durableId="1944148415">
    <w:abstractNumId w:val="8"/>
  </w:num>
  <w:num w:numId="12" w16cid:durableId="249656049">
    <w:abstractNumId w:val="8"/>
  </w:num>
  <w:num w:numId="13" w16cid:durableId="1890997618">
    <w:abstractNumId w:val="3"/>
  </w:num>
  <w:num w:numId="14" w16cid:durableId="1661152395">
    <w:abstractNumId w:val="3"/>
  </w:num>
  <w:num w:numId="15" w16cid:durableId="236862529">
    <w:abstractNumId w:val="2"/>
  </w:num>
  <w:num w:numId="16" w16cid:durableId="878321880">
    <w:abstractNumId w:val="2"/>
  </w:num>
  <w:num w:numId="17" w16cid:durableId="623196461">
    <w:abstractNumId w:val="1"/>
  </w:num>
  <w:num w:numId="18" w16cid:durableId="147788149">
    <w:abstractNumId w:val="1"/>
  </w:num>
  <w:num w:numId="19" w16cid:durableId="1233614104">
    <w:abstractNumId w:val="0"/>
  </w:num>
  <w:num w:numId="20" w16cid:durableId="1396586082">
    <w:abstractNumId w:val="0"/>
  </w:num>
  <w:num w:numId="21" w16cid:durableId="1214655674">
    <w:abstractNumId w:val="9"/>
  </w:num>
  <w:num w:numId="22" w16cid:durableId="1735347137">
    <w:abstractNumId w:val="7"/>
  </w:num>
  <w:num w:numId="23" w16cid:durableId="614752547">
    <w:abstractNumId w:val="6"/>
  </w:num>
  <w:num w:numId="24" w16cid:durableId="1763407628">
    <w:abstractNumId w:val="5"/>
  </w:num>
  <w:num w:numId="25" w16cid:durableId="1070419592">
    <w:abstractNumId w:val="4"/>
  </w:num>
  <w:num w:numId="26" w16cid:durableId="752550447">
    <w:abstractNumId w:val="8"/>
  </w:num>
  <w:num w:numId="27" w16cid:durableId="787965209">
    <w:abstractNumId w:val="3"/>
  </w:num>
  <w:num w:numId="28" w16cid:durableId="450441470">
    <w:abstractNumId w:val="2"/>
  </w:num>
  <w:num w:numId="29" w16cid:durableId="1963228192">
    <w:abstractNumId w:val="1"/>
  </w:num>
  <w:num w:numId="30" w16cid:durableId="936913109">
    <w:abstractNumId w:val="0"/>
  </w:num>
  <w:num w:numId="31" w16cid:durableId="1313411135">
    <w:abstractNumId w:val="9"/>
  </w:num>
  <w:num w:numId="32" w16cid:durableId="98066409">
    <w:abstractNumId w:val="7"/>
  </w:num>
  <w:num w:numId="33" w16cid:durableId="30765386">
    <w:abstractNumId w:val="6"/>
  </w:num>
  <w:num w:numId="34" w16cid:durableId="1315178052">
    <w:abstractNumId w:val="5"/>
  </w:num>
  <w:num w:numId="35" w16cid:durableId="397174925">
    <w:abstractNumId w:val="4"/>
  </w:num>
  <w:num w:numId="36" w16cid:durableId="360011385">
    <w:abstractNumId w:val="8"/>
  </w:num>
  <w:num w:numId="37" w16cid:durableId="209540093">
    <w:abstractNumId w:val="3"/>
  </w:num>
  <w:num w:numId="38" w16cid:durableId="1489439195">
    <w:abstractNumId w:val="2"/>
  </w:num>
  <w:num w:numId="39" w16cid:durableId="217859919">
    <w:abstractNumId w:val="1"/>
  </w:num>
  <w:num w:numId="40" w16cid:durableId="604339940">
    <w:abstractNumId w:val="0"/>
  </w:num>
  <w:num w:numId="41" w16cid:durableId="20589969">
    <w:abstractNumId w:val="10"/>
  </w:num>
  <w:num w:numId="42" w16cid:durableId="598565535">
    <w:abstractNumId w:val="10"/>
  </w:num>
  <w:num w:numId="43" w16cid:durableId="1194147364">
    <w:abstractNumId w:val="10"/>
  </w:num>
  <w:num w:numId="44" w16cid:durableId="148893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6/2025"/>
    <w:docVar w:name="dvlangue" w:val="CS"/>
    <w:docVar w:name="dvnumam" w:val="0"/>
    <w:docVar w:name="dvpe" w:val="769.914"/>
    <w:docVar w:name="dvrapporteur" w:val="Zpravodaj: "/>
    <w:docVar w:name="dvtitre" w:val="Usnesení Evropského parlamentu ze dne 9. července 2025 o zprávách Komise o Albánii za roky 2023 a 2024(2025/2017(INI))"/>
  </w:docVars>
  <w:rsids>
    <w:rsidRoot w:val="00244F86"/>
    <w:rsid w:val="00002272"/>
    <w:rsid w:val="000439AB"/>
    <w:rsid w:val="00064002"/>
    <w:rsid w:val="000677B9"/>
    <w:rsid w:val="000831BA"/>
    <w:rsid w:val="000A42CC"/>
    <w:rsid w:val="000E7DD9"/>
    <w:rsid w:val="0010095E"/>
    <w:rsid w:val="00125B37"/>
    <w:rsid w:val="00173182"/>
    <w:rsid w:val="00187494"/>
    <w:rsid w:val="001A5888"/>
    <w:rsid w:val="001F32AE"/>
    <w:rsid w:val="00244F86"/>
    <w:rsid w:val="002604F8"/>
    <w:rsid w:val="002767FF"/>
    <w:rsid w:val="002B18FE"/>
    <w:rsid w:val="002B5493"/>
    <w:rsid w:val="00343214"/>
    <w:rsid w:val="00361C00"/>
    <w:rsid w:val="003720FC"/>
    <w:rsid w:val="003902A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6E84"/>
    <w:rsid w:val="00545827"/>
    <w:rsid w:val="00560270"/>
    <w:rsid w:val="00584B64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3083"/>
    <w:rsid w:val="00786EC0"/>
    <w:rsid w:val="00797E80"/>
    <w:rsid w:val="007D1690"/>
    <w:rsid w:val="007E2285"/>
    <w:rsid w:val="007E22AD"/>
    <w:rsid w:val="007F4566"/>
    <w:rsid w:val="00817416"/>
    <w:rsid w:val="00842779"/>
    <w:rsid w:val="0085248C"/>
    <w:rsid w:val="00865F67"/>
    <w:rsid w:val="00872627"/>
    <w:rsid w:val="00881A7B"/>
    <w:rsid w:val="008840E5"/>
    <w:rsid w:val="00887B3E"/>
    <w:rsid w:val="008C2AC6"/>
    <w:rsid w:val="008C4CC4"/>
    <w:rsid w:val="00930C23"/>
    <w:rsid w:val="0093193B"/>
    <w:rsid w:val="009509D8"/>
    <w:rsid w:val="00950B64"/>
    <w:rsid w:val="00981893"/>
    <w:rsid w:val="009F2FB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731C"/>
    <w:rsid w:val="00C61C0C"/>
    <w:rsid w:val="00C941CB"/>
    <w:rsid w:val="00CC2357"/>
    <w:rsid w:val="00CF071A"/>
    <w:rsid w:val="00D058B8"/>
    <w:rsid w:val="00D22852"/>
    <w:rsid w:val="00D56C11"/>
    <w:rsid w:val="00D834A0"/>
    <w:rsid w:val="00D872DF"/>
    <w:rsid w:val="00D91E21"/>
    <w:rsid w:val="00DA7FCD"/>
    <w:rsid w:val="00E365E1"/>
    <w:rsid w:val="00E802F3"/>
    <w:rsid w:val="00E820A4"/>
    <w:rsid w:val="00EB006A"/>
    <w:rsid w:val="00EB4772"/>
    <w:rsid w:val="00ED169E"/>
    <w:rsid w:val="00ED4235"/>
    <w:rsid w:val="00F04346"/>
    <w:rsid w:val="00F075DC"/>
    <w:rsid w:val="00F10EE5"/>
    <w:rsid w:val="00F149E9"/>
    <w:rsid w:val="00F5134D"/>
    <w:rsid w:val="00F74202"/>
    <w:rsid w:val="00F87713"/>
    <w:rsid w:val="00FB4360"/>
    <w:rsid w:val="00FD0C70"/>
    <w:rsid w:val="00FF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730F89"/>
  <w15:chartTrackingRefBased/>
  <w15:docId w15:val="{D29BB10E-F52E-4ED6-82F5-7BFC81835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2604F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2604F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2604F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2604F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2604F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2604F8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2604F8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2604F8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2604F8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2604F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604F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604F8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2604F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2604F8"/>
    <w:rPr>
      <w:b/>
    </w:rPr>
  </w:style>
  <w:style w:type="paragraph" w:customStyle="1" w:styleId="NormalHanging12a">
    <w:name w:val="NormalHanging12a"/>
    <w:basedOn w:val="Normal"/>
    <w:link w:val="NormalHanging12aChar"/>
    <w:rsid w:val="002604F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604F8"/>
    <w:pPr>
      <w:spacing w:after="480"/>
      <w:ind w:left="1417"/>
    </w:pPr>
  </w:style>
  <w:style w:type="paragraph" w:customStyle="1" w:styleId="CoverNormal">
    <w:name w:val="CoverNormal"/>
    <w:basedOn w:val="Normal"/>
    <w:rsid w:val="002604F8"/>
    <w:pPr>
      <w:ind w:left="1418"/>
    </w:pPr>
  </w:style>
  <w:style w:type="paragraph" w:customStyle="1" w:styleId="CoverReference">
    <w:name w:val="CoverReference"/>
    <w:basedOn w:val="Normal"/>
    <w:rsid w:val="002604F8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2604F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604F8"/>
    <w:pPr>
      <w:spacing w:before="240" w:after="1200"/>
    </w:pPr>
  </w:style>
  <w:style w:type="paragraph" w:styleId="Header">
    <w:name w:val="header"/>
    <w:basedOn w:val="Normal"/>
    <w:link w:val="HeaderChar"/>
    <w:rsid w:val="002604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604F8"/>
    <w:rPr>
      <w:sz w:val="24"/>
      <w:lang w:val="cs-CZ"/>
    </w:rPr>
  </w:style>
  <w:style w:type="paragraph" w:customStyle="1" w:styleId="EPBody">
    <w:name w:val="EPBody"/>
    <w:basedOn w:val="Normal"/>
    <w:rsid w:val="002604F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604F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604F8"/>
    <w:pPr>
      <w:spacing w:before="480" w:after="240"/>
    </w:pPr>
  </w:style>
  <w:style w:type="paragraph" w:customStyle="1" w:styleId="Normal12a">
    <w:name w:val="Normal12a"/>
    <w:basedOn w:val="Normal"/>
    <w:rsid w:val="002604F8"/>
    <w:pPr>
      <w:spacing w:after="240"/>
    </w:pPr>
  </w:style>
  <w:style w:type="paragraph" w:styleId="ListParagraph">
    <w:name w:val="List Paragraph"/>
    <w:basedOn w:val="Normal"/>
    <w:uiPriority w:val="34"/>
    <w:qFormat/>
    <w:rsid w:val="002604F8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Footer">
    <w:name w:val="footer"/>
    <w:basedOn w:val="Normal"/>
    <w:link w:val="FooterChar"/>
    <w:rsid w:val="002604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604F8"/>
    <w:rPr>
      <w:sz w:val="24"/>
      <w:lang w:val="cs-CZ"/>
    </w:rPr>
  </w:style>
  <w:style w:type="character" w:styleId="CommentReference">
    <w:name w:val="annotation reference"/>
    <w:basedOn w:val="DefaultParagraphFont"/>
    <w:rsid w:val="002604F8"/>
    <w:rPr>
      <w:sz w:val="16"/>
      <w:szCs w:val="16"/>
    </w:rPr>
  </w:style>
  <w:style w:type="paragraph" w:styleId="CommentText">
    <w:name w:val="annotation text"/>
    <w:basedOn w:val="Normal"/>
    <w:link w:val="CommentTextChar"/>
    <w:rsid w:val="002604F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604F8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604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604F8"/>
    <w:rPr>
      <w:b/>
      <w:bCs/>
      <w:lang w:val="cs-CZ"/>
    </w:rPr>
  </w:style>
  <w:style w:type="paragraph" w:styleId="BalloonText">
    <w:name w:val="Balloon Text"/>
    <w:basedOn w:val="Normal"/>
    <w:link w:val="BalloonTextChar"/>
    <w:unhideWhenUsed/>
    <w:rsid w:val="002604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604F8"/>
    <w:rPr>
      <w:rFonts w:ascii="Segoe UI" w:hAnsi="Segoe UI" w:cs="Segoe UI"/>
      <w:sz w:val="18"/>
      <w:szCs w:val="18"/>
      <w:lang w:val="cs-CZ"/>
    </w:rPr>
  </w:style>
  <w:style w:type="character" w:styleId="Hyperlink">
    <w:name w:val="Hyperlink"/>
    <w:basedOn w:val="DefaultParagraphFont"/>
    <w:rsid w:val="002604F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2604F8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2604F8"/>
    <w:rPr>
      <w:sz w:val="24"/>
    </w:rPr>
  </w:style>
  <w:style w:type="character" w:customStyle="1" w:styleId="NormalHanging12aChar">
    <w:name w:val="NormalHanging12a Char"/>
    <w:basedOn w:val="DefaultParagraphFont"/>
    <w:link w:val="NormalHanging12a"/>
    <w:rsid w:val="002604F8"/>
    <w:rPr>
      <w:sz w:val="24"/>
      <w:lang w:val="cs-CZ"/>
    </w:rPr>
  </w:style>
  <w:style w:type="paragraph" w:customStyle="1" w:styleId="RollCallVotes">
    <w:name w:val="RollCallVotes"/>
    <w:basedOn w:val="Normal"/>
    <w:rsid w:val="002604F8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2604F8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2604F8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2604F8"/>
    <w:pPr>
      <w:spacing w:before="120" w:after="120"/>
    </w:pPr>
    <w:rPr>
      <w:snapToGrid w:val="0"/>
      <w:sz w:val="16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726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6632</Words>
  <Characters>40839</Characters>
  <Application>Microsoft Office Word</Application>
  <DocSecurity>0</DocSecurity>
  <Lines>340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2025-07-09T14:19:00Z</dcterms:created>
  <dcterms:modified xsi:type="dcterms:W3CDTF">2025-07-09T14:19:00Z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A10-0106/2025</vt:lpwstr>
  </property>
  <property fmtid="{D5CDD505-2E9C-101B-9397-08002B2CF9AE}" pid="4" name="&lt;Type&gt;">
    <vt:lpwstr>RR</vt:lpwstr>
  </property>
</Properties>
</file>