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E519A" w14:paraId="3164480B" w14:textId="77777777" w:rsidTr="0010095E">
        <w:trPr>
          <w:trHeight w:hRule="exact" w:val="1418"/>
        </w:trPr>
        <w:tc>
          <w:tcPr>
            <w:tcW w:w="6804" w:type="dxa"/>
            <w:shd w:val="clear" w:color="auto" w:fill="auto"/>
            <w:vAlign w:val="center"/>
          </w:tcPr>
          <w:p w14:paraId="368C42AF" w14:textId="77777777" w:rsidR="00751A4A" w:rsidRPr="00BE519A" w:rsidRDefault="00B3311D" w:rsidP="0010095E">
            <w:pPr>
              <w:pStyle w:val="EPName"/>
            </w:pPr>
            <w:r w:rsidRPr="00BE519A">
              <w:t>Europa-Parlamentet</w:t>
            </w:r>
          </w:p>
          <w:p w14:paraId="3DE6F836" w14:textId="77777777" w:rsidR="00751A4A" w:rsidRPr="00BE519A" w:rsidRDefault="005F1B17" w:rsidP="005F1B17">
            <w:pPr>
              <w:pStyle w:val="EPTerm"/>
              <w:rPr>
                <w:rStyle w:val="HideTWBExt"/>
                <w:noProof w:val="0"/>
                <w:vanish w:val="0"/>
                <w:color w:val="auto"/>
              </w:rPr>
            </w:pPr>
            <w:r w:rsidRPr="00BE519A">
              <w:t>2024</w:t>
            </w:r>
            <w:r w:rsidR="00817416" w:rsidRPr="00BE519A">
              <w:t>-202</w:t>
            </w:r>
            <w:r w:rsidRPr="00BE519A">
              <w:t>9</w:t>
            </w:r>
          </w:p>
        </w:tc>
        <w:tc>
          <w:tcPr>
            <w:tcW w:w="2268" w:type="dxa"/>
            <w:shd w:val="clear" w:color="auto" w:fill="auto"/>
          </w:tcPr>
          <w:p w14:paraId="60CCF1C7" w14:textId="77777777" w:rsidR="00751A4A" w:rsidRPr="00BE519A" w:rsidRDefault="00187494" w:rsidP="0010095E">
            <w:pPr>
              <w:pStyle w:val="EPLogo"/>
            </w:pPr>
            <w:r w:rsidRPr="00BE519A">
              <w:rPr>
                <w:noProof/>
                <w:lang w:val="en-GB"/>
              </w:rPr>
              <w:drawing>
                <wp:inline distT="0" distB="0" distL="0" distR="0" wp14:anchorId="47E006B3" wp14:editId="786DDF0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F2CA549" w14:textId="77777777" w:rsidR="00D058B8" w:rsidRPr="00BE519A" w:rsidRDefault="00D058B8" w:rsidP="004C5D52">
      <w:pPr>
        <w:pStyle w:val="LineTop"/>
      </w:pPr>
    </w:p>
    <w:p w14:paraId="1ECDD2D0" w14:textId="77777777" w:rsidR="00680577" w:rsidRPr="00BE519A" w:rsidRDefault="00B3311D" w:rsidP="00680577">
      <w:pPr>
        <w:pStyle w:val="EPBodyTA1"/>
      </w:pPr>
      <w:r w:rsidRPr="00BE519A">
        <w:t>VEDTAGNE TEKSTER</w:t>
      </w:r>
    </w:p>
    <w:p w14:paraId="591D419D" w14:textId="77777777" w:rsidR="00D058B8" w:rsidRPr="00BE519A" w:rsidRDefault="00D058B8" w:rsidP="00D058B8">
      <w:pPr>
        <w:pStyle w:val="LineBottom"/>
      </w:pPr>
    </w:p>
    <w:p w14:paraId="526B0BE3" w14:textId="32A4096C" w:rsidR="00B3311D" w:rsidRPr="00CE6334" w:rsidRDefault="00B3311D" w:rsidP="00B3311D">
      <w:pPr>
        <w:pStyle w:val="ATHeading1"/>
      </w:pPr>
      <w:bookmarkStart w:id="0" w:name="TANumber"/>
      <w:r w:rsidRPr="00CE6334">
        <w:t>P10_TA(2025)0</w:t>
      </w:r>
      <w:r w:rsidR="003E0D35">
        <w:t>155</w:t>
      </w:r>
      <w:bookmarkEnd w:id="0"/>
    </w:p>
    <w:p w14:paraId="6FB3D3DC" w14:textId="77777777" w:rsidR="00B3311D" w:rsidRPr="00CE6334" w:rsidRDefault="00B3311D" w:rsidP="00B3311D">
      <w:pPr>
        <w:pStyle w:val="ATHeading2"/>
      </w:pPr>
      <w:bookmarkStart w:id="1" w:name="title"/>
      <w:r w:rsidRPr="00CE6334">
        <w:t>Kommissionens rapporter om Albanien for 2023 og 2024</w:t>
      </w:r>
      <w:bookmarkEnd w:id="1"/>
    </w:p>
    <w:p w14:paraId="60D39B4D" w14:textId="77777777" w:rsidR="00B3311D" w:rsidRPr="00BE519A" w:rsidRDefault="00B3311D" w:rsidP="00B3311D">
      <w:pPr>
        <w:rPr>
          <w:i/>
          <w:vanish/>
        </w:rPr>
      </w:pPr>
      <w:r w:rsidRPr="00BE519A">
        <w:rPr>
          <w:i/>
        </w:rPr>
        <w:fldChar w:fldCharType="begin"/>
      </w:r>
      <w:r w:rsidRPr="00BE519A">
        <w:rPr>
          <w:i/>
        </w:rPr>
        <w:instrText xml:space="preserve"> TC"(</w:instrText>
      </w:r>
      <w:bookmarkStart w:id="2" w:name="DocNumber"/>
      <w:r w:rsidRPr="00BE519A">
        <w:rPr>
          <w:i/>
        </w:rPr>
        <w:instrText>A10-0106/2025</w:instrText>
      </w:r>
      <w:bookmarkEnd w:id="2"/>
      <w:r w:rsidRPr="00BE519A">
        <w:rPr>
          <w:i/>
        </w:rPr>
        <w:instrText xml:space="preserve"> - Ordfører: Andreas Schieder)"\l3 \n&gt; \* MERGEFORMAT </w:instrText>
      </w:r>
      <w:r w:rsidRPr="00BE519A">
        <w:rPr>
          <w:i/>
        </w:rPr>
        <w:fldChar w:fldCharType="end"/>
      </w:r>
    </w:p>
    <w:p w14:paraId="30F9C6E5" w14:textId="77777777" w:rsidR="00B3311D" w:rsidRPr="00CE6334" w:rsidRDefault="00B3311D" w:rsidP="00B3311D">
      <w:pPr>
        <w:rPr>
          <w:vanish/>
        </w:rPr>
      </w:pPr>
      <w:bookmarkStart w:id="3" w:name="Commission"/>
      <w:r w:rsidRPr="002754B1">
        <w:rPr>
          <w:vanish/>
        </w:rPr>
        <w:t>Udenrigsudvalget</w:t>
      </w:r>
      <w:bookmarkEnd w:id="3"/>
    </w:p>
    <w:p w14:paraId="79500492" w14:textId="77777777" w:rsidR="00B3311D" w:rsidRPr="00CE6334" w:rsidRDefault="00B3311D" w:rsidP="00B3311D">
      <w:pPr>
        <w:rPr>
          <w:vanish/>
        </w:rPr>
      </w:pPr>
      <w:bookmarkStart w:id="4" w:name="PE"/>
      <w:r w:rsidRPr="00CE6334">
        <w:rPr>
          <w:vanish/>
        </w:rPr>
        <w:t>PE769.914</w:t>
      </w:r>
      <w:bookmarkEnd w:id="4"/>
    </w:p>
    <w:p w14:paraId="0DCC5CE3" w14:textId="78144D72" w:rsidR="00B3311D" w:rsidRPr="00CE6334" w:rsidRDefault="00B3311D" w:rsidP="00B3311D">
      <w:pPr>
        <w:pStyle w:val="ATHeading3"/>
      </w:pPr>
      <w:bookmarkStart w:id="5" w:name="Sujet"/>
      <w:r w:rsidRPr="00CE6334">
        <w:t xml:space="preserve">Europa-Parlamentets beslutning af </w:t>
      </w:r>
      <w:r w:rsidR="00400537" w:rsidRPr="00CE6334">
        <w:t>9</w:t>
      </w:r>
      <w:r w:rsidRPr="00CE6334">
        <w:t>. juli 2025 om Kommissionens rapporter om Albanien for 2023 og 2024</w:t>
      </w:r>
      <w:bookmarkEnd w:id="5"/>
      <w:r w:rsidRPr="00CE6334">
        <w:t xml:space="preserve"> </w:t>
      </w:r>
      <w:bookmarkStart w:id="6" w:name="References"/>
      <w:r w:rsidRPr="00CE6334">
        <w:t>(2025/2017(INI))</w:t>
      </w:r>
      <w:bookmarkEnd w:id="6"/>
    </w:p>
    <w:p w14:paraId="74143013" w14:textId="77777777" w:rsidR="00CC1B2F" w:rsidRPr="002754B1" w:rsidRDefault="00CC1B2F" w:rsidP="00CC1B2F">
      <w:pPr>
        <w:pStyle w:val="EPComma"/>
      </w:pPr>
      <w:r w:rsidRPr="00BE519A">
        <w:rPr>
          <w:i/>
        </w:rPr>
        <w:t>Europa-Parlamentet,</w:t>
      </w:r>
    </w:p>
    <w:p w14:paraId="45855146" w14:textId="77777777" w:rsidR="00CC1B2F" w:rsidRPr="002754B1" w:rsidRDefault="00CC1B2F" w:rsidP="00CC1B2F">
      <w:pPr>
        <w:pStyle w:val="NormalHanging12a"/>
      </w:pPr>
      <w:r w:rsidRPr="00CE6334">
        <w:t>–</w:t>
      </w:r>
      <w:r w:rsidRPr="00CE6334">
        <w:tab/>
        <w:t>der henviser til stabiliserings- og associeringsaftalen mellem De Europæiske Fællesskaber og deres medlemsstater på den ene side og Republikken Albanien på den anden side</w:t>
      </w:r>
      <w:r w:rsidRPr="00BE519A">
        <w:rPr>
          <w:rStyle w:val="FootnoteReference"/>
          <w:color w:val="000000"/>
        </w:rPr>
        <w:footnoteReference w:id="1"/>
      </w:r>
      <w:r w:rsidRPr="00BE519A">
        <w:t>,</w:t>
      </w:r>
    </w:p>
    <w:p w14:paraId="268BB463" w14:textId="77777777" w:rsidR="00CC1B2F" w:rsidRPr="00CE6334" w:rsidRDefault="00CC1B2F" w:rsidP="00CC1B2F">
      <w:pPr>
        <w:pStyle w:val="NormalHanging12a"/>
      </w:pPr>
      <w:r w:rsidRPr="00CE6334">
        <w:t>–</w:t>
      </w:r>
      <w:r w:rsidRPr="00CE6334">
        <w:tab/>
        <w:t>der henviser til Albaniens ansøgning om EU-medlemskab, der blev indgivet den 24. april 2009,</w:t>
      </w:r>
    </w:p>
    <w:p w14:paraId="5893F827" w14:textId="77777777" w:rsidR="00CC1B2F" w:rsidRPr="002754B1" w:rsidRDefault="00CC1B2F" w:rsidP="00CC1B2F">
      <w:pPr>
        <w:pStyle w:val="NormalHanging12a"/>
      </w:pPr>
      <w:r w:rsidRPr="00CE6334">
        <w:t>–</w:t>
      </w:r>
      <w:r w:rsidRPr="00CE6334">
        <w:tab/>
        <w:t>der henviser til Europa-Parlamentets og Rådets forordning (EU) 2021/1529 af 15. september 2021 om oprettelse af et instrument til førtiltrædelsesbistand (IPA III)</w:t>
      </w:r>
      <w:r w:rsidRPr="00BE519A">
        <w:rPr>
          <w:rStyle w:val="FootnoteReference"/>
          <w:color w:val="000000"/>
        </w:rPr>
        <w:footnoteReference w:id="2"/>
      </w:r>
      <w:r w:rsidRPr="00BE519A">
        <w:t>,</w:t>
      </w:r>
    </w:p>
    <w:p w14:paraId="3FA3E73B" w14:textId="77777777" w:rsidR="00CC1B2F" w:rsidRPr="002754B1" w:rsidRDefault="00CC1B2F" w:rsidP="00CC1B2F">
      <w:pPr>
        <w:pStyle w:val="NormalHanging12a"/>
      </w:pPr>
      <w:r w:rsidRPr="00CE6334">
        <w:t>–</w:t>
      </w:r>
      <w:r w:rsidRPr="00CE6334">
        <w:tab/>
        <w:t>der henviser til Europa-Parlamentets og Rådets forordning (EU) 2024/1449 af 14. maj 2024 om oprettelse af reform- og vækstfaciliteten for Vestbalkan</w:t>
      </w:r>
      <w:r w:rsidRPr="00BE519A">
        <w:rPr>
          <w:rStyle w:val="FootnoteReference"/>
          <w:color w:val="000000"/>
        </w:rPr>
        <w:footnoteReference w:id="3"/>
      </w:r>
      <w:r w:rsidRPr="00BE519A">
        <w:t>,</w:t>
      </w:r>
    </w:p>
    <w:p w14:paraId="0DEA8DF7" w14:textId="77777777" w:rsidR="00CC1B2F" w:rsidRPr="00CE6334" w:rsidRDefault="00CC1B2F" w:rsidP="00CC1B2F">
      <w:pPr>
        <w:pStyle w:val="NormalHanging12a"/>
      </w:pPr>
      <w:r w:rsidRPr="00CE6334">
        <w:t>–</w:t>
      </w:r>
      <w:r w:rsidRPr="00CE6334">
        <w:tab/>
        <w:t>der henviser til Kommissionens meddelelse af 5. februar 2020 med titlen "Styrkelse af tiltrædelsesprocessen – Et troværdigt EU-perspektiv for landene på Vestbalkan" (COM(2020)0057),</w:t>
      </w:r>
    </w:p>
    <w:p w14:paraId="7A54F3CD" w14:textId="77777777" w:rsidR="00CC1B2F" w:rsidRPr="00CE6334" w:rsidRDefault="00CC1B2F" w:rsidP="00CC1B2F">
      <w:pPr>
        <w:pStyle w:val="NormalHanging12a"/>
      </w:pPr>
      <w:r w:rsidRPr="00CE6334">
        <w:t>–</w:t>
      </w:r>
      <w:r w:rsidRPr="00CE6334">
        <w:tab/>
        <w:t>der henviser til Kommissionens meddelelse af 8. november 2023 med titlen "Meddelelse om EU's udvidelsespolitik 2023" (COM(2023)0690), som blev ledsaget af et arbejdsdokument fra Kommissionens tjenestegrene med titlen "Albania 2023 Report" (SWD(2023)0690),</w:t>
      </w:r>
    </w:p>
    <w:p w14:paraId="2819ECB8" w14:textId="77777777" w:rsidR="00CC1B2F" w:rsidRPr="00CE6334" w:rsidRDefault="00CC1B2F" w:rsidP="00CC1B2F">
      <w:pPr>
        <w:pStyle w:val="NormalHanging12a"/>
      </w:pPr>
      <w:r w:rsidRPr="00CE6334">
        <w:t>–</w:t>
      </w:r>
      <w:r w:rsidRPr="00CE6334">
        <w:tab/>
        <w:t>der henviser til Kommissionens meddelelse af 8. november 2023 med titlen "Ny vækstplan for landene på Vestbalkan" (COM(2023)0691),</w:t>
      </w:r>
    </w:p>
    <w:p w14:paraId="059B2265" w14:textId="77777777" w:rsidR="00CC1B2F" w:rsidRPr="00CE6334" w:rsidRDefault="00CC1B2F" w:rsidP="00CC1B2F">
      <w:pPr>
        <w:pStyle w:val="NormalHanging12a"/>
      </w:pPr>
      <w:r w:rsidRPr="00CE6334">
        <w:t>–</w:t>
      </w:r>
      <w:r w:rsidRPr="00CE6334">
        <w:tab/>
        <w:t xml:space="preserve">der henviser til Kommissionens meddelelse af 20. marts 2024 om førudvidelsesreformer </w:t>
      </w:r>
      <w:r w:rsidRPr="00CE6334">
        <w:lastRenderedPageBreak/>
        <w:t>og gennemgang af politikker (COM(2024)0146),</w:t>
      </w:r>
    </w:p>
    <w:p w14:paraId="2B831E1C" w14:textId="77777777" w:rsidR="00CC1B2F" w:rsidRPr="00CE6334" w:rsidRDefault="00CC1B2F" w:rsidP="00CC1B2F">
      <w:pPr>
        <w:pStyle w:val="NormalHanging12a"/>
      </w:pPr>
      <w:r w:rsidRPr="00CE6334">
        <w:t>–</w:t>
      </w:r>
      <w:r w:rsidRPr="00CE6334">
        <w:tab/>
        <w:t>der henviser til Kommissionens meddelelse af 24. juli 2024 med titlen "Rapport om retsstatssituationen 2024" (COM(2024)0800), som blev ledsaget af et arbejdsdokument fra Kommissionens tjenestegrene med titlen "2024 Rule of Law Report – Country Chapter on the rule of law situation in Albania" (SWD(2024)0828),</w:t>
      </w:r>
    </w:p>
    <w:p w14:paraId="6026F275" w14:textId="77777777" w:rsidR="00CC1B2F" w:rsidRPr="00CE6334" w:rsidRDefault="00CC1B2F" w:rsidP="00CC1B2F">
      <w:pPr>
        <w:pStyle w:val="NormalHanging12a"/>
      </w:pPr>
      <w:r w:rsidRPr="00CE6334">
        <w:t>–</w:t>
      </w:r>
      <w:r w:rsidRPr="00CE6334">
        <w:tab/>
        <w:t>der henviser til Kommissionens meddelelse af 30. oktober 2024 med titlen "Meddelelse om EU's udvidelsespolitik 2024" (COM(2024)0690), som blev ledsaget af et arbejdsdokument fra Kommissionens tjenestegrene med titlen "Albania 2024 Report" (SWD(2024)0690),</w:t>
      </w:r>
    </w:p>
    <w:p w14:paraId="51306DFC" w14:textId="77777777" w:rsidR="00CC1B2F" w:rsidRPr="00CE6334" w:rsidRDefault="00CC1B2F" w:rsidP="00CC1B2F">
      <w:pPr>
        <w:pStyle w:val="NormalHanging12a"/>
      </w:pPr>
      <w:r w:rsidRPr="00CE6334">
        <w:t>–</w:t>
      </w:r>
      <w:r w:rsidRPr="00CE6334">
        <w:tab/>
        <w:t>der henviser til Albaniens reformdagsorden, der blev forelagt inden for rammen af EU's reform- og vækstfacilitet, som godkendt af Kommissionen den 23. oktober 2024,</w:t>
      </w:r>
    </w:p>
    <w:p w14:paraId="49F84393" w14:textId="77777777" w:rsidR="00CC1B2F" w:rsidRPr="00CE6334" w:rsidRDefault="00CC1B2F" w:rsidP="00CC1B2F">
      <w:pPr>
        <w:pStyle w:val="NormalHanging12a"/>
      </w:pPr>
      <w:r w:rsidRPr="00CE6334">
        <w:t>–</w:t>
      </w:r>
      <w:r w:rsidRPr="00CE6334">
        <w:tab/>
        <w:t>der henviser til den endelige rapport af 29. september 2023 fra valgobservationsmissionen under Organisationen for Sikkerhed og Samarbejde i Europas (OSCE's) Kontor for Demokratiske Institutioner og Menneskerettigheder (ODIHR) om Albaniens kommunalvalg den 14. maj 2023,</w:t>
      </w:r>
    </w:p>
    <w:p w14:paraId="54452EE0" w14:textId="77777777" w:rsidR="00CC1B2F" w:rsidRPr="00CE6334" w:rsidRDefault="00CC1B2F" w:rsidP="00CC1B2F">
      <w:pPr>
        <w:pStyle w:val="NormalHanging12a"/>
        <w:rPr>
          <w:bCs/>
          <w:iCs/>
        </w:rPr>
      </w:pPr>
      <w:r w:rsidRPr="00CE6334">
        <w:t>–</w:t>
      </w:r>
      <w:r w:rsidRPr="00CE6334">
        <w:tab/>
        <w:t>der henviser til den endelige rapport af 26. juli 2021 fra valgobservationsmissionen under OSCE/ODIHR om Albaniens parlamentsvalg den 25. april 2021,</w:t>
      </w:r>
    </w:p>
    <w:p w14:paraId="7D24245C" w14:textId="77777777" w:rsidR="00CC1B2F" w:rsidRPr="00CE6334" w:rsidRDefault="00CC1B2F" w:rsidP="00CC1B2F">
      <w:pPr>
        <w:pStyle w:val="NormalHanging12a"/>
      </w:pPr>
      <w:r w:rsidRPr="00CE6334">
        <w:t>–</w:t>
      </w:r>
      <w:r w:rsidRPr="00CE6334">
        <w:tab/>
        <w:t>der henviser til den fælles udtalelse fra Venedigkommissionen og OSCE/ODIHR af 11. december 2020 om ændringerne af den albanske forfatning af 30. juli 2020 og ændringerne af Albaniens valglov af 5. oktober 2020,</w:t>
      </w:r>
    </w:p>
    <w:p w14:paraId="6E93C738" w14:textId="77777777" w:rsidR="00CC1B2F" w:rsidRPr="00CE6334" w:rsidRDefault="00CC1B2F" w:rsidP="00CC1B2F">
      <w:pPr>
        <w:pStyle w:val="NormalHanging12a"/>
        <w:rPr>
          <w:bCs/>
          <w:iCs/>
        </w:rPr>
      </w:pPr>
      <w:r w:rsidRPr="00CE6334">
        <w:t>–</w:t>
      </w:r>
      <w:r w:rsidRPr="00CE6334">
        <w:tab/>
        <w:t>der henviser til Sofiaerklæringen, som blev vedtaget på topmødet mellem EU og det vestlige Balkan den 17. maj 2018, og til den prioriterede Sofiadagsorden, der er vedføjet denne erklæring,</w:t>
      </w:r>
    </w:p>
    <w:p w14:paraId="364E9B77" w14:textId="77777777" w:rsidR="00CC1B2F" w:rsidRPr="00CE6334" w:rsidRDefault="00CC1B2F" w:rsidP="00CC1B2F">
      <w:pPr>
        <w:pStyle w:val="NormalHanging12a"/>
        <w:rPr>
          <w:bCs/>
          <w:iCs/>
        </w:rPr>
      </w:pPr>
      <w:r w:rsidRPr="00CE6334">
        <w:t>–</w:t>
      </w:r>
      <w:r w:rsidRPr="00CE6334">
        <w:tab/>
        <w:t>der henviser til Zagreberklæringen, som blev vedtaget på topmødet mellem EU og Vestbalkan i Zagreb den 6. maj 2020,</w:t>
      </w:r>
    </w:p>
    <w:p w14:paraId="00AF0245" w14:textId="77777777" w:rsidR="00CC1B2F" w:rsidRPr="00CE6334" w:rsidRDefault="00CC1B2F" w:rsidP="00CC1B2F">
      <w:pPr>
        <w:pStyle w:val="NormalHanging12a"/>
      </w:pPr>
      <w:r w:rsidRPr="00CE6334">
        <w:t>–</w:t>
      </w:r>
      <w:r w:rsidRPr="00CE6334">
        <w:tab/>
        <w:t>der henviser til erklæringerne fra topmøderne mellem EU og Vestbalkan den 13. december 2023 og den 18. december 2024,</w:t>
      </w:r>
    </w:p>
    <w:p w14:paraId="54F6C2F8" w14:textId="77777777" w:rsidR="00CC1B2F" w:rsidRPr="00CE6334" w:rsidRDefault="00CC1B2F" w:rsidP="00CC1B2F">
      <w:pPr>
        <w:pStyle w:val="NormalHanging12a"/>
      </w:pPr>
      <w:r w:rsidRPr="00CE6334">
        <w:t>–</w:t>
      </w:r>
      <w:r w:rsidRPr="00CE6334">
        <w:tab/>
        <w:t>der henviser til Berlinprocessen, som blev igangsat den 28. august 2014,</w:t>
      </w:r>
    </w:p>
    <w:p w14:paraId="19A27CE3" w14:textId="77777777" w:rsidR="00CC1B2F" w:rsidRPr="00CE6334" w:rsidRDefault="00CC1B2F" w:rsidP="00CC1B2F">
      <w:pPr>
        <w:pStyle w:val="NormalHanging12a"/>
        <w:rPr>
          <w:bCs/>
          <w:iCs/>
        </w:rPr>
      </w:pPr>
      <w:r w:rsidRPr="00CE6334">
        <w:t>–</w:t>
      </w:r>
      <w:r w:rsidRPr="00CE6334">
        <w:tab/>
        <w:t>der henviser til Journalister Uden Grænsers internationale pressefrihedsindeks 2024,</w:t>
      </w:r>
    </w:p>
    <w:p w14:paraId="099DD8C6" w14:textId="77777777" w:rsidR="00CC1B2F" w:rsidRPr="00CE6334" w:rsidRDefault="00CC1B2F" w:rsidP="00CC1B2F">
      <w:pPr>
        <w:pStyle w:val="NormalHanging12a"/>
        <w:rPr>
          <w:bCs/>
          <w:iCs/>
        </w:rPr>
      </w:pPr>
      <w:r w:rsidRPr="00CE6334">
        <w:t>–</w:t>
      </w:r>
      <w:r w:rsidRPr="00CE6334">
        <w:tab/>
        <w:t>der henviser til Transparency Internationals korruptionsindeks 2024,</w:t>
      </w:r>
    </w:p>
    <w:p w14:paraId="0791E246" w14:textId="77777777" w:rsidR="00CC1B2F" w:rsidRPr="00CE6334" w:rsidRDefault="00CC1B2F" w:rsidP="00CC1B2F">
      <w:pPr>
        <w:pStyle w:val="NormalHanging12a"/>
        <w:rPr>
          <w:bCs/>
          <w:iCs/>
        </w:rPr>
      </w:pPr>
      <w:r w:rsidRPr="00CE6334">
        <w:t>–</w:t>
      </w:r>
      <w:r w:rsidRPr="00CE6334">
        <w:tab/>
        <w:t>der henviser til Det Verdensøkonomiske Forums rapport om kønsforskelle i verden 2024,</w:t>
      </w:r>
    </w:p>
    <w:p w14:paraId="02A24FB4" w14:textId="77777777" w:rsidR="00CC1B2F" w:rsidRPr="00CE6334" w:rsidRDefault="00CC1B2F" w:rsidP="00CC1B2F">
      <w:pPr>
        <w:pStyle w:val="NormalHanging12a"/>
      </w:pPr>
      <w:r w:rsidRPr="00CE6334">
        <w:t>–</w:t>
      </w:r>
      <w:r w:rsidRPr="00CE6334">
        <w:tab/>
        <w:t>der henviser til sine tidligere beslutninger om Albanien,</w:t>
      </w:r>
    </w:p>
    <w:p w14:paraId="27D86FAE" w14:textId="77777777" w:rsidR="00CC1B2F" w:rsidRPr="00CE6334" w:rsidRDefault="00CC1B2F" w:rsidP="00CC1B2F">
      <w:pPr>
        <w:pStyle w:val="NormalHanging12a"/>
      </w:pPr>
      <w:r w:rsidRPr="00CE6334">
        <w:t>–</w:t>
      </w:r>
      <w:r w:rsidRPr="00CE6334">
        <w:tab/>
        <w:t>der henviser til forretningsordenens artikel 55,</w:t>
      </w:r>
    </w:p>
    <w:p w14:paraId="35411E09" w14:textId="77777777" w:rsidR="00CC1B2F" w:rsidRPr="00CE6334" w:rsidRDefault="00CC1B2F" w:rsidP="00CC1B2F">
      <w:pPr>
        <w:pStyle w:val="NormalHanging12a"/>
      </w:pPr>
      <w:r w:rsidRPr="00CE6334">
        <w:t>–</w:t>
      </w:r>
      <w:r w:rsidRPr="00CE6334">
        <w:tab/>
        <w:t>der henviser til betænkning fra Udenrigsudvalget (A10-0106/2025),</w:t>
      </w:r>
    </w:p>
    <w:p w14:paraId="4F9F1E04" w14:textId="77777777" w:rsidR="00CC1B2F" w:rsidRPr="00CE6334" w:rsidRDefault="00CC1B2F" w:rsidP="00CC1B2F">
      <w:pPr>
        <w:pStyle w:val="NormalHanging12a"/>
      </w:pPr>
      <w:r w:rsidRPr="00CE6334">
        <w:t>A.</w:t>
      </w:r>
      <w:r w:rsidRPr="00CE6334">
        <w:tab/>
        <w:t xml:space="preserve">der henviser til, at udvidelse er EU's mest effektive udenrigspolitiske instrument og en </w:t>
      </w:r>
      <w:r w:rsidRPr="00CE6334">
        <w:lastRenderedPageBreak/>
        <w:t>geostrategisk investering i langsigtet fred, stabilitet og sikkerhed på hele kontinentet;</w:t>
      </w:r>
    </w:p>
    <w:p w14:paraId="264F643C" w14:textId="77777777" w:rsidR="00CC1B2F" w:rsidRPr="00CE6334" w:rsidRDefault="00CC1B2F" w:rsidP="00CC1B2F">
      <w:pPr>
        <w:pStyle w:val="NormalHanging12a"/>
        <w:rPr>
          <w:bCs/>
          <w:iCs/>
        </w:rPr>
      </w:pPr>
      <w:r w:rsidRPr="00CE6334">
        <w:t>B.</w:t>
      </w:r>
      <w:r w:rsidRPr="00CE6334">
        <w:tab/>
        <w:t>der henviser til, at EU fortsat er Vestbalkanlandenes vigtigste politiske og økonomiske partner; der henviser til, at EU fortsat er langt den største handels- og investeringspartner for Albanien og den største yder af finansiel bistand til landet;</w:t>
      </w:r>
    </w:p>
    <w:p w14:paraId="4EC51109" w14:textId="77777777" w:rsidR="00CC1B2F" w:rsidRPr="00CE6334" w:rsidRDefault="00CC1B2F" w:rsidP="00CC1B2F">
      <w:pPr>
        <w:pStyle w:val="NormalHanging12a"/>
      </w:pPr>
      <w:r w:rsidRPr="00CE6334">
        <w:t>C.</w:t>
      </w:r>
      <w:r w:rsidRPr="00CE6334">
        <w:tab/>
        <w:t>der henviser til, at udvidelse er en meritbaseret proces, som bygger på demokrati, retsstatsprincippet og grundlæggende rettigheder;</w:t>
      </w:r>
      <w:r w:rsidRPr="00CE6334">
        <w:rPr>
          <w:b/>
          <w:i/>
        </w:rPr>
        <w:t xml:space="preserve"> </w:t>
      </w:r>
      <w:r w:rsidRPr="00CE6334">
        <w:t xml:space="preserve">der henviser til, at Albaniens tiltrædelse af EU afhænger af varige, dybtgående og uigenkaldelige reformer på grundlæggende områder, begyndende med retsstatsprincippet og de demokratiske institutioners funktionsmåde; </w:t>
      </w:r>
    </w:p>
    <w:p w14:paraId="792B6BCB" w14:textId="77777777" w:rsidR="00CC1B2F" w:rsidRPr="00CE6334" w:rsidRDefault="00CC1B2F" w:rsidP="00CC1B2F">
      <w:pPr>
        <w:pStyle w:val="NormalHanging12a"/>
      </w:pPr>
      <w:r w:rsidRPr="00CE6334">
        <w:t>D.</w:t>
      </w:r>
      <w:r w:rsidRPr="00CE6334">
        <w:tab/>
        <w:t>der henviser til, at Albanien har været EU-kandidatland siden 2014, indledte tiltrædelsesforhandlinger i juli 2022 og afsluttede screeningsprocessen med succes i november 2023;</w:t>
      </w:r>
    </w:p>
    <w:p w14:paraId="11D34FAC" w14:textId="7C7EF43D" w:rsidR="00CC1B2F" w:rsidRPr="00CE6334" w:rsidRDefault="00CC1B2F" w:rsidP="00CC1B2F">
      <w:pPr>
        <w:pStyle w:val="NormalHanging12a"/>
      </w:pPr>
      <w:r w:rsidRPr="00CE6334">
        <w:t>E.</w:t>
      </w:r>
      <w:r w:rsidRPr="00CE6334">
        <w:tab/>
        <w:t>der henviser til, at Albanien indledte forhandlinger om "klynge 1: grundprincipper" den 15. oktober 2024</w:t>
      </w:r>
      <w:r w:rsidR="003E0D35">
        <w:t>,</w:t>
      </w:r>
      <w:r w:rsidRPr="00CE6334">
        <w:t xml:space="preserve"> om "klynge 6: eksterne forbindelser" den 17. december 2024</w:t>
      </w:r>
      <w:r w:rsidR="003E0D35">
        <w:t xml:space="preserve">, </w:t>
      </w:r>
      <w:r w:rsidR="003E0D35" w:rsidRPr="003E0D35">
        <w:t>om "klynge 2: det indre marked" den 14. april 2025 og om "klynge 3: konkurrenceevne og inklusiv vækst"</w:t>
      </w:r>
      <w:r w:rsidR="005F42B5">
        <w:t xml:space="preserve"> </w:t>
      </w:r>
      <w:r w:rsidR="003E0D35" w:rsidRPr="003E0D35">
        <w:t>den 22. maj 2025</w:t>
      </w:r>
      <w:r w:rsidRPr="00CE6334">
        <w:t>,</w:t>
      </w:r>
    </w:p>
    <w:p w14:paraId="72A435F3" w14:textId="77777777" w:rsidR="00CC1B2F" w:rsidRPr="00CE6334" w:rsidRDefault="00CC1B2F" w:rsidP="00CC1B2F">
      <w:pPr>
        <w:pStyle w:val="NormalHanging12a"/>
      </w:pPr>
      <w:r w:rsidRPr="00CE6334">
        <w:t>F.</w:t>
      </w:r>
      <w:r w:rsidRPr="00CE6334">
        <w:tab/>
        <w:t>der henviser til, at Albanien er en pålidelig udenrigspolitisk partner og er i fuld overensstemmelse med EU's fælles udenrigs- og sikkerhedspolitik;</w:t>
      </w:r>
    </w:p>
    <w:p w14:paraId="20B69B86" w14:textId="77777777" w:rsidR="00CC1B2F" w:rsidRPr="00CE6334" w:rsidRDefault="00CC1B2F" w:rsidP="00CC1B2F">
      <w:pPr>
        <w:pStyle w:val="NormalHanging12a"/>
        <w:rPr>
          <w:bCs/>
          <w:iCs/>
        </w:rPr>
      </w:pPr>
      <w:r w:rsidRPr="00CE6334">
        <w:t>G.</w:t>
      </w:r>
      <w:r w:rsidRPr="00CE6334">
        <w:tab/>
        <w:t xml:space="preserve">der henviser til, at Albanien har været mål for udenlandske ondsindede påvirkningskampagner, der har haft til formål at så splid, skabe spændinger og vold og destabilisere hele regionen, herunder russisk desinformation og indblanding i valg, samt tvivlsomme investeringer fra aktører uden for EU såsom Kina; der henviser til, at russiske og iranske cyberangreb mod Albanien i 2022 og 2023 forstyrrede kritiske regeringsfunktioner, hvilket illustrerer det miljø med hybride trusler, som Albanien står over for, efterhånden som landet nærmer sig EU-integration; </w:t>
      </w:r>
    </w:p>
    <w:p w14:paraId="18791B0E" w14:textId="77777777" w:rsidR="00CC1B2F" w:rsidRPr="00CE6334" w:rsidRDefault="00CC1B2F" w:rsidP="00CC1B2F">
      <w:pPr>
        <w:pStyle w:val="NormalHanging12a"/>
      </w:pPr>
      <w:r w:rsidRPr="00CE6334">
        <w:t>H.</w:t>
      </w:r>
      <w:r w:rsidRPr="00CE6334">
        <w:tab/>
        <w:t xml:space="preserve">der henviser til, at der fortsat er mangler i valgprocesserne og alvorlige sårbarheder i Albaniens valgsystem; der henviser til, at henstillingerne fra OSCE/ODIHR om yderligere at forbedre afholdelsen af valg i Albanien endnu ikke er blevet efterkommet til fulde; </w:t>
      </w:r>
    </w:p>
    <w:p w14:paraId="790FA47A" w14:textId="77777777" w:rsidR="00CC1B2F" w:rsidRPr="00CE6334" w:rsidRDefault="00CC1B2F" w:rsidP="00CC1B2F">
      <w:pPr>
        <w:pStyle w:val="NormalHanging12a"/>
        <w:rPr>
          <w:bCs/>
          <w:iCs/>
        </w:rPr>
      </w:pPr>
      <w:r w:rsidRPr="00CE6334">
        <w:t>I.</w:t>
      </w:r>
      <w:r w:rsidRPr="00CE6334">
        <w:tab/>
        <w:t>der henviser til, at Albanien deltager i EU's missioner og operationer under den fælles sikkerheds- og forsvarspolitik, herunder i EUFOR ALTHEA i Bosnien-Hercegovina;</w:t>
      </w:r>
    </w:p>
    <w:p w14:paraId="6825C598" w14:textId="77777777" w:rsidR="00CC1B2F" w:rsidRPr="00CE6334" w:rsidRDefault="00CC1B2F" w:rsidP="00CC1B2F">
      <w:pPr>
        <w:pStyle w:val="NormalHanging12a"/>
        <w:rPr>
          <w:bCs/>
          <w:iCs/>
        </w:rPr>
      </w:pPr>
      <w:r w:rsidRPr="00CE6334">
        <w:t>J.</w:t>
      </w:r>
      <w:r w:rsidRPr="00CE6334">
        <w:tab/>
        <w:t xml:space="preserve">der henviser til, at beskyttelsen af nationale og etniske mindretal er afgørende for lande, der ønsker optagelse i EU; der henviser til, at gennemførelseslovgivningen om selvidentificering og brugen af mindretalssprog er blevet vedtaget i Albanien; </w:t>
      </w:r>
    </w:p>
    <w:p w14:paraId="0C1A3A01" w14:textId="77777777" w:rsidR="00CC1B2F" w:rsidRPr="00CE6334" w:rsidRDefault="00CC1B2F" w:rsidP="00CC1B2F">
      <w:pPr>
        <w:pStyle w:val="NormalHanging12a"/>
        <w:rPr>
          <w:bCs/>
          <w:iCs/>
        </w:rPr>
      </w:pPr>
      <w:r w:rsidRPr="00CE6334">
        <w:t>K.</w:t>
      </w:r>
      <w:r w:rsidRPr="00CE6334">
        <w:tab/>
        <w:t>der henviser til, at den russiske angrebskrig mod Ukraine fremhæver den afgørende betydning af EU's udvidelse for at sikre sikkerhed og stabilitet på vores kontinent;</w:t>
      </w:r>
    </w:p>
    <w:p w14:paraId="652FED69" w14:textId="77777777" w:rsidR="00CC1B2F" w:rsidRPr="00CE6334" w:rsidRDefault="00CC1B2F" w:rsidP="00CC1B2F">
      <w:pPr>
        <w:pStyle w:val="NormalHanging12a"/>
      </w:pPr>
      <w:r w:rsidRPr="00CE6334">
        <w:t>1.</w:t>
      </w:r>
      <w:r w:rsidRPr="00CE6334">
        <w:tab/>
        <w:t>glæder sig over Albaniens urokkelige engagement i EU-integration, der afspejler konsensus blandt alle de politiske partier, både i regeringen og i oppositionen, og overvældende støtte blandt borgerne, og roser landets konsekvente fulde tilpasning til EU's fælles udenrigs- og sikkerhedspolitik og fremme af den regelbaserede internationale orden, herunder dets kategoriske reaktion på den russiske angrebskrig mod Ukraine gennem dets tilpasning til EU's restriktive foranstaltninger over for Rusland og Belarus; anerkender landets aktive rolle i regionen og i regionale initiativer;</w:t>
      </w:r>
    </w:p>
    <w:p w14:paraId="7AB3C60F" w14:textId="66B64C85" w:rsidR="00CC1B2F" w:rsidRPr="00CE6334" w:rsidRDefault="00CC1B2F" w:rsidP="00CC1B2F">
      <w:pPr>
        <w:pStyle w:val="NormalHanging12a"/>
      </w:pPr>
      <w:r w:rsidRPr="00CE6334">
        <w:t>2.</w:t>
      </w:r>
      <w:r w:rsidRPr="00CE6334">
        <w:tab/>
        <w:t>glæder sig over Albaniens ambition om at afslutte tiltrædelsesforhandlingerne inden udgangen af 2027 og de hurtige fremskridt, der er gjort i de seneste år, navnlig åbningen af to klynger af forhandlingskapitler i 2024</w:t>
      </w:r>
      <w:r w:rsidR="003E0D35">
        <w:t xml:space="preserve"> </w:t>
      </w:r>
      <w:r w:rsidR="003E0D35" w:rsidRPr="003E0D35">
        <w:t>og yderligere to klynger indtil videre i 2025</w:t>
      </w:r>
      <w:r w:rsidRPr="00CE6334">
        <w:t>; minder om, at kandidatlandene gennemgår dybtgående forandringer for at opfylde kriterierne for medlemskab under tiltrædelsesforhandlingerne, som varer, så længe det tager at gennemføre de nødvendige reformer; understreger behovet for at styrke gennemsigtigheden, ansvarligheden og inklusiviteten i tiltrædelsesprocessen, herunder dens parlamentariske dimension; advarer mod handlinger, der kan underminere magtadskillelsen;</w:t>
      </w:r>
    </w:p>
    <w:p w14:paraId="5DC22363" w14:textId="77777777" w:rsidR="00CC1B2F" w:rsidRPr="00CE6334" w:rsidRDefault="00CC1B2F" w:rsidP="00CC1B2F">
      <w:pPr>
        <w:pStyle w:val="NormalHanging12a"/>
      </w:pPr>
      <w:r w:rsidRPr="00CE6334">
        <w:t>3.</w:t>
      </w:r>
      <w:r w:rsidRPr="00CE6334">
        <w:tab/>
        <w:t>bemærker, at tempoet i EU-tiltrædelsen bestemmes af kandidatlandets fremskridt med hensyn til tilpasning til gældende EU-ret, dets resultater med hensyn til gennemførelsen heraf og den korrekte funktion af alle landets institutioner og er baseret på retsstatsprincippet, god regeringsførelse og grundlæggende rettigheder; opfordrer indtrængende Albanien til at fremskynde reformer for at styrke retsstatsprincippet og økonomisk vækst, bekæmpe korruption og organiseret kriminalitet, forebygge menneskehandel, sikre beskyttelsen af de grundlæggende rettigheder og gøre fremskridt inden for ytringsfrihed, informationsfrihed og mediepluralisme og -uafhængighed;</w:t>
      </w:r>
    </w:p>
    <w:p w14:paraId="7BD46334" w14:textId="77777777" w:rsidR="00CC1B2F" w:rsidRPr="00CE6334" w:rsidRDefault="00CC1B2F" w:rsidP="00CC1B2F">
      <w:pPr>
        <w:pStyle w:val="NormalHanging12a"/>
      </w:pPr>
      <w:r w:rsidRPr="00CE6334">
        <w:t>4.</w:t>
      </w:r>
      <w:r w:rsidRPr="00CE6334">
        <w:tab/>
        <w:t>glæder sig over EU's nye reform- og vækstfacilitet for Vestbalkan, hvorigennem der vil blive ydet 922 mio. EUR i tilskud og lån til Albanien, når landet opfylder betingelserne i sin ambitiøse reformdagsorden;</w:t>
      </w:r>
    </w:p>
    <w:p w14:paraId="1DEEC4B8" w14:textId="77777777" w:rsidR="00CC1B2F" w:rsidRPr="00CE6334" w:rsidRDefault="00CC1B2F" w:rsidP="00CC1B2F">
      <w:pPr>
        <w:pStyle w:val="NormalHanging12a"/>
      </w:pPr>
      <w:r w:rsidRPr="00CE6334">
        <w:t>5.</w:t>
      </w:r>
      <w:r w:rsidRPr="00CE6334">
        <w:tab/>
        <w:t>noterer sig Albaniens vedtagelse af den nationale plan for europæisk integration 2024-2026; glæder sig over, at Albanien har oprettet de organer, der er ansvarlige for integrationsprocessen;</w:t>
      </w:r>
      <w:r w:rsidRPr="00CE6334">
        <w:rPr>
          <w:b/>
          <w:i/>
        </w:rPr>
        <w:t xml:space="preserve"> </w:t>
      </w:r>
      <w:r w:rsidRPr="00CE6334">
        <w:t>efterlyser en større indsats for at øge gennemsigtigheden og engagere sig i offentlig kommunikation om EU-integration;</w:t>
      </w:r>
    </w:p>
    <w:p w14:paraId="6BFD8003" w14:textId="77777777" w:rsidR="00CC1B2F" w:rsidRPr="00CE6334" w:rsidRDefault="00CC1B2F" w:rsidP="00CC1B2F">
      <w:pPr>
        <w:pStyle w:val="NormalHanging12a"/>
        <w:rPr>
          <w:bCs/>
          <w:iCs/>
        </w:rPr>
      </w:pPr>
      <w:r w:rsidRPr="00CE6334">
        <w:t>6.</w:t>
      </w:r>
      <w:r w:rsidRPr="00CE6334">
        <w:tab/>
        <w:t xml:space="preserve">glæder sig over beslutningen om at åbne Europa-Parlamentets lokalkontor for Vestbalkan i Tirana; bemærker, at kontoret vil fungere som et centralt kontaktpunkt mellem Europa-Parlamentet og nationale parlamenter, civilsamfundet og lokale partnere fra hele den vestlige Balkanregion;  </w:t>
      </w:r>
    </w:p>
    <w:p w14:paraId="7724E3A1" w14:textId="77777777" w:rsidR="00CC1B2F" w:rsidRPr="00CE6334" w:rsidRDefault="00CC1B2F" w:rsidP="00CC1B2F">
      <w:pPr>
        <w:pStyle w:val="NormalHanging12a"/>
        <w:rPr>
          <w:bCs/>
          <w:iCs/>
        </w:rPr>
      </w:pPr>
      <w:r w:rsidRPr="00CE6334">
        <w:t>7.</w:t>
      </w:r>
      <w:r w:rsidRPr="00CE6334">
        <w:tab/>
        <w:t>glæder sig over inddragelsen af 18 albanske deltagere i initiativet vedrørende medlemmer fra kandidatlande, som er lanceret af Det Europæiske Økonomiske og Social Udvalg og har til formål at fremme tættere forbindelser med kandidatlandene og lette deres gradvise integration i EU;</w:t>
      </w:r>
    </w:p>
    <w:p w14:paraId="5D3D9118" w14:textId="77777777" w:rsidR="00CC1B2F" w:rsidRPr="00CE6334" w:rsidRDefault="00CC1B2F" w:rsidP="00CC1B2F">
      <w:pPr>
        <w:pStyle w:val="NormalHanging12a"/>
        <w:rPr>
          <w:b/>
          <w:i/>
        </w:rPr>
      </w:pPr>
      <w:r w:rsidRPr="00CE6334">
        <w:rPr>
          <w:b/>
          <w:i/>
        </w:rPr>
        <w:t>Demokratiske institutioner, medier og civilsamfundet</w:t>
      </w:r>
    </w:p>
    <w:p w14:paraId="1DF43E6E" w14:textId="77777777" w:rsidR="00CC1B2F" w:rsidRPr="00CE6334" w:rsidRDefault="00CC1B2F" w:rsidP="00CC1B2F">
      <w:pPr>
        <w:pStyle w:val="NormalHanging12a"/>
      </w:pPr>
      <w:r w:rsidRPr="00CE6334">
        <w:t>8.</w:t>
      </w:r>
      <w:r w:rsidRPr="00CE6334">
        <w:tab/>
        <w:t>insisterer på vigtigheden af konstruktiv politisk debat og ordentlig parlamentarisk adfærd som centrale aspekter af demokratisk regeringsførelse; bekræfter på ny Albaniens politiske kræfters fælles ansvar for at styrke en konstruktiv og inklusiv politisk dialog og overvinde den igangværende store politiske polarisering i landet; beklager de fortsatte konfrontationer og den opildnende retorik fra politikere fra alle partier og sammenstødene mellem det regerende flertal og oppositionen; understreger behovet for at fremme en politisk kultur baseret på gensidig respekt og overholdelse af demokratiske normer og sikre, at politisk konkurrence ikke underminerer den institutionelle stabilitet, og for at udvise fuld respekt for parlamentarismens rolle ved at sætte en stopper for politiske angreb; opfordrer til en reel dialog for at fremme politisk stabilitet og fremskridt og understreger behovet for tværpolitisk konsensus om EU's integrationsdagsorden og en meningsfuld inddragelse af civilsamfundet; understreger behovet for en mere effektiv parlamentarisk kontrol</w:t>
      </w:r>
      <w:r w:rsidRPr="00CE6334">
        <w:rPr>
          <w:b/>
          <w:i/>
        </w:rPr>
        <w:t xml:space="preserve"> </w:t>
      </w:r>
      <w:r w:rsidRPr="00CE6334">
        <w:t>og bedre fungerende institutioner;</w:t>
      </w:r>
    </w:p>
    <w:p w14:paraId="3E0BCD57" w14:textId="77777777" w:rsidR="00CC1B2F" w:rsidRPr="00CE6334" w:rsidRDefault="00CC1B2F" w:rsidP="00CC1B2F">
      <w:pPr>
        <w:pStyle w:val="NormalHanging12a"/>
        <w:rPr>
          <w:bCs/>
          <w:iCs/>
        </w:rPr>
      </w:pPr>
      <w:r w:rsidRPr="00CE6334">
        <w:t>9.</w:t>
      </w:r>
      <w:r w:rsidRPr="00CE6334">
        <w:tab/>
        <w:t xml:space="preserve">anerkender den voksende trussel om udenlandsk ondsindet indflydelse og hybrid indblanding i Albaniens demokratiske institutioner; fremhæver, at fortællinger, som er tro mod Kremls verdensbillede, har haft til formål at udhule offentlighedens tillid til de demokratiske institutioner og fremme antivestlige følelser; opfordrer Albanien til at styrke den institutionelle modstandsdygtighed over for skjult politisk finansiering, mediemanipulation og cybertrusler, som direkte påvirker landets EU-tiltrædelsesproces; opfordrer EU-institutionerne til nøje at overvåge Albaniens eksponering for udenlandsk ondsindet indflydelse; </w:t>
      </w:r>
    </w:p>
    <w:p w14:paraId="65D1521A" w14:textId="77777777" w:rsidR="00CC1B2F" w:rsidRPr="00CE6334" w:rsidRDefault="00CC1B2F" w:rsidP="00CC1B2F">
      <w:pPr>
        <w:pStyle w:val="NormalHanging12a"/>
        <w:rPr>
          <w:bCs/>
          <w:iCs/>
        </w:rPr>
      </w:pPr>
      <w:r w:rsidRPr="00CE6334">
        <w:t>10.</w:t>
      </w:r>
      <w:r w:rsidRPr="00CE6334">
        <w:tab/>
        <w:t xml:space="preserve">glæder sig over Albaniens blokering af russiske desinformationsdomæner, men understreger behovet for en koordineret EU-albansk desinformationsresponsmekanisme, der er baseret på EUvsDisinfo-platformen, for hurtigt at afsløre og modvirke Kremls fortællinger; går ind for øget regionalt samarbejde mellem landene på Vestbalkan for at udveksle bedste praksis og udvikle fælles strategier til bekæmpelse af desinformation og udenlandsk indblanding; advarer om, at kinesiske statsstøttede medier får stadig større indflydelse i Albanien; </w:t>
      </w:r>
    </w:p>
    <w:p w14:paraId="2A47A4EF" w14:textId="77777777" w:rsidR="00CC1B2F" w:rsidRPr="00CE6334" w:rsidRDefault="00CC1B2F" w:rsidP="00CC1B2F">
      <w:pPr>
        <w:pStyle w:val="NormalHanging12a"/>
        <w:rPr>
          <w:bCs/>
          <w:iCs/>
        </w:rPr>
      </w:pPr>
      <w:r w:rsidRPr="00CE6334">
        <w:t>11.</w:t>
      </w:r>
      <w:r w:rsidRPr="00CE6334">
        <w:tab/>
        <w:t xml:space="preserve">understreger det albanske parlaments pligt til straks at efterkomme forfatningsdomstolens afgørelser; understreger parlamentets grundlæggende og uerstattelige rolle med hensyn til at sikre magtadskillelsen; opfordrer Albanien til at sikre reel demokratisk ansvarlighed og en stærkere og mere gennemsigtig regeringsførelse; </w:t>
      </w:r>
    </w:p>
    <w:p w14:paraId="198F3779" w14:textId="2440DB0B" w:rsidR="00CC1B2F" w:rsidRPr="00CE6334" w:rsidRDefault="00CC1B2F" w:rsidP="00CC1B2F">
      <w:pPr>
        <w:pStyle w:val="NormalHanging12a"/>
      </w:pPr>
      <w:r w:rsidRPr="00CE6334">
        <w:t>12.</w:t>
      </w:r>
      <w:r w:rsidRPr="00CE6334">
        <w:tab/>
        <w:t xml:space="preserve">noterer sig ændringerne af Albaniens valglov i juli 2024, som gør det muligt for den albanske diaspora at stemme uden for landet og indfører delvist åbne kandidatlister; noterer sig parlamentsvalget den 11. maj 2025 og understreger, at valget ifølge de foreløbige konklusioner fra OSCE/ODIHR var konkurrencepræget og blev afholdt på professionel vis, men fandt sted i et stærkt polariseret miljø, og at kandidaterne ikke havde lige vilkår; udtrykker bekymring over, at regeringspartiet nød godt af den udbredte anvendelse af administrative ressourcer; </w:t>
      </w:r>
      <w:r w:rsidR="003E0D35" w:rsidRPr="003E0D35">
        <w:t xml:space="preserve">bemærker, at den endelige rapport fra OSCE/ODIHR, som vil omfatte den endelige vurdering og de henstillinger, der skal gennemføres, forventes at blive offentliggjort i løbet af de kommende måneder; </w:t>
      </w:r>
      <w:r w:rsidRPr="00CE6334">
        <w:t>opfordrer alle partier til at udvise politisk vilje til en omfattende og inklusiv valgreform med henblik på at gennemføre alle</w:t>
      </w:r>
      <w:r w:rsidRPr="00CE6334">
        <w:rPr>
          <w:b/>
          <w:i/>
        </w:rPr>
        <w:t xml:space="preserve"> </w:t>
      </w:r>
      <w:r w:rsidRPr="00CE6334">
        <w:t>henstillinger fra OSCE/ODIHR og Venedigkommissionen fuldt ud og rettidigt, herunder henstillingerne om rammerne for valg- og partifinansiering;</w:t>
      </w:r>
    </w:p>
    <w:p w14:paraId="264FDDD9" w14:textId="77777777" w:rsidR="00CC1B2F" w:rsidRPr="00CE6334" w:rsidRDefault="00CC1B2F" w:rsidP="00CC1B2F">
      <w:pPr>
        <w:pStyle w:val="NormalHanging12a"/>
        <w:rPr>
          <w:bCs/>
          <w:iCs/>
        </w:rPr>
      </w:pPr>
      <w:r w:rsidRPr="00CE6334">
        <w:t>13.</w:t>
      </w:r>
      <w:r w:rsidRPr="00CE6334">
        <w:tab/>
        <w:t xml:space="preserve">beklager, at miljøet for frie medier og uafhængige journalister er blevet svækket i de seneste år; bemærker med bekymring, at mediernes uafhængighed og pluralisme i Albanien fortsat påvirkes af en høj markedskoncentration, overlapning af forretningsmæssige og politiske interesser, manglende gennemsigtighed med hensyn til finansiering og ejerskab, intimidering og usikre arbejdsvilkår for journalister; bemærker, at Albanien ligger på en 99. plads i det globale pressefrihedsindeks 2024 fra Journalister uden Grænser, hvilket afspejler aktuelle problemer vedrørende medieejerskabskoncentration, politisk indblanding og trusler mod journalister; fremhæver, at manglen på gennemsigtighed i mediefinansiering og ejerskabsstrukturer øger risikoen for redaktionel partiskhed og udbredelse af udenlandsk propaganda og underminerer offentlighedens tillid til journalistik; opfordrer de albanske myndigheder til at sikre gennemsigtighed i medieejerskab og håndhæve en nultolerancepolitik over for intimidering af journalister; opfordrer den albanske regering til at støtte uafhængige faktatjekplatforme som et middel til at sikre offentlig adgang til nøjagtige oplysninger og til at opretholde informationsrummets integritet; </w:t>
      </w:r>
    </w:p>
    <w:p w14:paraId="60FE8CD8" w14:textId="77777777" w:rsidR="00CC1B2F" w:rsidRPr="00CE6334" w:rsidRDefault="00CC1B2F" w:rsidP="00CC1B2F">
      <w:pPr>
        <w:pStyle w:val="NormalHanging12a"/>
        <w:rPr>
          <w:bCs/>
          <w:iCs/>
        </w:rPr>
      </w:pPr>
      <w:r w:rsidRPr="00CE6334">
        <w:t>14.</w:t>
      </w:r>
      <w:r w:rsidRPr="00CE6334">
        <w:tab/>
        <w:t>minder om, at enhver revision af medielovgivningen bør være i overensstemmelse med Venedigkommissionens henstillinger og bør finde sted på en gennemsigtig og inklusiv måde i samråd med medieorganisationer med det formål at forbedre mediefriheden og selvregulering; glæder sig over den platform til fremme af beskyttelsen af journalistik og journalisters sikkerhed, som Europarådet har lanceret sammen med EU og et netværk af fremtrædende pressefrihedsorganisationer; beklager,</w:t>
      </w:r>
      <w:r w:rsidRPr="00CE6334">
        <w:rPr>
          <w:b/>
          <w:i/>
        </w:rPr>
        <w:t xml:space="preserve"> </w:t>
      </w:r>
      <w:r w:rsidRPr="00CE6334">
        <w:t>at der ikke er gjort fremskridt med hensyn til at tilpasse den lovgivningsmæssige ramme til gældende EU-ret og EU-standarder, herunder den europæiske forordning om mediefrihed</w:t>
      </w:r>
      <w:r w:rsidRPr="00BE519A">
        <w:rPr>
          <w:rStyle w:val="FootnoteReference"/>
        </w:rPr>
        <w:footnoteReference w:id="4"/>
      </w:r>
      <w:r w:rsidRPr="00BE519A">
        <w:t>; minder om behovet for at styrke undersøgende journalistik, faktatjek og mediekendskab og bekæmpe hadefuld tale, desinformation og falske nyheder; udtrykker bekymring over den vedvarende opildnende mediefjendtlige retorik, herunder fra højtstående politikere, offentligt ansatte og an</w:t>
      </w:r>
      <w:r w:rsidRPr="00CE6334">
        <w:t>dre offentlige personer, som fremmer intimideringskulturen; fordømmer på det kraftigste de stadig mere udbredte tilfælde af verbale angreb mod journalister, der beretter om retsstats- og korruptionsspørgsmål, samt kvindefjendtlig chikane på internettet rettet mod kvindelige journalister, smædekampagner, vold og optøjer og opfordrer til, at der sikres en endelig domfældelse af de ansvarlige; beklager, at straffeloven ikke beskytter journalister mod trusler og vold, og opfordrer myndighederne til at indføre en retlig ramme, der effektivt beskytter journalister, menneskerettighedsforkæmpere, miljøaktivister og andre berørte parter mod den stigende forekomst af strategiske retssager mod offentligt engagement (SLAPP'er), til at afkriminalisere ærekrænkelse og til at respektere den uafhængige journalistiks rolle som en afgørende magtkontrol og til at samarbejde med medierne på en måde, der respekterer de demokratiske principper;</w:t>
      </w:r>
    </w:p>
    <w:p w14:paraId="206E3175" w14:textId="77777777" w:rsidR="00CC1B2F" w:rsidRPr="00CE6334" w:rsidRDefault="00CC1B2F" w:rsidP="00CC1B2F">
      <w:pPr>
        <w:pStyle w:val="NormalHanging12a"/>
      </w:pPr>
      <w:r w:rsidRPr="00CE6334">
        <w:t>15.</w:t>
      </w:r>
      <w:r w:rsidRPr="00CE6334">
        <w:tab/>
        <w:t>minder om de nationale og lokale myndigheders ansvar for at forbedre gennemsigtigheden, ansvarligheden og inklusiviteten ved at gennemføre meningsfulde og regelmæssige offentlige høringer af interessenter; bemærker med bekymring, at det albanske parlaments gennemførelse af den retlige ramme for offentlige høringer fortsat er af overvejende formel karakter; understreger behovet for større gennemsigtighed med hensyn til offentlige data og vigtige lovgivningsprojekter; insisterer på, at de lokale myndigheders finansielle ressourcer, administrative kapacitet og skattemæssige autonomi bør forbedres;</w:t>
      </w:r>
    </w:p>
    <w:p w14:paraId="3E6C1A10" w14:textId="77777777" w:rsidR="00CC1B2F" w:rsidRPr="00CE6334" w:rsidRDefault="00CC1B2F" w:rsidP="00CC1B2F">
      <w:pPr>
        <w:pStyle w:val="NormalHanging12a"/>
        <w:rPr>
          <w:bCs/>
          <w:iCs/>
        </w:rPr>
      </w:pPr>
      <w:r w:rsidRPr="00CE6334">
        <w:t>16.</w:t>
      </w:r>
      <w:r w:rsidRPr="00CE6334">
        <w:tab/>
        <w:t>glæder sig over Albaniens dynamiske og konstruktive civilsamfund, som spiller en afgørende og positiv rolle i reformprocessen; glæder sig over den forbedrede valgovervågning og den øgede inddragelse af civilsamfundet i tilsynet med den demokratiske proces; understreger, at civilsamfundet er afgørende for at fremme demokrati og pluralisme samt god forvaltningspraksis og sociale fremskridt; opfordrer den albanske regering til at styrke civilsamfundets, herunder kvinderettighedsorganisationers, rolle i EU-tiltrædelsesprocessen fra et tidligt tidspunkt og i en gennemsigtig lovgivningsproces; beklager, at civilsamfundsorganisationerne arbejder i et vanskeligt miljø og modtager begrænset offentlig finansiering; insisterer på, at grundlaget for et effektivt momsfritagelsessystem skal fastlægges i overensstemmelse med de forpligtelser, som Albanien har indgået i henhold til samarbejdsaftalen mellem EU og Albanien og IPA III; opfordrer indtrængende myndighederne til at fremskynde udarbejdelsen af 2024-2027-køreplanen for regeringens politik hen imod et mere gunstigt miljø for civilsamfundets udvikling og til nøje at overvåge gennemførelsen af denne køreplan;</w:t>
      </w:r>
    </w:p>
    <w:p w14:paraId="5430B95E" w14:textId="77777777" w:rsidR="00CC1B2F" w:rsidRPr="00CE6334" w:rsidRDefault="00CC1B2F" w:rsidP="00CE6334">
      <w:pPr>
        <w:spacing w:after="240"/>
        <w:ind w:left="567" w:hanging="567"/>
      </w:pPr>
      <w:r w:rsidRPr="00CE6334">
        <w:t>17.</w:t>
      </w:r>
      <w:r w:rsidRPr="00CE6334">
        <w:tab/>
        <w:t>glæder sig over oprettelsen af den nye post som minister for offentlig forvaltning og bekæmpelse af korruption og understreger vigtigheden af dens effektivitet og af at gennemføre reformer af den offentlige forvaltning og inden for korruptionsbekæmpelse; er dog fortsat bekymret over, at der er gjort begrænsede fremskridt med reformen af den offentlige forvaltning; insisterer på, at de albanske myndigheder effektivt skal gennemføre bestemmelser om meritbaseret rekruttering og gennemgå effektiviteten af de nuværende overvågningsstrukturer for de nye reformer vedrørende offentlig forvaltning og bekæmpelse af korruption; understreger behovet for at fremme en kultur med ansvarlighed, upartisk adgang til offentlig information og kontrol med offentlige institutioner, herunder med hensyn til gennemførelsen af reformdagsordenen; bemærker, at offentlige enheder er nødt til blive bedre til at overholde gennemsigtighedskrav og reagere på anmodninger om oplysninger;</w:t>
      </w:r>
    </w:p>
    <w:p w14:paraId="6C443804" w14:textId="77777777" w:rsidR="00CC1B2F" w:rsidRPr="00CE6334" w:rsidRDefault="00CC1B2F" w:rsidP="00CC1B2F">
      <w:pPr>
        <w:pStyle w:val="NormalHanging12a"/>
        <w:rPr>
          <w:bCs/>
          <w:iCs/>
        </w:rPr>
      </w:pPr>
      <w:r w:rsidRPr="00CE6334">
        <w:t>18.</w:t>
      </w:r>
      <w:r w:rsidRPr="00CE6334">
        <w:tab/>
        <w:t xml:space="preserve">beklager, at der er gjort begrænsede fremskridt med hensyn til at tilpasse den retlige ramme for offentlige udbud til gældende EU-ret; udtrykker bekymring over de nyligt indførte midlertidige undtagelser i lovgivningen om offentlige udbud; opfordrer de albanske myndigheder til at forbedre udbudsprocedurerne i overensstemmelse med gældende EU-ret; </w:t>
      </w:r>
    </w:p>
    <w:p w14:paraId="1025EEBD" w14:textId="77777777" w:rsidR="00CC1B2F" w:rsidRPr="00CE6334" w:rsidRDefault="00CC1B2F" w:rsidP="00CC1B2F">
      <w:pPr>
        <w:pStyle w:val="NormalHanging12a"/>
        <w:rPr>
          <w:bCs/>
          <w:iCs/>
        </w:rPr>
      </w:pPr>
      <w:r w:rsidRPr="00CE6334">
        <w:t>19.</w:t>
      </w:r>
      <w:r w:rsidRPr="00CE6334">
        <w:tab/>
        <w:t xml:space="preserve">glæder sig over Albaniens fremskridt med hensyn til at forbedre indberetningen af data til Eurostat; </w:t>
      </w:r>
    </w:p>
    <w:p w14:paraId="1A4470C0" w14:textId="77777777" w:rsidR="00CC1B2F" w:rsidRPr="00CE6334" w:rsidRDefault="00CC1B2F" w:rsidP="00CC1B2F">
      <w:pPr>
        <w:pStyle w:val="NormalHanging12a"/>
        <w:rPr>
          <w:b/>
          <w:i/>
        </w:rPr>
      </w:pPr>
      <w:r w:rsidRPr="00CE6334">
        <w:rPr>
          <w:b/>
          <w:i/>
        </w:rPr>
        <w:t>Grundlæggende rettigheder</w:t>
      </w:r>
    </w:p>
    <w:p w14:paraId="4EA6300B" w14:textId="77777777" w:rsidR="00CC1B2F" w:rsidRPr="00CE6334" w:rsidRDefault="00CC1B2F" w:rsidP="00CC1B2F">
      <w:pPr>
        <w:pStyle w:val="NormalHanging12a"/>
        <w:rPr>
          <w:bCs/>
          <w:iCs/>
        </w:rPr>
      </w:pPr>
      <w:r w:rsidRPr="00CE6334">
        <w:t>20.</w:t>
      </w:r>
      <w:r w:rsidRPr="00CE6334">
        <w:tab/>
        <w:t>bemærker, at Albaniens retlige ramme for kønsbaseret vold endnu ikke er i fuld overensstemmelse med Istanbulkonventionen; udtrykker alvorlig bekymring over, at vold mod kvinder fortsat er et presserende problem, og at antallet af kvindedrab fortsat er højt; bifalder ombudsmandens indførelse af et initiativ til overvågning af kvindedrab;</w:t>
      </w:r>
      <w:r w:rsidRPr="00CE6334">
        <w:rPr>
          <w:b/>
          <w:i/>
        </w:rPr>
        <w:t xml:space="preserve"> </w:t>
      </w:r>
      <w:r w:rsidRPr="00CE6334">
        <w:t>opfordrer indtrængende til at forbedre støttetjenesterne for ofre, navnlig sundhedspleje, boligstøtte, gratis retshjælp og reintegration og rehabilitering af ofre; understreger behovet for, at der gives øget finansiel og institutionel støtte til forebyggelsesprogrammer, offentlige oplysningskampagner og specialuddannelse for retshåndhævende og retslige myndigheder for at sikre en offercentreret tilgang;</w:t>
      </w:r>
    </w:p>
    <w:p w14:paraId="588DFBF9" w14:textId="77777777" w:rsidR="00CC1B2F" w:rsidRPr="00CE6334" w:rsidRDefault="00CC1B2F" w:rsidP="00CC1B2F">
      <w:pPr>
        <w:pStyle w:val="NormalHanging12a"/>
        <w:rPr>
          <w:bCs/>
          <w:iCs/>
        </w:rPr>
      </w:pPr>
      <w:r w:rsidRPr="00CE6334">
        <w:t>21.</w:t>
      </w:r>
      <w:r w:rsidRPr="00CE6334">
        <w:tab/>
        <w:t>udtrykker bekymring over vedvarende mangler, eksempelvis manglende tilpasning eller delvis tilpasning til gældende EU-ret, når det gælder personer med handicap og ligestilling mellem kønnene; anerkender behovet for, at Albanien fuldt ud tilpasser sin retlige ramme for kønsbestemt vold til Istanbulkonventionen; bemærker, at Albanien ifølge Det Verdensøkonomiske Forums rapport om kønsforskelle i verden 2024 er faldet seks pladser til en 23. plads på verdensplan, hvilket indikerer en voksende kønsforskel; udtrykker alvorlig bekymring over, at vold mod kvinder fortsat er et presserende problem, og at antallet af kvindedrab fortsat er højt; opfordrer til en fuldstændig og effektiv gennemførelse af eksisterende lovgivning, herunder strengere håndhævelse af beskyttelsesforanstaltninger og øget retslig lydhørhed over for sager om kønsbestemt vold som fremhævet i Kommissionens rapport om Albanien for 2024;</w:t>
      </w:r>
    </w:p>
    <w:p w14:paraId="5A086176" w14:textId="248C6835" w:rsidR="00CC1B2F" w:rsidRDefault="00CC1B2F" w:rsidP="00CC1B2F">
      <w:pPr>
        <w:pStyle w:val="NormalHanging12a"/>
      </w:pPr>
      <w:r w:rsidRPr="00CE6334">
        <w:t>22.</w:t>
      </w:r>
      <w:r w:rsidRPr="00CE6334">
        <w:tab/>
        <w:t xml:space="preserve">glæder sig over vedtagelsen af en ny og bedre finansieret national handlingsplan for LGBTI+-personer; beklager dog, at der ikke er gjort fremskridt med hensyn til at tage initiativ til den nødvendige lovgivning på dette område, og opfordrer myndighederne til at vedtage den nødvendige lovgivning om anerkendelse af kønsidentitet og kønskarakteristika samt om partnerskaber/ægteskaber mellem personer af samme køn; beklager, at LGBTI+-personer fortsat er mål for trusler og nedsættende mediekampagner, hvor offentlige institutioner ikke yder tilstrækkelig beskyttelse; bemærker, at kvinder, der bor i landdistrikter og fjerntliggende områder, romakvinder og egyptiske kvinder og LGBTI+-personer fortsat har begrænset adgang til primær sundhedspleje; opfordrer indtrængende de offentlige institutioner til at udvise et stærkt engagement med hensyn til at beskytte LGBTI+-rettigheder og til at træde beslutsomt op mod diskriminerende og hadefuld tale mod LGBTI+-samfundet; </w:t>
      </w:r>
    </w:p>
    <w:p w14:paraId="39867C2A" w14:textId="2D6CD507" w:rsidR="006B7E19" w:rsidRPr="00CE6334" w:rsidRDefault="006B7E19" w:rsidP="00CC1B2F">
      <w:pPr>
        <w:pStyle w:val="NormalHanging12a"/>
        <w:rPr>
          <w:bCs/>
          <w:iCs/>
        </w:rPr>
      </w:pPr>
      <w:r>
        <w:rPr>
          <w:bCs/>
          <w:iCs/>
        </w:rPr>
        <w:t>23</w:t>
      </w:r>
      <w:r w:rsidRPr="006B7E19">
        <w:rPr>
          <w:bCs/>
          <w:iCs/>
        </w:rPr>
        <w:t>.</w:t>
      </w:r>
      <w:r w:rsidRPr="006B7E19">
        <w:rPr>
          <w:bCs/>
          <w:iCs/>
        </w:rPr>
        <w:tab/>
        <w:t>opfordrer Albanien til fuldt ud at respektere Albaniens ortodokse autokefale kirkes selvstændighed og afholde sig fra enhver handling, der underminerer dens religi</w:t>
      </w:r>
      <w:r w:rsidR="005F42B5">
        <w:rPr>
          <w:bCs/>
          <w:iCs/>
        </w:rPr>
        <w:t>øse ytrings</w:t>
      </w:r>
      <w:r w:rsidRPr="006B7E19">
        <w:rPr>
          <w:bCs/>
          <w:iCs/>
        </w:rPr>
        <w:t>frihed eller dens ejendomsret; opfordrer til, at der sættes en stopper for indblanding i kirkelige udnævnelser, og til dialog med religiøse autoriteter for at sikre religiøs pluralisme;</w:t>
      </w:r>
    </w:p>
    <w:p w14:paraId="0E8FDC30" w14:textId="6B096E6A" w:rsidR="00CC1B2F" w:rsidRDefault="0030202A" w:rsidP="00CE6334">
      <w:pPr>
        <w:spacing w:after="240"/>
        <w:ind w:left="567" w:hanging="567"/>
      </w:pPr>
      <w:r>
        <w:t>24</w:t>
      </w:r>
      <w:r w:rsidR="00CC1B2F" w:rsidRPr="00CE6334">
        <w:t>.</w:t>
      </w:r>
      <w:r w:rsidR="00CC1B2F" w:rsidRPr="00CE6334">
        <w:tab/>
        <w:t>glæder sig over vedtagelsen af den verserende gennemførelseslovgivning om rettigheder for personer, der tilhører mindretal, navnlig om selvidentificering og brug af mindretalssprog</w:t>
      </w:r>
      <w:r w:rsidR="008F0B2A" w:rsidRPr="008F0B2A">
        <w:t>, herunder på lokalt selvstyreplan</w:t>
      </w:r>
      <w:r w:rsidR="00CC1B2F" w:rsidRPr="00CE6334">
        <w:t xml:space="preserve">, og understreger, at disse vedtægter skal gennemføres fuldt ud og effektivt for at gøre det muligt at udøve mindretals- og uddannelsesrettigheder i praksis; opfordrer myndighederne til at </w:t>
      </w:r>
      <w:r w:rsidR="008F0B2A" w:rsidRPr="008F0B2A">
        <w:t xml:space="preserve">sikre en effektiv gennemførelse af vedtægterne, navnlig ved at afsætte tilstrækkelige ressourcer til centrale organer og lokale myndigheder; opfordrer myndighederne til at sikre, at procedurerne for udvælgelse af medlemmerne af udvalget om nationale mindretal revideres i overensstemmelse med henstillingerne fra Kommissionen og fra det rådgivende udvalg for rammekonventionen om beskyttelse af nationale mindretal; opfordrer myndighederne til at </w:t>
      </w:r>
      <w:r w:rsidR="00CC1B2F" w:rsidRPr="00CE6334">
        <w:t>øge kapaciteten i det statslige udvalg om nationale mindretal</w:t>
      </w:r>
      <w:r w:rsidR="008F0B2A">
        <w:t xml:space="preserve"> </w:t>
      </w:r>
      <w:r w:rsidR="008F0B2A" w:rsidRPr="008F0B2A">
        <w:t>og til at sikre, at det er fuldt funktionsdygtigt og råder over tilstrækkelige ressourcer</w:t>
      </w:r>
      <w:r w:rsidR="00CC1B2F" w:rsidRPr="00CE6334">
        <w:t xml:space="preserve">; udtrykker bekymring over vedvarende problemer med forskelsbehandling og social udstødelse, der påvirker mindretal i Albanien; opfordrer den albanske regering til fuldt ud at respektere og beskytte menneskerettighederne, herunder mindretals rettigheder, og til at sikre, at alle påstande om menneskerettighedskrænkelser, herunder hadefuld tale, undersøges straks og grundigt; opfordrer indtrængende de albanske myndigheder til at styrke de institutionelle mekanismer for at forhindre forskelsbehandling og sikre meningsfuld politisk deltagelse for alle samfundsgrupper i overensstemmelse med anbefalingerne i Kommissionens rapport om Albanien for 2024; opfordrer Albanien til at beskytte og fremme sine nationale mindretals kulturarv, sprog og traditioner; opfordrer Albanien til at sikre uddannelse for nationale mindretal på </w:t>
      </w:r>
      <w:r w:rsidR="006B7E19" w:rsidRPr="006B7E19">
        <w:t xml:space="preserve">deres modersmål, herunder tilstrækkelig undervisning på primær- og sekundærtrinnet på græsk i regioner, der traditionelt bebos af det græske nationale mindretal, og til at sikre ubegrænset </w:t>
      </w:r>
      <w:r w:rsidR="00CC1B2F" w:rsidRPr="00CE6334">
        <w:t>adgang til offentlig primær, sekundær og videregående uddannelse og offentlige sundhedsydelser for alle sine borgere</w:t>
      </w:r>
      <w:r w:rsidR="008F0B2A">
        <w:t xml:space="preserve"> </w:t>
      </w:r>
      <w:r w:rsidR="008F0B2A" w:rsidRPr="008F0B2A">
        <w:t>landet over og derved gennemføre den relevante lovgivning til fulde</w:t>
      </w:r>
      <w:r w:rsidR="00CC1B2F" w:rsidRPr="00CE6334">
        <w:t>;</w:t>
      </w:r>
    </w:p>
    <w:p w14:paraId="5FF2E68E" w14:textId="5CB353F1" w:rsidR="0051166A" w:rsidRPr="00CE6334" w:rsidRDefault="0030202A" w:rsidP="00CE6334">
      <w:pPr>
        <w:spacing w:after="240"/>
        <w:ind w:left="567" w:hanging="567"/>
        <w:rPr>
          <w:bCs/>
          <w:iCs/>
        </w:rPr>
      </w:pPr>
      <w:r>
        <w:rPr>
          <w:bCs/>
          <w:iCs/>
        </w:rPr>
        <w:t>25</w:t>
      </w:r>
      <w:r w:rsidR="0051166A" w:rsidRPr="0051166A">
        <w:rPr>
          <w:bCs/>
          <w:iCs/>
        </w:rPr>
        <w:t>.</w:t>
      </w:r>
      <w:r w:rsidR="0051166A" w:rsidRPr="0051166A">
        <w:rPr>
          <w:bCs/>
          <w:iCs/>
        </w:rPr>
        <w:tab/>
        <w:t>opfordrer Albanien til at beskytte og bevare det græskortodokse mindretals religiøse og kulturelle arv, herunder gennem restaurering og juridisk anerkendelse af kirker og kirkegårde; opfordrer myndighederne til at afholde sig fra at ekspropriere eller nedrive ejendomme, som har historisk eller kulturel betydning for det græske mindretal;</w:t>
      </w:r>
    </w:p>
    <w:p w14:paraId="2F3C8030" w14:textId="4D0F7B0F" w:rsidR="00CC1B2F" w:rsidRDefault="0030202A" w:rsidP="00CC1B2F">
      <w:pPr>
        <w:pStyle w:val="NormalHanging12a"/>
      </w:pPr>
      <w:r>
        <w:t>26</w:t>
      </w:r>
      <w:r w:rsidR="00CC1B2F" w:rsidRPr="00CE6334">
        <w:t>.</w:t>
      </w:r>
      <w:r w:rsidR="00CC1B2F" w:rsidRPr="00CE6334">
        <w:tab/>
        <w:t xml:space="preserve">minder om, at Albanien bør beskytte ejendomsretten, navnlig ved at gøre afgørende fremskridt med hensyn til første registrering og kompensation, forbedre gennemsigtigheden af statens matrikelregister og kvaliteten af matrikeldata i ejendomsregistret og sikre, at retten til en retfærdig rettergang og retten til effektive retsmidler respekteres i tilfælde af ekspropriation og fjernelse af ejendomme; </w:t>
      </w:r>
    </w:p>
    <w:p w14:paraId="59C3C0D1" w14:textId="47B07BF5" w:rsidR="0051166A" w:rsidRDefault="0030202A" w:rsidP="00CC1B2F">
      <w:pPr>
        <w:pStyle w:val="NormalHanging12a"/>
        <w:rPr>
          <w:bCs/>
          <w:iCs/>
        </w:rPr>
      </w:pPr>
      <w:r>
        <w:rPr>
          <w:bCs/>
          <w:iCs/>
        </w:rPr>
        <w:t>27</w:t>
      </w:r>
      <w:r w:rsidR="0051166A" w:rsidRPr="0051166A">
        <w:rPr>
          <w:bCs/>
          <w:iCs/>
        </w:rPr>
        <w:t>.</w:t>
      </w:r>
      <w:r w:rsidR="0051166A" w:rsidRPr="0051166A">
        <w:rPr>
          <w:bCs/>
          <w:iCs/>
        </w:rPr>
        <w:tab/>
        <w:t>opfordrer Albaniens regering til at forholde sig til og rette op på de uretfærdigheder, som det kommunistiske regime påførte alle religiøse grupper;</w:t>
      </w:r>
    </w:p>
    <w:p w14:paraId="009F2BE7" w14:textId="22BAAA20" w:rsidR="0051166A" w:rsidRPr="00CE6334" w:rsidRDefault="0030202A" w:rsidP="00CC1B2F">
      <w:pPr>
        <w:pStyle w:val="NormalHanging12a"/>
        <w:rPr>
          <w:bCs/>
          <w:iCs/>
        </w:rPr>
      </w:pPr>
      <w:r>
        <w:rPr>
          <w:bCs/>
          <w:iCs/>
        </w:rPr>
        <w:t>28</w:t>
      </w:r>
      <w:r w:rsidR="0051166A" w:rsidRPr="0051166A">
        <w:rPr>
          <w:bCs/>
          <w:iCs/>
        </w:rPr>
        <w:t>.</w:t>
      </w:r>
      <w:r w:rsidR="0051166A" w:rsidRPr="0051166A">
        <w:rPr>
          <w:bCs/>
          <w:iCs/>
        </w:rPr>
        <w:tab/>
        <w:t>udtrykker bekymring over den langsomme tilbagelevering af religiøs ejendom, der blev konfiskeret af kommunisterne; bemærker endvidere med bekymring, at Albaniens regering trods talrige anmodninger fra religiøse grupper ikke har tilbageleveret alle hellige genstande, relikvier, ikoner og arkiver, der blev konfiskeret under det kommunistiske regime</w:t>
      </w:r>
      <w:r w:rsidR="0051166A">
        <w:rPr>
          <w:rStyle w:val="FootnoteReference"/>
          <w:bCs/>
          <w:iCs/>
        </w:rPr>
        <w:footnoteReference w:id="5"/>
      </w:r>
      <w:r w:rsidR="0051166A" w:rsidRPr="0051166A">
        <w:rPr>
          <w:bCs/>
          <w:iCs/>
        </w:rPr>
        <w:t>;</w:t>
      </w:r>
    </w:p>
    <w:p w14:paraId="3F0E7CF7" w14:textId="65F0CA29" w:rsidR="00CC1B2F" w:rsidRPr="00CE6334" w:rsidRDefault="0030202A" w:rsidP="00CC1B2F">
      <w:pPr>
        <w:pStyle w:val="NormalHanging12a"/>
        <w:rPr>
          <w:bCs/>
          <w:iCs/>
        </w:rPr>
      </w:pPr>
      <w:r>
        <w:t>29</w:t>
      </w:r>
      <w:r w:rsidR="00CC1B2F" w:rsidRPr="00CE6334">
        <w:t>.</w:t>
      </w:r>
      <w:r w:rsidR="00CC1B2F" w:rsidRPr="00CE6334">
        <w:tab/>
        <w:t xml:space="preserve">opfordrer til øgede investeringer i moderniseringen af uddannelsessystemet for at sikre dets kvalitet og rummelighed; opfordrer Albanien til at gennemføre foranstaltninger for at fremme beskæftigelses- og uddannelsesmuligheder for personer med handicap; </w:t>
      </w:r>
    </w:p>
    <w:p w14:paraId="29DCED2B" w14:textId="4FCCCA1D" w:rsidR="00CC1B2F" w:rsidRPr="00CE6334" w:rsidRDefault="0030202A" w:rsidP="00CC1B2F">
      <w:pPr>
        <w:pStyle w:val="NormalHanging12a"/>
      </w:pPr>
      <w:r>
        <w:t>30</w:t>
      </w:r>
      <w:r w:rsidR="00CC1B2F" w:rsidRPr="00CE6334">
        <w:t>.</w:t>
      </w:r>
      <w:r w:rsidR="00CC1B2F" w:rsidRPr="00CE6334">
        <w:tab/>
      </w:r>
      <w:r w:rsidR="0051166A" w:rsidRPr="0051166A">
        <w:t>glæder sig over gennemførelsen af folketællingen i Albanien i 2023; opfordrer myndighederne til at offentliggøre detaljerede data og tematiske analyser i overensstemmelse med Kommissionens henstilling i dens rapport om Albanien for 2024</w:t>
      </w:r>
      <w:r w:rsidR="00CC1B2F" w:rsidRPr="00CE6334">
        <w:t xml:space="preserve">; </w:t>
      </w:r>
    </w:p>
    <w:p w14:paraId="1B835181" w14:textId="7E72A155" w:rsidR="00CC1B2F" w:rsidRPr="00CE6334" w:rsidRDefault="0030202A" w:rsidP="00CC1B2F">
      <w:pPr>
        <w:pStyle w:val="NormalHanging12a"/>
      </w:pPr>
      <w:r>
        <w:t>31</w:t>
      </w:r>
      <w:r w:rsidR="00CC1B2F" w:rsidRPr="00CE6334">
        <w:t>.</w:t>
      </w:r>
      <w:r w:rsidR="00CC1B2F" w:rsidRPr="00CE6334">
        <w:tab/>
        <w:t xml:space="preserve">glæder sig over vedtagelsen af loven om beskyttelse af personoplysninger, der sigter mod fuld tilpasning til gældende EU-ret; roser de albanske myndigheder for vedtagelsen af gennemførelseslovgivningen om proceduren og rimelig kompensation for brugen af forældreløse værker og databasen over ophavsretlige værker, men udtrykker bekymring over behandlingen af persondata og svagheder i IT-systemerne; opfordrer de albanske myndigheder til at styrke garantierne mod brud på datasikkerheden, forbedre forebyggelsesindsatsen og offentlighedens bevidsthed og forbedre den institutionelle kapacitet for effektivt at gennemføre den nye lov om beskyttelse af personoplysninger; opfordrer Albanien til yderligere at samarbejde med EU's Kontor for Intellektuel Ejendomsret; </w:t>
      </w:r>
    </w:p>
    <w:p w14:paraId="17DA9543" w14:textId="4E8B7B68" w:rsidR="00CC1B2F" w:rsidRPr="00CE6334" w:rsidRDefault="0030202A" w:rsidP="00CC1B2F">
      <w:pPr>
        <w:pStyle w:val="NormalHanging12a"/>
        <w:rPr>
          <w:bCs/>
          <w:iCs/>
        </w:rPr>
      </w:pPr>
      <w:r>
        <w:t>32</w:t>
      </w:r>
      <w:r w:rsidR="00CC1B2F" w:rsidRPr="00CE6334">
        <w:t>.</w:t>
      </w:r>
      <w:r w:rsidR="00CC1B2F" w:rsidRPr="00CE6334">
        <w:tab/>
        <w:t>anerkender det styrkede samarbejde mellem Albanien og EU inden for styring af migrationsstrømme og grænsekontrol, navnlig gennem den nye nationale migrationsstrategi 2024-2026 og samarbejdet med Frontex; noterer sig aftalememorandummet mellem Italien og Albanien;</w:t>
      </w:r>
    </w:p>
    <w:p w14:paraId="379CE52F" w14:textId="77777777" w:rsidR="00CC1B2F" w:rsidRPr="00CE6334" w:rsidRDefault="00CC1B2F" w:rsidP="00CC1B2F">
      <w:pPr>
        <w:pStyle w:val="NormalHanging12a"/>
        <w:rPr>
          <w:b/>
          <w:i/>
        </w:rPr>
      </w:pPr>
      <w:r w:rsidRPr="00CE6334">
        <w:rPr>
          <w:b/>
          <w:i/>
        </w:rPr>
        <w:t>Retsstatsprincippet</w:t>
      </w:r>
    </w:p>
    <w:p w14:paraId="19111E9C" w14:textId="580A346C" w:rsidR="00CC1B2F" w:rsidRPr="00CE6334" w:rsidRDefault="0030202A" w:rsidP="00CC1B2F">
      <w:pPr>
        <w:pStyle w:val="NormalHanging12a"/>
        <w:rPr>
          <w:bCs/>
          <w:iCs/>
        </w:rPr>
      </w:pPr>
      <w:r>
        <w:t>33</w:t>
      </w:r>
      <w:r w:rsidR="00CC1B2F" w:rsidRPr="00CE6334">
        <w:t>.</w:t>
      </w:r>
      <w:r w:rsidR="00CC1B2F" w:rsidRPr="00CE6334">
        <w:tab/>
        <w:t>roser de fremskridt, Albanien har gjort med gennemførelsen af de reformer af retsvæsenet, der tager sigte på at styrke retsvæsenets uafhængighed, gennemsigtighed og ansvarlighed, herunder med hensyn til undersøgelsesprocessen, der blev afsluttet i første instans; glæder sig over den nye</w:t>
      </w:r>
      <w:r w:rsidR="00CC1B2F" w:rsidRPr="00CE6334">
        <w:rPr>
          <w:b/>
          <w:i/>
        </w:rPr>
        <w:t xml:space="preserve"> </w:t>
      </w:r>
      <w:r w:rsidR="00CC1B2F" w:rsidRPr="00CE6334">
        <w:t xml:space="preserve">reformproces om "god regeringsførelse, retsstatsprincippet og antikorruption for Albanien 2030", som det albanske parlament har iværksat; understreger, at ethvert initiativ til at styrke forvaltningen, retsstatsprincippet og bekæmpelsen af korruption skal bygge på inklusion, gennemsigtighed og samarbejde; </w:t>
      </w:r>
    </w:p>
    <w:p w14:paraId="40CFF4AE" w14:textId="1A8A05CD" w:rsidR="00CC1B2F" w:rsidRPr="00CE6334" w:rsidRDefault="0030202A" w:rsidP="00CC1B2F">
      <w:pPr>
        <w:pStyle w:val="NormalHanging12a"/>
      </w:pPr>
      <w:r>
        <w:t>34</w:t>
      </w:r>
      <w:r w:rsidR="00CC1B2F" w:rsidRPr="00CE6334">
        <w:t>.</w:t>
      </w:r>
      <w:r w:rsidR="00CC1B2F" w:rsidRPr="00CE6334">
        <w:tab/>
        <w:t xml:space="preserve">udtrykker bekymring over fortsat politisk indblanding i og pres på retssystemet; bemærker med bekymring manglerne i de meritbaserede udnævnelser af medlemmer, der ikke er dommere, af det øverste domstolsråd og det øverste anklageråd og deres integritet; </w:t>
      </w:r>
      <w:r w:rsidR="0051166A" w:rsidRPr="0051166A">
        <w:t>beklager de vedvarende udfordringer med hensyn til retsvæsenets funktion, der blev konstateret i SPAK's rapport for 2024;</w:t>
      </w:r>
    </w:p>
    <w:p w14:paraId="04EA7EEC" w14:textId="3C0D58E6" w:rsidR="00CC1B2F" w:rsidRPr="00CE6334" w:rsidRDefault="0030202A" w:rsidP="00CC1B2F">
      <w:pPr>
        <w:pStyle w:val="NormalHanging12a"/>
        <w:rPr>
          <w:bCs/>
          <w:iCs/>
        </w:rPr>
      </w:pPr>
      <w:r>
        <w:t>35</w:t>
      </w:r>
      <w:r w:rsidR="00CC1B2F" w:rsidRPr="00CE6334">
        <w:t>.</w:t>
      </w:r>
      <w:r w:rsidR="00CC1B2F" w:rsidRPr="00CE6334">
        <w:tab/>
        <w:t>opfordrer til, at der hurtigst muligt tages skridt til at sikre retsvæsenets uafhængighed og institutionelle integritet;</w:t>
      </w:r>
    </w:p>
    <w:p w14:paraId="3313D0B1" w14:textId="671837B5" w:rsidR="00CC1B2F" w:rsidRPr="00CE6334" w:rsidRDefault="0030202A" w:rsidP="00CC1B2F">
      <w:pPr>
        <w:pStyle w:val="NormalHanging12a"/>
      </w:pPr>
      <w:r>
        <w:t>36</w:t>
      </w:r>
      <w:r w:rsidR="00CC1B2F" w:rsidRPr="00CE6334">
        <w:t>.</w:t>
      </w:r>
      <w:r w:rsidR="00CC1B2F" w:rsidRPr="00CE6334">
        <w:tab/>
        <w:t>fremhæver, at Albanien rangerede som nummer 80 i Transparency Internationals korruptionsindeks 2024, hvilket vidner om, at der er behov for betydelige fremskridt i bekæmpelsen af korruption på højt niveau og sikring af retsvæsenets uafhængighed; understreger det centrale arbejde, der udføres af Albaniens særlige struktur for bekæmpelse af korruption og organiseret kriminalitet (SPAK) med henblik på at opnå håndgribelige resultater inden for efterforskning, retsforfølgning og domfældelse i korruptionssager på højt niveau samt sager, der involverer beskyttelse af EU's finansielle interesser; understreger vigtigheden af at sikre korruptionsbekæmpende institutioners fulde uafhængighed og tilskynder til at styrke deres operationelle og efterforskningsmæssige kapacitet; hilser efterforskninger og procedurer vedrørende korruption på højt plan velkommen; understreger, at det fortsat er en vigtig prioritet at øge antallet af endelige domfældelser af højtstående tjenestemænd; opfordrer indtrængende alle aktører til at afstå fra enhver handling, der undergraver arbejdet i uafhængige institutioner såsom SPAK; udtrykker sin beklagelse over det intimiderende miljø, som retsvæsenet fungerer i, og det utilbørlige pres, som det lider under, og som udgør en alvorlig trussel mod dets uafhængighed; udtrykker bekymring over, at den manglende institutionelle støtte til dommere, der er mål for trusler, svækker offentlighedens tillid og bringer retsstatsprincippet og Albaniens EU-integrationsproces i alvorlig fare;</w:t>
      </w:r>
    </w:p>
    <w:p w14:paraId="1A39EF8B" w14:textId="271E17E3" w:rsidR="00CC1B2F" w:rsidRPr="00CE6334" w:rsidRDefault="0030202A" w:rsidP="00CC1B2F">
      <w:pPr>
        <w:pStyle w:val="NormalHanging12a"/>
        <w:rPr>
          <w:bCs/>
          <w:iCs/>
        </w:rPr>
      </w:pPr>
      <w:r>
        <w:t>37</w:t>
      </w:r>
      <w:r w:rsidR="00CC1B2F" w:rsidRPr="00CE6334">
        <w:t>.</w:t>
      </w:r>
      <w:r w:rsidR="00CC1B2F" w:rsidRPr="00CE6334">
        <w:tab/>
        <w:t>bemærker udfordringerne med hensyn til retssystemets kvalitet og effektivitet, herunder det høje antal ledige stillinger i retsvæsenet, utilstrækkeligt personale ved domstolene, kvaliteten af grund- og videreuddannelsen af retsvæsenets aktører, sammenhængen i retspraksis og manglen på et moderne integreret sagsforvaltningssystem; bemærker, at budgetbevillingerne er utilstrækkelige, navnlig for så vidt angår domstolskomponenten; understreger, at en reduktion af efterslæbet af ubehandlede sager i retssystemet fortsat bør være en prioritet; glæder sig imidlertid over, at Albaniens forfatningsdomstol har forbedret sin effektivitet ved at mindske sit efterslæb og fortsat opretholder den institutionelle magtadskillelse;</w:t>
      </w:r>
    </w:p>
    <w:p w14:paraId="3BA767C9" w14:textId="48871FFA" w:rsidR="00CC1B2F" w:rsidRPr="00CE6334" w:rsidRDefault="0030202A" w:rsidP="00CC1B2F">
      <w:pPr>
        <w:pStyle w:val="NormalHanging12a"/>
      </w:pPr>
      <w:r>
        <w:t>38</w:t>
      </w:r>
      <w:r w:rsidR="00CC1B2F" w:rsidRPr="00CE6334">
        <w:t>.</w:t>
      </w:r>
      <w:r w:rsidR="00CC1B2F" w:rsidRPr="00CE6334">
        <w:tab/>
        <w:t>glæder sig over vedtagelsen af national lovgivning med henblik på tilpasning til gældende EU-ret om bekæmpelse af hvidvask af penge; bemærker behovet for at oprette et stærkt kontor for inddrivelse af aktiver og for at forbedre baggrundskontrollen og processerne for undersøgelse, efterforskning, retsforfølgning og opnåelse af domfældelse i korruptionssager på højt niveau, herunder gennem beslaglæggelse og endelig konfiskation af kriminelle aktiver;</w:t>
      </w:r>
    </w:p>
    <w:p w14:paraId="20455E04" w14:textId="02E2A2B9" w:rsidR="00CC1B2F" w:rsidRPr="00CE6334" w:rsidRDefault="0030202A" w:rsidP="00CC1B2F">
      <w:pPr>
        <w:pStyle w:val="NormalHanging12a"/>
        <w:rPr>
          <w:bCs/>
          <w:iCs/>
        </w:rPr>
      </w:pPr>
      <w:r>
        <w:t>39</w:t>
      </w:r>
      <w:r w:rsidR="00CC1B2F" w:rsidRPr="00CE6334">
        <w:t>.</w:t>
      </w:r>
      <w:r w:rsidR="00CC1B2F" w:rsidRPr="00CE6334">
        <w:tab/>
        <w:t xml:space="preserve">opfordrer Albanien til fortsat at tilpasse sin retlige ramme, navnlig straffeloven, til gældende EU-ret inden for bekæmpelse af organiseret kriminalitet og handel med narkotika og skydevåben, og bekæmpe cyberkriminalitet, ekstremisme og terrortrusler; </w:t>
      </w:r>
      <w:r w:rsidR="0051166A" w:rsidRPr="0051166A">
        <w:t xml:space="preserve">er fortsat bekymret over den vedvarende trussel fra og diversificering af albanske mafiagruppers aktiviteter i Europa; beklager, at disse kriminelle grupper stadig er kraftigt involveret i narkotika- og våbenhandel, smugling af migranter, menneskehandel og hvidvask af penge i flere medlemsstater, navnlig i Nederlandene, Belgien, Italien og Frankrig, på trods af de bestræbelser, der er gjort for at optrevle deres netværk, herunder gennem brug af data fra den krypterede meddelelsestjeneste Sky-ECC i efterforskningen; </w:t>
      </w:r>
      <w:r w:rsidR="00CC1B2F" w:rsidRPr="00CE6334">
        <w:t>noterer sig udnævnelsen af yderligere anklagere til den særlige anklagemyndighed samt oprettelsen af en finansiel efterforskningsenhed; roser Albaniens deltagelse i fælles operationer og samarbejde under den europæiske tværfaglige platform mod kriminalitetstrusler (EMPACT) om handel med narkotika, hvidvask af penge og cyberkriminalitet; anerkender endvidere det intensiverede samarbejde</w:t>
      </w:r>
      <w:r w:rsidR="00CC1B2F" w:rsidRPr="00CE6334">
        <w:rPr>
          <w:b/>
          <w:i/>
        </w:rPr>
        <w:t xml:space="preserve"> </w:t>
      </w:r>
      <w:r w:rsidR="00CC1B2F" w:rsidRPr="00CE6334">
        <w:t>med Europol, Eurojust, Frontex,</w:t>
      </w:r>
      <w:r w:rsidR="00CC1B2F" w:rsidRPr="00CE6334">
        <w:rPr>
          <w:b/>
          <w:i/>
        </w:rPr>
        <w:t xml:space="preserve"> </w:t>
      </w:r>
      <w:r w:rsidR="00CC1B2F" w:rsidRPr="00CE6334">
        <w:t>Interpol og Carin-netværket om bekæmpelse af organiseret kriminalitet og optrævling af grænseoverskridende kriminelle netværk; opfordrer Albanien til at styrke sine mekanismer til udveksling af efterretninger med EU-agenturer for at forbedre den regionale stabilitet; opfordrer til en vedvarende indsats for at tilpasse Albaniens sikkerhedspolitikker til EU's strategier og fremme en mere integreret og modstandsdygtig regional sikkerhedsramme; opfordrer Albanien til at styrke bekæmpelsen af menneskehandel i samarbejde med medlemsstaterne og EU-agenturer; understreger behovet for at bekæmpe den ulovlige handel med håndvåben og lette våben, da Albanien fortsat er både bestemmelses- og transitland; glæder sig over vedtagelsen af en ny strategi for beskyttelse af ofre for kriminalitet; understreger vigtigheden af videre- og efteruddannelse for personale, der beskæftiger sig med migrationskontrol, for at sikre en effektiv gennemførelse af EU's regler og en stærkere indsats over for netværk af menneskesmuglere;</w:t>
      </w:r>
    </w:p>
    <w:p w14:paraId="20348AAF" w14:textId="4B895212" w:rsidR="00CC1B2F" w:rsidRPr="00CE6334" w:rsidRDefault="0030202A" w:rsidP="00CC1B2F">
      <w:pPr>
        <w:pStyle w:val="NormalHanging12a"/>
        <w:rPr>
          <w:bCs/>
          <w:iCs/>
        </w:rPr>
      </w:pPr>
      <w:r>
        <w:t>40</w:t>
      </w:r>
      <w:r w:rsidR="00CC1B2F" w:rsidRPr="00CE6334">
        <w:t>.</w:t>
      </w:r>
      <w:r w:rsidR="00CC1B2F" w:rsidRPr="00CE6334">
        <w:tab/>
        <w:t>tilskynder EU-Udenrigstjenesten og Kommissionen til at bidrage yderligere til at fremme Albaniens modstandsdygtighed over for hybride trusler inden for cybersikkerhed, manipulation af oplysninger og beskyttelse af kritisk infrastruktur; opfordrer Albanien til at vurdere de risici, der er forbundet med udenlandske direkte investeringer, og til at screene sådanne investeringer, navnlig i strategiske sektorer såsom energi, minedrift og telekommunikation, for at undgå økonomiske afhængighedsforhold og gældsfælder og beskytte nationale interesser, øge sikkerheden og sikre overensstemmelse med EU's standarder;</w:t>
      </w:r>
    </w:p>
    <w:p w14:paraId="1AB91D24" w14:textId="6E1E6597" w:rsidR="00CC1B2F" w:rsidRPr="00CE6334" w:rsidRDefault="0030202A" w:rsidP="00CC1B2F">
      <w:pPr>
        <w:pStyle w:val="NormalHanging12a"/>
        <w:rPr>
          <w:bCs/>
          <w:iCs/>
        </w:rPr>
      </w:pPr>
      <w:r>
        <w:t>41</w:t>
      </w:r>
      <w:r w:rsidR="00CC1B2F" w:rsidRPr="00CE6334">
        <w:t>.</w:t>
      </w:r>
      <w:r w:rsidR="00CC1B2F" w:rsidRPr="00CE6334">
        <w:tab/>
        <w:t>opfordrer EU og landene på Vestbalkan til at fastlægge en ramme for et effektivt samarbejde mellem Den Europæiske Anklagemyndighed (EPPO) og tiltrædelseslandene med henblik på at lette et tæt samarbejde og retsforfølgning af misbrug af EU-midler; glæder sig over, at Albanien har indgået en bilateral samarbejdsordning med EPPO;</w:t>
      </w:r>
    </w:p>
    <w:p w14:paraId="4A9F9F15" w14:textId="77777777" w:rsidR="00CC1B2F" w:rsidRPr="00CE6334" w:rsidRDefault="00CC1B2F" w:rsidP="00CC1B2F">
      <w:pPr>
        <w:pStyle w:val="NormalHanging12a"/>
        <w:rPr>
          <w:b/>
          <w:i/>
        </w:rPr>
      </w:pPr>
      <w:r w:rsidRPr="00CE6334">
        <w:rPr>
          <w:b/>
          <w:i/>
        </w:rPr>
        <w:t>Socioøkonomiske reformer</w:t>
      </w:r>
    </w:p>
    <w:p w14:paraId="68A6BA86" w14:textId="1F2C35AA" w:rsidR="00CC1B2F" w:rsidRPr="00CE6334" w:rsidRDefault="0030202A" w:rsidP="00CC1B2F">
      <w:pPr>
        <w:pStyle w:val="NormalHanging12a"/>
      </w:pPr>
      <w:r>
        <w:t>42</w:t>
      </w:r>
      <w:r w:rsidR="00CC1B2F" w:rsidRPr="00CE6334">
        <w:t>.</w:t>
      </w:r>
      <w:r w:rsidR="00CC1B2F" w:rsidRPr="00CE6334">
        <w:tab/>
        <w:t>glæder sig over Albaniens engagement i gennemførelsen af EU's vækstplan for Vestbalkan, der omfatter integration af EU's indre marked, regional økonomisk integration, grundlæggende reformer og øget finansiel støtte;</w:t>
      </w:r>
    </w:p>
    <w:p w14:paraId="5F4E94F9" w14:textId="7E136C22" w:rsidR="00CC1B2F" w:rsidRPr="00CE6334" w:rsidRDefault="0030202A" w:rsidP="00CC1B2F">
      <w:pPr>
        <w:pStyle w:val="NormalHanging12a"/>
        <w:rPr>
          <w:bCs/>
          <w:iCs/>
        </w:rPr>
      </w:pPr>
      <w:r>
        <w:t>43</w:t>
      </w:r>
      <w:r w:rsidR="00CC1B2F" w:rsidRPr="00CE6334">
        <w:t>.</w:t>
      </w:r>
      <w:r w:rsidR="00CC1B2F" w:rsidRPr="00CE6334">
        <w:tab/>
        <w:t>gentager, at det er vigtigt at forbedre den offentlige infrastruktur internt i Vestbalkanlandene og udvikle forbindelser med EU-medlemsstaterne; minder om det potentiale, der ligger i den økonomiske plan og investeringsplanen for Vestbalkan med hensyn til at forbedre den regionale konnektivitet gennem jernbane- og vejinfrastruktur; opfordrer i den forbindelse indtrængende myndighederne i alle lande til at færdiggøre korridor VIII, der forbinder Albanien, Nordmakedonien og Bulgarien; gentager, at det er vigtigt at forbedre flyforbindelserne mellem Vestbalkanlandene og med EU-medlemsstaterne;</w:t>
      </w:r>
    </w:p>
    <w:p w14:paraId="64B5FCAE" w14:textId="4A284917" w:rsidR="00CC1B2F" w:rsidRPr="00CE6334" w:rsidRDefault="0030202A" w:rsidP="00CC1B2F">
      <w:pPr>
        <w:pStyle w:val="NormalHanging12a"/>
        <w:rPr>
          <w:bCs/>
          <w:iCs/>
        </w:rPr>
      </w:pPr>
      <w:r>
        <w:t>44</w:t>
      </w:r>
      <w:r w:rsidR="00CC1B2F" w:rsidRPr="00CE6334">
        <w:t>.</w:t>
      </w:r>
      <w:r w:rsidR="00CC1B2F" w:rsidRPr="00CE6334">
        <w:tab/>
        <w:t>glæder sig over Albaniens reformdagsorden vedrørende erhvervsklima, menneskelige ressourcer, digitalisering, energi og den grønne omstilling, grundlæggende rettigheder og retsstatsprincippet; glæder sig endvidere over Albaniens deltagelse i EU's program for et digitalt Europa; glæder sig over, at Albanien er blevet rangeret som en regional frontløber inden for offentlig forvaltning og digitale offentlige udbud af støtteprogrammet til forbedring af ledelse og forvaltning, som gennemføres af EU og Organisationen for Økonomisk Samarbejde og Udvikling;</w:t>
      </w:r>
    </w:p>
    <w:p w14:paraId="34AB9274" w14:textId="0688D133" w:rsidR="00CC1B2F" w:rsidRPr="00CE6334" w:rsidRDefault="0030202A" w:rsidP="00CC1B2F">
      <w:pPr>
        <w:pStyle w:val="NormalHanging12a"/>
        <w:rPr>
          <w:bCs/>
          <w:iCs/>
        </w:rPr>
      </w:pPr>
      <w:r>
        <w:t>45</w:t>
      </w:r>
      <w:r w:rsidR="00CC1B2F" w:rsidRPr="00CE6334">
        <w:t>.</w:t>
      </w:r>
      <w:r w:rsidR="00CC1B2F" w:rsidRPr="00CE6334">
        <w:tab/>
        <w:t>opfordrer de albanske myndigheder til at mindske risikoen for fattigdom og social udstødelse ved yderligere at forbedre adgangen til uddannelse og boliger såvel som sociale ydelser og sundhedsydelser, navnlig for dårligt stillede befolkningsgrupper og mindretal, herunder romaer og egyptere; opfordrer til gennemførelse af Albaniens nationale strategi for social beskyttelse 2024-2030 og den nationale strategi for beskæftigelse og færdigheder 2023-2030; opfordrer Albanien til at træffe yderligere foranstaltninger til at bekæmpe ungdomsarbejdsløshed og opfordrer de albanske myndigheder til effektivt at gennemføre den nationale dagsorden for børns rettigheder ved at yde bistand til børn, der er ramt af udstødelse og fattigdom;</w:t>
      </w:r>
    </w:p>
    <w:p w14:paraId="351E2D8E" w14:textId="49CE3CD6" w:rsidR="00CC1B2F" w:rsidRPr="00CE6334" w:rsidRDefault="0030202A" w:rsidP="00CC1B2F">
      <w:pPr>
        <w:pStyle w:val="NormalHanging12a"/>
        <w:rPr>
          <w:bCs/>
          <w:iCs/>
          <w:szCs w:val="24"/>
        </w:rPr>
      </w:pPr>
      <w:r>
        <w:t>46</w:t>
      </w:r>
      <w:r w:rsidR="00CC1B2F" w:rsidRPr="00CE6334">
        <w:t>.</w:t>
      </w:r>
      <w:r w:rsidR="00CC1B2F" w:rsidRPr="00CE6334">
        <w:tab/>
        <w:t>roser de albanske myndigheder for vedtagelsen af lovgivningsmæssige retsakter for at reformere de videregående uddannelser og for gennemførelsen af den nationale strategi for uddannelse 2021-2026; opfordrer Albanien til at øge mediekendskabet som et centralt emne i skolernes læseplaner, samtidig med at det sikres, at lærerne får særskilt uddannelse og moderne ressourcer til at levere programmer af høj kvalitet; tilskynder til samarbejde med EU's uddannelsesinitiativer og regionale netværk såsom Vestbalkans observatorium for mediekendskab for at indføre bedste praksis inden for kritisk tænkning og uddannelse i digital kunnen;</w:t>
      </w:r>
    </w:p>
    <w:p w14:paraId="61C66A04" w14:textId="0800B723" w:rsidR="00CC1B2F" w:rsidRPr="00CE6334" w:rsidRDefault="0030202A" w:rsidP="00CC1B2F">
      <w:pPr>
        <w:pStyle w:val="NormalHanging12a"/>
        <w:rPr>
          <w:bCs/>
          <w:iCs/>
          <w:szCs w:val="24"/>
        </w:rPr>
      </w:pPr>
      <w:r>
        <w:t>47</w:t>
      </w:r>
      <w:r w:rsidR="00CC1B2F" w:rsidRPr="00CE6334">
        <w:t>.</w:t>
      </w:r>
      <w:r w:rsidR="00CC1B2F" w:rsidRPr="00CE6334">
        <w:tab/>
        <w:t>glæder sig over Albaniens fremskridt med at indgå bilaterale aftaler med EU-medlemsstater om social sikring og gøre forberedelser til at gøre det muligt at forbinde dets arbejdsformidlingssystem med Eures, som er det europæiske arbejdsformidlingsnet;</w:t>
      </w:r>
    </w:p>
    <w:p w14:paraId="13DDF598" w14:textId="1E7E6194" w:rsidR="00CC1B2F" w:rsidRPr="00CE6334" w:rsidRDefault="0030202A" w:rsidP="00CC1B2F">
      <w:pPr>
        <w:pStyle w:val="NormalHanging12a"/>
        <w:rPr>
          <w:bCs/>
          <w:iCs/>
        </w:rPr>
      </w:pPr>
      <w:r>
        <w:t>48</w:t>
      </w:r>
      <w:r w:rsidR="00CC1B2F" w:rsidRPr="00CE6334">
        <w:t>.</w:t>
      </w:r>
      <w:r w:rsidR="00CC1B2F" w:rsidRPr="00CE6334">
        <w:tab/>
        <w:t>glæder sig over, at Albanien tiltrådte det fælles eurobetalingsområde i november 2024, hvilket reducerer omkostningerne for borgere og virksomheder og vil bidrage til Albaniens yderligere integration i det indre marked; roser de albanske myndigheder for tilpasningen til gældende EU-ret om betalinger (betalingskontodirektivet</w:t>
      </w:r>
      <w:r w:rsidR="00CC1B2F" w:rsidRPr="00BE519A">
        <w:rPr>
          <w:rStyle w:val="FootnoteReference"/>
          <w:iCs/>
        </w:rPr>
        <w:footnoteReference w:id="6"/>
      </w:r>
      <w:r w:rsidR="00CC1B2F" w:rsidRPr="00BE519A">
        <w:t>) og for deres tiltag, som har resulteret i, at Albanien er blevet fjernet fra Den Finansielle Aktionsgruppes grå liste; noterer sig Albaniens indsats for at forbedre den økonomiske konkurrenceevne og opfordrer regeringen til at fortsætte med strukturreformer med henblik på at fremme et mere attraktivt erhvervsklima i overensstemmelse med EU's normer; beklager, at ineffektivitet i den offentlige forvaltning, et overdrevent regelsæt, korruption og en st</w:t>
      </w:r>
      <w:r w:rsidR="00CC1B2F" w:rsidRPr="00CE6334">
        <w:t>or uformel økonomi underminerer erhvervsmiljøet og hæmmer konkurrencen;</w:t>
      </w:r>
    </w:p>
    <w:p w14:paraId="45238F67" w14:textId="71723684" w:rsidR="00CC1B2F" w:rsidRPr="00CE6334" w:rsidRDefault="0030202A" w:rsidP="00CC1B2F">
      <w:pPr>
        <w:pStyle w:val="NormalHanging12a"/>
        <w:rPr>
          <w:bCs/>
          <w:iCs/>
          <w:szCs w:val="24"/>
        </w:rPr>
      </w:pPr>
      <w:r>
        <w:t>49</w:t>
      </w:r>
      <w:r w:rsidR="00CC1B2F" w:rsidRPr="00CE6334">
        <w:t>.</w:t>
      </w:r>
      <w:r w:rsidR="00CC1B2F" w:rsidRPr="00CE6334">
        <w:tab/>
        <w:t>roser forbedringen af Albaniens finanspolitiske resultater; opfordrer de albanske myndigheder til yderligere at forbedre finanspolitiske risikoanalyser ved at styrke den relevante afdeling i finansministeriet; opfordrer til større gennemsigtighed og ansvarlighed i statsejede virksomheder gennem årsregnskaber; opfordrer Albanien til at styrke sin offentlige interne finanskontrol og til at sikre, at anbefalingerne fra det overordnede revisionsorgan gennemføres;</w:t>
      </w:r>
    </w:p>
    <w:p w14:paraId="00412B54" w14:textId="45A2584B" w:rsidR="00CC1B2F" w:rsidRPr="00CE6334" w:rsidRDefault="0030202A" w:rsidP="00CC1B2F">
      <w:pPr>
        <w:pStyle w:val="NormalHanging12a"/>
        <w:rPr>
          <w:bCs/>
          <w:iCs/>
          <w:szCs w:val="24"/>
        </w:rPr>
      </w:pPr>
      <w:r>
        <w:t>50</w:t>
      </w:r>
      <w:r w:rsidR="00CC1B2F" w:rsidRPr="00CE6334">
        <w:t>.</w:t>
      </w:r>
      <w:r w:rsidR="00CC1B2F" w:rsidRPr="00CE6334">
        <w:tab/>
        <w:t>glæder sig over den yderligere tilpasning af lovgivningen til gældende EU-ret om private pensionsfonde, bankgenopretning og afviklingsrammen; opfordrer Albanien til at fuldføre sin tilpasning til gældende EU-ret om forsikring, kapitalmarkeder, værdipapirmarkeder, investeringsfonde og finansielle markedsinfrastrukturer;</w:t>
      </w:r>
    </w:p>
    <w:p w14:paraId="5F27DEE0" w14:textId="00221648" w:rsidR="00CC1B2F" w:rsidRPr="00CE6334" w:rsidRDefault="0030202A" w:rsidP="00CC1B2F">
      <w:pPr>
        <w:pStyle w:val="NormalHanging12a"/>
        <w:rPr>
          <w:bCs/>
          <w:iCs/>
          <w:szCs w:val="24"/>
        </w:rPr>
      </w:pPr>
      <w:r>
        <w:t>51</w:t>
      </w:r>
      <w:r w:rsidR="00CC1B2F" w:rsidRPr="00CE6334">
        <w:t>.</w:t>
      </w:r>
      <w:r w:rsidR="00CC1B2F" w:rsidRPr="00CE6334">
        <w:tab/>
        <w:t>glæder sig over den aftale, der blev indgået på topmødet i Tirana om reducerede roamingomkostninger; opfordrer i denne forbindelse myndighederne, de private aktører og alle interessenter til at arbejde hen imod at nå de aftalte mål om en væsentlig reduktion af roamingtaksterne for data og en yderligere reduktion af roamingpriserne mellem Vestbalkan og EU til et niveau tæt på de indenlandske priser senest i 2027; glæder sig over gennemførelsen af første fase af køreplanen for roaming mellem Vestbalkan og EU;</w:t>
      </w:r>
    </w:p>
    <w:p w14:paraId="179E1B69" w14:textId="36BD8440" w:rsidR="00CC1B2F" w:rsidRPr="00CE6334" w:rsidRDefault="0030202A" w:rsidP="00CC1B2F">
      <w:pPr>
        <w:pStyle w:val="NormalHanging12a"/>
        <w:rPr>
          <w:bCs/>
          <w:iCs/>
        </w:rPr>
      </w:pPr>
      <w:r>
        <w:t>52</w:t>
      </w:r>
      <w:r w:rsidR="00CC1B2F" w:rsidRPr="00CE6334">
        <w:t>.</w:t>
      </w:r>
      <w:r w:rsidR="00CC1B2F" w:rsidRPr="00CE6334">
        <w:tab/>
        <w:t>er bekymret over de manglende fremskridt inden for selskabslovgivningen i Albanien; opfordrer de albanske myndigheder til at fuldføre tilpasningen af selskabslovgivningen til gældende EU-ret;</w:t>
      </w:r>
    </w:p>
    <w:p w14:paraId="278E3974" w14:textId="77777777" w:rsidR="00CC1B2F" w:rsidRPr="00CE6334" w:rsidRDefault="00CC1B2F" w:rsidP="00CC1B2F">
      <w:pPr>
        <w:pStyle w:val="NormalHanging12a"/>
        <w:rPr>
          <w:b/>
          <w:i/>
        </w:rPr>
      </w:pPr>
      <w:r w:rsidRPr="00CE6334">
        <w:rPr>
          <w:b/>
          <w:i/>
        </w:rPr>
        <w:t>Miljø, biodiversitet, energi og transport, bæredygtig turisme</w:t>
      </w:r>
    </w:p>
    <w:p w14:paraId="163ED45C" w14:textId="1F8758A8" w:rsidR="00CC1B2F" w:rsidRPr="00BE519A" w:rsidRDefault="0030202A" w:rsidP="00CC1B2F">
      <w:pPr>
        <w:pStyle w:val="NormalHanging12a"/>
        <w:rPr>
          <w:bCs/>
          <w:iCs/>
        </w:rPr>
      </w:pPr>
      <w:r>
        <w:t>53</w:t>
      </w:r>
      <w:r w:rsidR="00CC1B2F" w:rsidRPr="00CE6334">
        <w:t>.</w:t>
      </w:r>
      <w:r w:rsidR="00CC1B2F" w:rsidRPr="00CE6334">
        <w:tab/>
        <w:t>understreger, at der er behov for en større indsats, for at Albanien kan tilpasse sig gældende EU-ret på miljøområdet; opfordrer til tilpasning til EU's direktiver om vurdering af indvirkning på miljøet</w:t>
      </w:r>
      <w:r w:rsidR="00CC1B2F" w:rsidRPr="00BE519A">
        <w:rPr>
          <w:rStyle w:val="FootnoteReference"/>
        </w:rPr>
        <w:footnoteReference w:id="7"/>
      </w:r>
      <w:r w:rsidR="00CC1B2F" w:rsidRPr="00BE519A">
        <w:t xml:space="preserve"> og strategisk miljøvurdering</w:t>
      </w:r>
      <w:r w:rsidR="00CC1B2F" w:rsidRPr="00BE519A">
        <w:rPr>
          <w:rStyle w:val="FootnoteReference"/>
        </w:rPr>
        <w:footnoteReference w:id="8"/>
      </w:r>
      <w:r w:rsidR="00CC1B2F" w:rsidRPr="00BE519A">
        <w:t>; understreger behovet for at styrke bekæmpelsen af miljøkriminalitet;</w:t>
      </w:r>
    </w:p>
    <w:p w14:paraId="03659043" w14:textId="2660D8E2" w:rsidR="00CC1B2F" w:rsidRPr="00CE6334" w:rsidRDefault="0030202A" w:rsidP="00CC1B2F">
      <w:pPr>
        <w:pStyle w:val="NormalHanging12a"/>
        <w:rPr>
          <w:bCs/>
          <w:iCs/>
        </w:rPr>
      </w:pPr>
      <w:r>
        <w:t>54</w:t>
      </w:r>
      <w:r w:rsidR="00CC1B2F" w:rsidRPr="00CE6334">
        <w:t>.</w:t>
      </w:r>
      <w:r w:rsidR="00CC1B2F" w:rsidRPr="00CE6334">
        <w:tab/>
        <w:t>fremhæver behovet for gennemsigtige og inklusive offentlige høringer i overensstemmelse med Århuskonventionen, der sikrer aktiv inddragelse af lokalsamfund, NGO'er og videnskabelige institutioner i beslutningsprocesserne på miljøområdet, især i forbindelse med projekter med store miljømæssige og socioøkonomiske konsekvenser; advarer om, at manglen på behørig inddragelse af interessenter underminerer forvaltningsstandarder og Albaniens overholdelse af landets forpligtelser i henhold til gældende EU-ret; udtrykker bekymring over de økonomiske og miljømæssige konsekvenser af ikkekonkurrencedygtige udenlandsk finansierede udviklingsprojekter;</w:t>
      </w:r>
    </w:p>
    <w:p w14:paraId="6A5C0EB6" w14:textId="6C6D2440" w:rsidR="00CC1B2F" w:rsidRPr="00CE6334" w:rsidRDefault="0030202A" w:rsidP="00CC1B2F">
      <w:pPr>
        <w:pStyle w:val="NormalHanging12a"/>
        <w:rPr>
          <w:bCs/>
          <w:iCs/>
        </w:rPr>
      </w:pPr>
      <w:r>
        <w:t>55</w:t>
      </w:r>
      <w:r w:rsidR="00CC1B2F" w:rsidRPr="00CE6334">
        <w:t>.</w:t>
      </w:r>
      <w:r w:rsidR="00CC1B2F" w:rsidRPr="00CE6334">
        <w:tab/>
        <w:t>minder om, at der er behov for en betydelig indsats, for at Albanien kan nå målene vedrørende klimabeskyttelse, energieffektivitet, diversificering og grønnere energiforsyning og transport; bemærker, at luft- og vandkvalitet og affaldshåndtering fortsat er særlig store udfordringer for landet; opfordrer indtrængende centralregeringen og de lokale myndigheder til at intensivere deres indsats for at forbedre luftkvaliteten og reducere potentielt dødelig forurening; opfordrer indtrængende den albanske regering til at prioritere gennemførelsen af klimatilpasningsstrategier, udviklingen af vedvarende energikilder og moderniseringen af landets affaldshåndteringssystem for at opfylde EU's standarder og understøtte bæredygtig økonomisk vækst; opfordrer de albanske myndigheder til at styrke foranstaltninger og investeringer til at udvide det offentlige transportsystem og jernbanesystem;</w:t>
      </w:r>
    </w:p>
    <w:p w14:paraId="68AD5B0B" w14:textId="32149666" w:rsidR="00CC1B2F" w:rsidRPr="00CE6334" w:rsidRDefault="0030202A" w:rsidP="00CC1B2F">
      <w:pPr>
        <w:pStyle w:val="NormalHanging12a"/>
        <w:rPr>
          <w:bCs/>
          <w:iCs/>
          <w:szCs w:val="24"/>
        </w:rPr>
      </w:pPr>
      <w:r>
        <w:t>56</w:t>
      </w:r>
      <w:r w:rsidR="00CC1B2F" w:rsidRPr="00CE6334">
        <w:t>.</w:t>
      </w:r>
      <w:r w:rsidR="00CC1B2F" w:rsidRPr="00CE6334">
        <w:tab/>
        <w:t>er af den faste overbevisning, at miljøbeskyttelse og udvikling af bæredygtig turisme skal gå hånd i hånd; glæder sig over etableringen af den første vildflodsnationalpark i Europa, Vjosa-vildflodsnationalparken, og opfordrer til, at der afsættes tilstrækkelige ressourcer til dens beskyttelse; opfordrer myndighederne til fuldt ud at respektere dens økologiske integritet og til at genoverveje infrastrukturprojekter, navnlig vandindvindingsprojektet ved Shushica-floden, i overensstemmelse med internationale standarder og bedste praksis for bevarelse af biodiversitet for at sikre, at parkens biodiversitet, levesteder og økologiske funktioner forbliver intakte; gentager sin bekymring over opførelsen af Vlora-lufthavnen i det beskyttede område Vjosa-Narta, som er i strid med nationale og internationale normer for beskyttelse af biodiversiteten, og opfordrer Kommissionen til at tage fat på dette spørgsmål i kapitel 27 i tiltrædelsesforhandlingerne; opfordrer de albanske myndigheder til at vedtage gennemførelseslovgivningen til loven om kulturarv og museer;</w:t>
      </w:r>
    </w:p>
    <w:p w14:paraId="5D8AA9A8" w14:textId="5ADA974D" w:rsidR="00CC1B2F" w:rsidRPr="00CE6334" w:rsidRDefault="0030202A" w:rsidP="00CC1B2F">
      <w:pPr>
        <w:pStyle w:val="NormalHanging12a"/>
        <w:rPr>
          <w:bCs/>
          <w:iCs/>
        </w:rPr>
      </w:pPr>
      <w:r>
        <w:t>57</w:t>
      </w:r>
      <w:r w:rsidR="00CC1B2F" w:rsidRPr="00CE6334">
        <w:t>.</w:t>
      </w:r>
      <w:r w:rsidR="00CC1B2F" w:rsidRPr="00CE6334">
        <w:tab/>
        <w:t>udtrykker alvorlig bekymring over de seneste ændringer af Albaniens lov om beskyttede områder, der tillader store infrastruktur- og turismeprojekter i økologisk følsomme zoner; opfordrer til, at disse lovgivningsmæssige ændringer omgøres for at sikre fuld og streng overholdelse af nationale og internationale retlige rammer og bevarelsesstandarder og tackle havaffaldsforurening, der påvirker nabolandene;</w:t>
      </w:r>
    </w:p>
    <w:p w14:paraId="2B9B8B1E" w14:textId="0EEB536C" w:rsidR="00CC1B2F" w:rsidRPr="00CE6334" w:rsidRDefault="0030202A" w:rsidP="00CC1B2F">
      <w:pPr>
        <w:pStyle w:val="NormalHanging12a"/>
        <w:rPr>
          <w:bCs/>
          <w:iCs/>
          <w:szCs w:val="24"/>
        </w:rPr>
      </w:pPr>
      <w:r>
        <w:t>58</w:t>
      </w:r>
      <w:r w:rsidR="00CC1B2F" w:rsidRPr="00CE6334">
        <w:t>.</w:t>
      </w:r>
      <w:r w:rsidR="00CC1B2F" w:rsidRPr="00CE6334">
        <w:tab/>
        <w:t>opfordrer de albanske myndigheder til at udpege og effektivt forvalte centrale beskyttede områder for at sikre kritisk truede arters overlevelse, navnlig balkanlossen, herunder gennem omfattende programmer for overvågning af biodiversiteten, og til at gennemføre og strengt håndhæve lovgivning om bekæmpelse af krybskytteri; opfordrer indtrængende Albanien til at opgive planerne for Skavica-vandkraftværket ved floden Sorte Drin på grund af dets alvorlige økologiske, sociale og kulturelle konsekvenser, herunder fordrivelse af lokalsamfund;</w:t>
      </w:r>
    </w:p>
    <w:p w14:paraId="0934C5C2" w14:textId="77777777" w:rsidR="00CC1B2F" w:rsidRPr="00CE6334" w:rsidRDefault="00CC1B2F" w:rsidP="00CC1B2F">
      <w:pPr>
        <w:pStyle w:val="NormalHanging12a"/>
        <w:rPr>
          <w:b/>
          <w:i/>
        </w:rPr>
      </w:pPr>
      <w:r w:rsidRPr="00CE6334">
        <w:rPr>
          <w:b/>
          <w:i/>
        </w:rPr>
        <w:t>Regionalt samarbejde og udenrigspolitik</w:t>
      </w:r>
    </w:p>
    <w:p w14:paraId="48935E5F" w14:textId="74EBFFAB" w:rsidR="00CC1B2F" w:rsidRPr="00CE6334" w:rsidRDefault="0030202A" w:rsidP="00CC1B2F">
      <w:pPr>
        <w:pStyle w:val="NormalHanging12a"/>
        <w:rPr>
          <w:bCs/>
          <w:iCs/>
        </w:rPr>
      </w:pPr>
      <w:r>
        <w:t>59</w:t>
      </w:r>
      <w:r w:rsidR="00CC1B2F" w:rsidRPr="00CE6334">
        <w:t>.</w:t>
      </w:r>
      <w:r w:rsidR="00CC1B2F" w:rsidRPr="00CE6334">
        <w:tab/>
        <w:t>glæder sig over sikkerheds- og</w:t>
      </w:r>
      <w:bookmarkStart w:id="7" w:name="_GoBack"/>
      <w:bookmarkEnd w:id="7"/>
      <w:r w:rsidR="00CC1B2F" w:rsidRPr="00CE6334">
        <w:t xml:space="preserve"> forsvarspartnerskabet mellem EU og Albanien, der blev vedtaget den 19. november 2024, og som etablerer en platform for øget dialog og samarbejde om sikkerheds- og forsvarsspørgsmål og udgør et betydeligt skridt fremad; understreger vigtigheden af at sikre, at dette partnerskab omsættes til konkrete tiltag, herunder fælles uddannelsesinitiativer, fælles efterretningskapacitet og forbedrede grænsesikkerhedsforanstaltninger for at tackle regionale og globale sikkerhedsudfordringer; understreger behovet for et dybere sikkerhedssamarbejde på Vestbalkan, der fremmer en tættere koordinering mellem de regionale partnere for at bekæmpe organiseret kriminalitet, cybertrusler og hybride udfordringer; opfordrer til øget EU-støtte til regionale sikkerhedsinitiativer, der forbedrer stabiliteten og modstandsdygtigheden på hele Vestbalkan; anerkender, at dette partnerskab udgør et betydeligt skridt fremad i styrkelsen af Albaniens rolle som en pålidelig sikkerhedspartner for EU; understreger endvidere, at partnerskabet bl.a. vil lette fælles initiativer og kapacitetsopbygningstiltag og derved bidrage til en mere modstandsdygtig og integreret sikkerhedsarkitektur på Vestbalkan;</w:t>
      </w:r>
    </w:p>
    <w:p w14:paraId="58983382" w14:textId="1CBC2E1F" w:rsidR="00CC1B2F" w:rsidRDefault="0030202A" w:rsidP="00CC1B2F">
      <w:pPr>
        <w:pStyle w:val="NormalHanging12a"/>
      </w:pPr>
      <w:r>
        <w:t>60</w:t>
      </w:r>
      <w:r w:rsidR="00CC1B2F" w:rsidRPr="00CE6334">
        <w:t>.</w:t>
      </w:r>
      <w:r w:rsidR="00CC1B2F" w:rsidRPr="00CE6334">
        <w:tab/>
        <w:t>glæder sig over vedtagelsen af den nationale sikkerhedsstrategi i 2024, som har til formål at bekæmpe hybride trusler yderligere, samt af den nye lov om cybersikkerhed; glæder sig over den fælles erklæring fra Albanien, Kosovo og Kroatien, som har til formål at forbedre samarbejdet og styrke forsvarspotentialet, samtidig med at der ydes fuld støtte til den euroatlantiske og regionale forsvarsintegration;</w:t>
      </w:r>
    </w:p>
    <w:p w14:paraId="4FF83136" w14:textId="18B33631" w:rsidR="0051166A" w:rsidRPr="00CE6334" w:rsidRDefault="0030202A" w:rsidP="00CC1B2F">
      <w:pPr>
        <w:pStyle w:val="NormalHanging12a"/>
      </w:pPr>
      <w:r>
        <w:t>61</w:t>
      </w:r>
      <w:r w:rsidR="0051166A" w:rsidRPr="0051166A">
        <w:t>.</w:t>
      </w:r>
      <w:r w:rsidR="0051166A" w:rsidRPr="0051166A">
        <w:tab/>
        <w:t>udtrykker bekymring over Ruslands voksende indflydelse i EU's nabolande; bifalder de tiltag, der blev taget af Albaniens myndighed for elektronisk kommunikation og posttjenester (AKEP) i oktober 2024, og som resulterede i lukningen af 155 russiskdrevne onlinekonti, som var involveret i spredning af desinformation, samt otte konti, der var knyttet til cyberspionagegrupper</w:t>
      </w:r>
      <w:r w:rsidR="0051166A">
        <w:rPr>
          <w:rStyle w:val="FootnoteReference"/>
        </w:rPr>
        <w:footnoteReference w:id="9"/>
      </w:r>
      <w:r w:rsidR="0051166A" w:rsidRPr="0051166A">
        <w:t>; understreger, at disse foranstaltninger vidner om Albaniens vedvarende bestræbelser på at afbøde cybertrusler; opfordrer indtrængende EU til at øge sin støtte til Albanien med hensyn til at imødegå Ruslands ondsindede indflydelse og sikre regional stabilitet;</w:t>
      </w:r>
    </w:p>
    <w:p w14:paraId="61FCE9A0" w14:textId="7A421D6C" w:rsidR="00CC1B2F" w:rsidRPr="00CE6334" w:rsidRDefault="0030202A" w:rsidP="00CC1B2F">
      <w:pPr>
        <w:pStyle w:val="NormalHanging12a"/>
      </w:pPr>
      <w:r>
        <w:t>62</w:t>
      </w:r>
      <w:r w:rsidR="00CC1B2F" w:rsidRPr="00CE6334">
        <w:t>.</w:t>
      </w:r>
      <w:r w:rsidR="00CC1B2F" w:rsidRPr="00CE6334">
        <w:tab/>
        <w:t>roser Albaniens fulde tilpasning til EU's fælles udenrigs- og sikkerhedspolitik, herunder dets støtte til EU's sanktioner mod tredjelande, og dets positive bidrag til missioner under den fælles sikkerheds- og forsvarspolitik, navnlig EUFOR ALTHEA, som understreger landets villighed til at bidrage til regional og international sikkerhed og stabilitet, og glæder sig over Albaniens deltagelse i operationer ledet af EU og NATO og dets samarbejde med Europol og Interpol; opfordrer til yderligere deltagelse i EU-ledede krisestyringsoperationer og missioner under den fælles sikkerheds- og forsvarspolitik såsom den maritime sikkerhedsoperation EUNAVFOR ASPIDES; anerkender den strategiske betydning, som den adriatisk-joniske region har for europæisk sikkerhed og økonomisk stabilitet; opfordrer Albanien til at styrke sin maritime sikkerhedskapacitet i samarbejde med EU og NATO;</w:t>
      </w:r>
    </w:p>
    <w:p w14:paraId="3E9B9271" w14:textId="556FA0FC" w:rsidR="00CC1B2F" w:rsidRPr="00CE6334" w:rsidRDefault="0030202A" w:rsidP="00CC1B2F">
      <w:pPr>
        <w:pStyle w:val="NormalHanging12a"/>
      </w:pPr>
      <w:r>
        <w:t>63</w:t>
      </w:r>
      <w:r w:rsidR="00CC1B2F" w:rsidRPr="00CE6334">
        <w:t>.</w:t>
      </w:r>
      <w:r w:rsidR="00CC1B2F" w:rsidRPr="00CE6334">
        <w:tab/>
        <w:t>glæder sig over den albanske regerings fortsatte bestræbelser på at fremme gode naboskabsforbindelser; minder i denne forbindelse om vigtigheden af Albaniens tilsagn om at løse eventuelle grænsekonflikter i overensstemmelse med princippet om fredelig bilæggelse af tvister og i overensstemmelse med FN-pagten og FN's havretskonvention, herunder om nødvendigt ved at følge Den Internationale Domstols domme; glæder sig over Albaniens aktive bidrag til Berlinprocessen; tilskynder yderligere til et vedvarende og konstruktivt engagement i regionale samarbejdsinitiativer i overensstemmelse med EU's værdier og udvidelsesmål, da det bidrager til fred, sikkerhed og stabilitet på Vestbalkan; advarer mod handlinger såsom Open Balkans-initiativet, der kan underminere det fælles regionale marked eller afvige fra Berlinprocessen, for så vidt som de skaber hindringer for EU-integrationen og samhørigheden, hvilket potentielt kan bringe Albaniens fremskridt mod større regional og europæisk integration i fare;</w:t>
      </w:r>
    </w:p>
    <w:p w14:paraId="714DC16E" w14:textId="367FBAFD" w:rsidR="00CC1B2F" w:rsidRPr="00CE6334" w:rsidRDefault="0030202A" w:rsidP="00CC1B2F">
      <w:pPr>
        <w:pStyle w:val="NormalHanging12a"/>
        <w:rPr>
          <w:bCs/>
          <w:iCs/>
        </w:rPr>
      </w:pPr>
      <w:r>
        <w:t>64</w:t>
      </w:r>
      <w:r w:rsidR="00CC1B2F" w:rsidRPr="00CE6334">
        <w:t>.</w:t>
      </w:r>
      <w:r w:rsidR="00CC1B2F" w:rsidRPr="00CE6334">
        <w:tab/>
        <w:t>glæder sig over Albaniens ratificering af bilaterale aftaler om koordinering af de sociale sikringsordninger med Kroatien, Montenegro og Bulgarien;</w:t>
      </w:r>
    </w:p>
    <w:p w14:paraId="4F0284A2" w14:textId="5D3554C6" w:rsidR="00CC1B2F" w:rsidRPr="00CE6334" w:rsidRDefault="0030202A" w:rsidP="00CC1B2F">
      <w:pPr>
        <w:pStyle w:val="NormalHanging12a"/>
        <w:rPr>
          <w:bCs/>
          <w:iCs/>
        </w:rPr>
      </w:pPr>
      <w:r>
        <w:t>65</w:t>
      </w:r>
      <w:r w:rsidR="00CC1B2F" w:rsidRPr="00CE6334">
        <w:t>.</w:t>
      </w:r>
      <w:r w:rsidR="00CC1B2F" w:rsidRPr="00CE6334">
        <w:tab/>
        <w:t>understreger Albaniens konstruktive rolle med hensyn til at forbedre stabiliteten og samarbejdet på Vestbalkan, især gennem bilateral dialog med nabolandene og dets engagement i de regionale organisationer;</w:t>
      </w:r>
    </w:p>
    <w:p w14:paraId="2EA71571" w14:textId="77777777" w:rsidR="00CC1B2F" w:rsidRPr="00CE6334" w:rsidRDefault="00CC1B2F" w:rsidP="00CC1B2F">
      <w:pPr>
        <w:pStyle w:val="NormalHanging12a"/>
        <w:jc w:val="center"/>
      </w:pPr>
      <w:r w:rsidRPr="00CE6334">
        <w:t>°</w:t>
      </w:r>
    </w:p>
    <w:p w14:paraId="5AEE5AAE" w14:textId="77777777" w:rsidR="00CC1B2F" w:rsidRPr="00CE6334" w:rsidRDefault="00CC1B2F" w:rsidP="00CC1B2F">
      <w:pPr>
        <w:pStyle w:val="NormalHanging12a"/>
        <w:jc w:val="center"/>
      </w:pPr>
      <w:r w:rsidRPr="00CE6334">
        <w:t>°</w:t>
      </w:r>
      <w:r w:rsidRPr="00CE6334">
        <w:tab/>
        <w:t>°</w:t>
      </w:r>
    </w:p>
    <w:p w14:paraId="05199BC2" w14:textId="62021A1A" w:rsidR="0090457E" w:rsidRPr="00CE6334" w:rsidRDefault="0030202A" w:rsidP="0090457E">
      <w:pPr>
        <w:pStyle w:val="NormalHanging12a"/>
      </w:pPr>
      <w:r>
        <w:t>66</w:t>
      </w:r>
      <w:r w:rsidR="00CC1B2F" w:rsidRPr="00CE6334">
        <w:t>.</w:t>
      </w:r>
      <w:r w:rsidR="00CC1B2F" w:rsidRPr="00CE6334">
        <w:tab/>
        <w:t>pålægger sin formand at sende denne beslutning til formanden for Det Europæiske Råd, Rådet, formanden for Kommissionen, næstformanden for Kommissionen/Unionens højtstående repræsentant for udenrigsanliggender og sikkerhedspolitik, medlemsstaternes regeringer og parlamenter samt til Republikken Albaniens præsident, regering og parlament.</w:t>
      </w:r>
    </w:p>
    <w:p w14:paraId="42790D16" w14:textId="77777777" w:rsidR="00E365E1" w:rsidRPr="00CE6334" w:rsidRDefault="00E365E1" w:rsidP="00B3311D"/>
    <w:sectPr w:rsidR="00E365E1" w:rsidRPr="00CE6334" w:rsidSect="0090457E">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AB7FD20" w14:textId="77777777" w:rsidR="00B3311D" w:rsidRPr="0090457E" w:rsidRDefault="00B3311D">
      <w:r w:rsidRPr="0090457E">
        <w:separator/>
      </w:r>
    </w:p>
  </w:endnote>
  <w:endnote w:type="continuationSeparator" w:id="0">
    <w:p w14:paraId="1FF4178C" w14:textId="77777777" w:rsidR="00B3311D" w:rsidRPr="0090457E" w:rsidRDefault="00B3311D">
      <w:r w:rsidRPr="0090457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9013D09" w14:textId="77777777" w:rsidR="00B3311D" w:rsidRPr="0090457E" w:rsidRDefault="00B3311D">
      <w:r w:rsidRPr="0090457E">
        <w:separator/>
      </w:r>
    </w:p>
  </w:footnote>
  <w:footnote w:type="continuationSeparator" w:id="0">
    <w:p w14:paraId="05A5DFB3" w14:textId="77777777" w:rsidR="00B3311D" w:rsidRPr="0090457E" w:rsidRDefault="00B3311D">
      <w:r w:rsidRPr="0090457E">
        <w:continuationSeparator/>
      </w:r>
    </w:p>
  </w:footnote>
  <w:footnote w:id="1">
    <w:p w14:paraId="05FA60FF" w14:textId="77777777" w:rsidR="00CC1B2F" w:rsidRPr="0090457E" w:rsidRDefault="00CC1B2F" w:rsidP="0090457E">
      <w:pPr>
        <w:pStyle w:val="FootnoteText"/>
        <w:ind w:left="567" w:hanging="567"/>
        <w:rPr>
          <w:sz w:val="24"/>
          <w:lang w:val="da-DK"/>
        </w:rPr>
      </w:pPr>
      <w:r w:rsidRPr="0090457E">
        <w:rPr>
          <w:rStyle w:val="FootnoteReference"/>
          <w:sz w:val="24"/>
          <w:lang w:val="da-DK"/>
        </w:rPr>
        <w:footnoteRef/>
      </w:r>
      <w:r w:rsidR="0090457E" w:rsidRPr="0090457E">
        <w:rPr>
          <w:sz w:val="24"/>
          <w:lang w:val="da-DK"/>
        </w:rPr>
        <w:t xml:space="preserve"> </w:t>
      </w:r>
      <w:r w:rsidR="0090457E" w:rsidRPr="0090457E">
        <w:rPr>
          <w:sz w:val="24"/>
          <w:lang w:val="da-DK"/>
        </w:rPr>
        <w:tab/>
      </w:r>
      <w:r w:rsidRPr="0090457E">
        <w:rPr>
          <w:sz w:val="24"/>
          <w:lang w:val="da-DK"/>
        </w:rPr>
        <w:t xml:space="preserve">EUT L 107 af 28.4.2009, s. 166, ELI: </w:t>
      </w:r>
      <w:hyperlink r:id="rId1" w:tooltip="Giver adgang til dokumentet via dets ELI URI." w:history="1">
        <w:r w:rsidRPr="0090457E">
          <w:rPr>
            <w:rStyle w:val="Hyperlink"/>
            <w:sz w:val="24"/>
            <w:lang w:val="da-DK"/>
          </w:rPr>
          <w:t>http://data.europa.eu/eli/agree_internation/2009/332/oj</w:t>
        </w:r>
      </w:hyperlink>
      <w:r w:rsidRPr="0090457E">
        <w:rPr>
          <w:sz w:val="24"/>
          <w:lang w:val="da-DK"/>
        </w:rPr>
        <w:t>.</w:t>
      </w:r>
    </w:p>
  </w:footnote>
  <w:footnote w:id="2">
    <w:p w14:paraId="7167CBE8" w14:textId="77777777" w:rsidR="00CC1B2F" w:rsidRPr="0090457E" w:rsidRDefault="00CC1B2F" w:rsidP="0090457E">
      <w:pPr>
        <w:pStyle w:val="FootnoteText"/>
        <w:ind w:left="567" w:hanging="567"/>
        <w:rPr>
          <w:sz w:val="24"/>
          <w:lang w:val="da-DK"/>
        </w:rPr>
      </w:pPr>
      <w:r w:rsidRPr="0090457E">
        <w:rPr>
          <w:rStyle w:val="FootnoteReference"/>
          <w:sz w:val="24"/>
          <w:lang w:val="da-DK"/>
        </w:rPr>
        <w:footnoteRef/>
      </w:r>
      <w:r w:rsidR="0090457E" w:rsidRPr="0090457E">
        <w:rPr>
          <w:sz w:val="24"/>
          <w:lang w:val="da-DK"/>
        </w:rPr>
        <w:t xml:space="preserve"> </w:t>
      </w:r>
      <w:r w:rsidR="0090457E" w:rsidRPr="0090457E">
        <w:rPr>
          <w:sz w:val="24"/>
          <w:lang w:val="da-DK"/>
        </w:rPr>
        <w:tab/>
      </w:r>
      <w:r w:rsidRPr="0090457E">
        <w:rPr>
          <w:sz w:val="24"/>
          <w:lang w:val="da-DK"/>
        </w:rPr>
        <w:t xml:space="preserve">EUT L 330 af 20.9.2021, s. 1, ELI: </w:t>
      </w:r>
      <w:hyperlink r:id="rId2" w:tooltip="Giver adgang til dokumentet via dets ELI URI." w:history="1">
        <w:r w:rsidRPr="0090457E">
          <w:rPr>
            <w:rStyle w:val="Hyperlink"/>
            <w:sz w:val="24"/>
            <w:lang w:val="da-DK"/>
          </w:rPr>
          <w:t>http://data.europa.eu/eli/reg/2021/1529/oj</w:t>
        </w:r>
      </w:hyperlink>
      <w:r w:rsidRPr="0090457E">
        <w:rPr>
          <w:sz w:val="24"/>
          <w:lang w:val="da-DK"/>
        </w:rPr>
        <w:t>.</w:t>
      </w:r>
    </w:p>
  </w:footnote>
  <w:footnote w:id="3">
    <w:p w14:paraId="3606891B" w14:textId="77777777" w:rsidR="00CC1B2F" w:rsidRPr="0090457E" w:rsidRDefault="00CC1B2F" w:rsidP="0090457E">
      <w:pPr>
        <w:pStyle w:val="FootnoteText"/>
        <w:ind w:left="567" w:hanging="567"/>
        <w:rPr>
          <w:sz w:val="24"/>
          <w:lang w:val="da-DK"/>
        </w:rPr>
      </w:pPr>
      <w:r w:rsidRPr="0090457E">
        <w:rPr>
          <w:rStyle w:val="FootnoteReference"/>
          <w:sz w:val="24"/>
          <w:lang w:val="da-DK"/>
        </w:rPr>
        <w:footnoteRef/>
      </w:r>
      <w:r w:rsidR="0090457E" w:rsidRPr="0090457E">
        <w:rPr>
          <w:sz w:val="24"/>
          <w:lang w:val="da-DK"/>
        </w:rPr>
        <w:t xml:space="preserve"> </w:t>
      </w:r>
      <w:r w:rsidR="0090457E" w:rsidRPr="0090457E">
        <w:rPr>
          <w:sz w:val="24"/>
          <w:lang w:val="da-DK"/>
        </w:rPr>
        <w:tab/>
      </w:r>
      <w:r w:rsidRPr="0090457E">
        <w:rPr>
          <w:sz w:val="24"/>
          <w:lang w:val="da-DK"/>
        </w:rPr>
        <w:t xml:space="preserve">EUT L, 2024/1449 af 24.5.2024, ELI: </w:t>
      </w:r>
      <w:hyperlink r:id="rId3" w:tgtFrame="_blank" w:tooltip="Giver adgang til dokumentet via dets ELI URI." w:history="1">
        <w:r w:rsidRPr="0090457E">
          <w:rPr>
            <w:rStyle w:val="Hyperlink"/>
            <w:sz w:val="24"/>
            <w:lang w:val="da-DK"/>
          </w:rPr>
          <w:t>http://data.europa.eu/eli/reg/2024/1449/oj</w:t>
        </w:r>
      </w:hyperlink>
      <w:r w:rsidRPr="0090457E">
        <w:rPr>
          <w:sz w:val="24"/>
          <w:lang w:val="da-DK"/>
        </w:rPr>
        <w:t>.</w:t>
      </w:r>
    </w:p>
  </w:footnote>
  <w:footnote w:id="4">
    <w:p w14:paraId="33C6942C" w14:textId="77777777" w:rsidR="00CC1B2F" w:rsidRPr="0090457E" w:rsidRDefault="00CC1B2F" w:rsidP="0090457E">
      <w:pPr>
        <w:pStyle w:val="FootnoteText"/>
        <w:ind w:left="567" w:hanging="567"/>
        <w:rPr>
          <w:sz w:val="24"/>
          <w:lang w:val="da-DK"/>
        </w:rPr>
      </w:pPr>
      <w:r w:rsidRPr="0090457E">
        <w:rPr>
          <w:rStyle w:val="FootnoteReference"/>
          <w:sz w:val="24"/>
          <w:lang w:val="da-DK"/>
        </w:rPr>
        <w:footnoteRef/>
      </w:r>
      <w:r w:rsidR="0090457E" w:rsidRPr="0090457E">
        <w:rPr>
          <w:sz w:val="24"/>
          <w:lang w:val="da-DK"/>
        </w:rPr>
        <w:t xml:space="preserve"> </w:t>
      </w:r>
      <w:r w:rsidR="0090457E" w:rsidRPr="0090457E">
        <w:rPr>
          <w:sz w:val="24"/>
          <w:lang w:val="da-DK"/>
        </w:rPr>
        <w:tab/>
      </w:r>
      <w:r w:rsidRPr="0090457E">
        <w:rPr>
          <w:sz w:val="24"/>
          <w:lang w:val="da-DK"/>
        </w:rPr>
        <w:t xml:space="preserve">Europa-Parlamentets og Rådets forordning (EU) 2024/1083 af 11. april 2024 om oprettelse af en fælles ramme for medietjenester i det indre marked og om ændring af direktiv 2010/13/EU (den europæiske forordning om mediefrihed) (EUT L, 2024/1083, 17.4.2024, ELI: </w:t>
      </w:r>
      <w:hyperlink r:id="rId4" w:history="1">
        <w:r w:rsidRPr="0090457E">
          <w:rPr>
            <w:rStyle w:val="Hyperlink"/>
            <w:sz w:val="24"/>
            <w:lang w:val="da-DK"/>
          </w:rPr>
          <w:t>http://data.europa.eu/eli/reg/2024/1083/oj</w:t>
        </w:r>
      </w:hyperlink>
      <w:r w:rsidRPr="0090457E">
        <w:rPr>
          <w:sz w:val="24"/>
          <w:lang w:val="da-DK"/>
        </w:rPr>
        <w:t>).</w:t>
      </w:r>
    </w:p>
  </w:footnote>
  <w:footnote w:id="5">
    <w:p w14:paraId="0FDFF8E3" w14:textId="01B246BA" w:rsidR="0051166A" w:rsidRPr="00EF059B" w:rsidRDefault="0051166A" w:rsidP="00EF059B">
      <w:pPr>
        <w:pStyle w:val="FootnoteText"/>
        <w:ind w:left="567" w:hanging="567"/>
        <w:rPr>
          <w:sz w:val="24"/>
          <w:lang w:val="da-DK"/>
        </w:rPr>
      </w:pPr>
      <w:r w:rsidRPr="00EF059B">
        <w:rPr>
          <w:rStyle w:val="FootnoteReference"/>
          <w:sz w:val="24"/>
        </w:rPr>
        <w:footnoteRef/>
      </w:r>
      <w:r w:rsidRPr="00EF059B">
        <w:rPr>
          <w:sz w:val="24"/>
          <w:lang w:val="da-DK"/>
        </w:rPr>
        <w:t xml:space="preserve"> </w:t>
      </w:r>
      <w:r w:rsidRPr="00EF059B">
        <w:rPr>
          <w:sz w:val="24"/>
          <w:lang w:val="da-DK"/>
        </w:rPr>
        <w:tab/>
      </w:r>
      <w:hyperlink r:id="rId5" w:history="1">
        <w:r w:rsidRPr="00EF059B">
          <w:rPr>
            <w:rStyle w:val="Hyperlink"/>
            <w:sz w:val="24"/>
            <w:lang w:val="da-DK"/>
          </w:rPr>
          <w:t>https://www.state.gov/reports/2023-report-on-international-religious-freedom/albania/</w:t>
        </w:r>
      </w:hyperlink>
      <w:r w:rsidRPr="00EF059B">
        <w:rPr>
          <w:sz w:val="24"/>
          <w:lang w:val="da-DK"/>
        </w:rPr>
        <w:t>.</w:t>
      </w:r>
    </w:p>
  </w:footnote>
  <w:footnote w:id="6">
    <w:p w14:paraId="642F1AC6" w14:textId="77777777" w:rsidR="00CC1B2F" w:rsidRPr="0090457E" w:rsidRDefault="00CC1B2F" w:rsidP="0090457E">
      <w:pPr>
        <w:pStyle w:val="FootnoteText"/>
        <w:ind w:left="567" w:hanging="567"/>
        <w:rPr>
          <w:sz w:val="24"/>
          <w:lang w:val="da-DK"/>
        </w:rPr>
      </w:pPr>
      <w:r w:rsidRPr="0090457E">
        <w:rPr>
          <w:rStyle w:val="FootnoteReference"/>
          <w:sz w:val="24"/>
          <w:lang w:val="da-DK"/>
        </w:rPr>
        <w:footnoteRef/>
      </w:r>
      <w:r w:rsidR="0090457E" w:rsidRPr="0090457E">
        <w:rPr>
          <w:sz w:val="24"/>
          <w:lang w:val="da-DK"/>
        </w:rPr>
        <w:t xml:space="preserve"> </w:t>
      </w:r>
      <w:r w:rsidR="0090457E" w:rsidRPr="0090457E">
        <w:rPr>
          <w:sz w:val="24"/>
          <w:lang w:val="da-DK"/>
        </w:rPr>
        <w:tab/>
      </w:r>
      <w:r w:rsidRPr="0090457E">
        <w:rPr>
          <w:sz w:val="24"/>
          <w:lang w:val="da-DK"/>
        </w:rPr>
        <w:t xml:space="preserve">Europa-Parlamentets og Rådets direktiv 2014/92/EU af 23. juli 2014 om sammenlignelighed af gebyrer i forbindelse med betalingskonti, flytning af betalingskonti og adgang til betalingskonti med basale funktioner (EUT L 257 af 28.8.2014, s. 214, ELI: </w:t>
      </w:r>
      <w:hyperlink r:id="rId6" w:history="1">
        <w:r w:rsidRPr="0090457E">
          <w:rPr>
            <w:rStyle w:val="Hyperlink"/>
            <w:sz w:val="24"/>
            <w:lang w:val="da-DK"/>
          </w:rPr>
          <w:t>http://data.europa.eu/eli/dir/2014/92/oj</w:t>
        </w:r>
      </w:hyperlink>
      <w:r w:rsidRPr="0090457E">
        <w:rPr>
          <w:sz w:val="24"/>
          <w:lang w:val="da-DK"/>
        </w:rPr>
        <w:t>).</w:t>
      </w:r>
    </w:p>
  </w:footnote>
  <w:footnote w:id="7">
    <w:p w14:paraId="7E230002" w14:textId="77777777" w:rsidR="00CC1B2F" w:rsidRPr="0090457E" w:rsidRDefault="00CC1B2F" w:rsidP="0090457E">
      <w:pPr>
        <w:pStyle w:val="FootnoteText"/>
        <w:ind w:left="567" w:hanging="567"/>
        <w:rPr>
          <w:sz w:val="24"/>
          <w:lang w:val="da-DK"/>
        </w:rPr>
      </w:pPr>
      <w:r w:rsidRPr="0090457E">
        <w:rPr>
          <w:rStyle w:val="FootnoteReference"/>
          <w:sz w:val="24"/>
          <w:lang w:val="da-DK"/>
        </w:rPr>
        <w:footnoteRef/>
      </w:r>
      <w:r w:rsidR="0090457E" w:rsidRPr="0090457E">
        <w:rPr>
          <w:sz w:val="24"/>
          <w:lang w:val="da-DK"/>
        </w:rPr>
        <w:t xml:space="preserve"> </w:t>
      </w:r>
      <w:r w:rsidR="0090457E" w:rsidRPr="0090457E">
        <w:rPr>
          <w:sz w:val="24"/>
          <w:lang w:val="da-DK"/>
        </w:rPr>
        <w:tab/>
      </w:r>
      <w:r w:rsidRPr="0090457E">
        <w:rPr>
          <w:sz w:val="24"/>
          <w:lang w:val="da-DK"/>
        </w:rPr>
        <w:t xml:space="preserve">Europa-Parlamentets og Rådets direktiv 2011/92/EU af 13. december 2011 om vurdering af visse offentlige og private projekters indvirkning på miljøet (EUT L 26 af 28.1.2012, s. 1, ELI: </w:t>
      </w:r>
      <w:hyperlink r:id="rId7" w:history="1">
        <w:r w:rsidRPr="0090457E">
          <w:rPr>
            <w:rStyle w:val="Hyperlink"/>
            <w:sz w:val="24"/>
            <w:lang w:val="da-DK"/>
          </w:rPr>
          <w:t>http://data.europa.eu/eli/dir/2011/92/oj</w:t>
        </w:r>
      </w:hyperlink>
      <w:r w:rsidRPr="0090457E">
        <w:rPr>
          <w:sz w:val="24"/>
          <w:lang w:val="da-DK"/>
        </w:rPr>
        <w:t>).</w:t>
      </w:r>
    </w:p>
  </w:footnote>
  <w:footnote w:id="8">
    <w:p w14:paraId="1FC44404" w14:textId="77777777" w:rsidR="00CC1B2F" w:rsidRPr="0090457E" w:rsidRDefault="00CC1B2F" w:rsidP="0090457E">
      <w:pPr>
        <w:pStyle w:val="FootnoteText"/>
        <w:ind w:left="567" w:hanging="567"/>
        <w:rPr>
          <w:sz w:val="24"/>
          <w:lang w:val="da-DK"/>
        </w:rPr>
      </w:pPr>
      <w:r w:rsidRPr="0090457E">
        <w:rPr>
          <w:rStyle w:val="FootnoteReference"/>
          <w:sz w:val="24"/>
          <w:lang w:val="da-DK"/>
        </w:rPr>
        <w:footnoteRef/>
      </w:r>
      <w:r w:rsidR="0090457E" w:rsidRPr="0090457E">
        <w:rPr>
          <w:sz w:val="24"/>
          <w:lang w:val="da-DK"/>
        </w:rPr>
        <w:t xml:space="preserve"> </w:t>
      </w:r>
      <w:r w:rsidR="0090457E" w:rsidRPr="0090457E">
        <w:rPr>
          <w:sz w:val="24"/>
          <w:lang w:val="da-DK"/>
        </w:rPr>
        <w:tab/>
      </w:r>
      <w:r w:rsidRPr="0090457E">
        <w:rPr>
          <w:sz w:val="24"/>
          <w:lang w:val="da-DK"/>
        </w:rPr>
        <w:t xml:space="preserve">Europa-Parlamentets og Rådets direktiv 2001/42/EF af 27. juni 2001 om vurdering af bestemte planers og programmers indvirkning på miljøet (EFT L 197 af 21.7.2001, s. 30, ELI: </w:t>
      </w:r>
      <w:hyperlink r:id="rId8" w:history="1">
        <w:r w:rsidRPr="0090457E">
          <w:rPr>
            <w:rStyle w:val="Hyperlink"/>
            <w:sz w:val="24"/>
            <w:lang w:val="da-DK"/>
          </w:rPr>
          <w:t>http://data.europa.eu/eli/dir/2001/42/oj</w:t>
        </w:r>
      </w:hyperlink>
      <w:r w:rsidRPr="0090457E">
        <w:rPr>
          <w:sz w:val="24"/>
          <w:lang w:val="da-DK"/>
        </w:rPr>
        <w:t>).</w:t>
      </w:r>
    </w:p>
  </w:footnote>
  <w:footnote w:id="9">
    <w:p w14:paraId="0FD31A85" w14:textId="3BB68BC1" w:rsidR="0051166A" w:rsidRPr="00EF059B" w:rsidRDefault="0051166A" w:rsidP="00EF059B">
      <w:pPr>
        <w:pStyle w:val="FootnoteText"/>
        <w:ind w:left="567" w:hanging="567"/>
        <w:rPr>
          <w:sz w:val="24"/>
          <w:lang w:val="da-DK"/>
        </w:rPr>
      </w:pPr>
      <w:r w:rsidRPr="00EF059B">
        <w:rPr>
          <w:rStyle w:val="FootnoteReference"/>
          <w:sz w:val="24"/>
        </w:rPr>
        <w:footnoteRef/>
      </w:r>
      <w:r w:rsidRPr="00EF059B">
        <w:rPr>
          <w:sz w:val="24"/>
          <w:lang w:val="da-DK"/>
        </w:rPr>
        <w:t xml:space="preserve"> </w:t>
      </w:r>
      <w:r w:rsidRPr="00EF059B">
        <w:rPr>
          <w:sz w:val="24"/>
          <w:lang w:val="da-DK"/>
        </w:rPr>
        <w:tab/>
      </w:r>
      <w:hyperlink r:id="rId9" w:history="1">
        <w:r w:rsidRPr="00EF059B">
          <w:rPr>
            <w:rStyle w:val="Hyperlink"/>
            <w:sz w:val="24"/>
            <w:lang w:val="da-DK"/>
          </w:rPr>
          <w:t>https://politiko.al/english/e-tjera/-mbyll-155-llogari-ruse-ne-internet-per-dezinformimin-ne-tirane-i517028?</w:t>
        </w:r>
      </w:hyperlink>
      <w:r w:rsidRPr="00EF059B">
        <w:rPr>
          <w:sz w:val="24"/>
          <w:lang w:val="da-DK"/>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106/2025"/>
    <w:docVar w:name="dvlangue" w:val="DA"/>
    <w:docVar w:name="dvnumam" w:val="0"/>
    <w:docVar w:name="dvpe" w:val="769.914"/>
    <w:docVar w:name="dvrapporteur" w:val="Ordfører: "/>
    <w:docVar w:name="dvtitre" w:val="Europa-Parlamentets beslutning af xx. juli 2025 om Kommissionens rapporter om Albanien for 2023 og 2024(2025/2017(INI))"/>
  </w:docVars>
  <w:rsids>
    <w:rsidRoot w:val="00B3311D"/>
    <w:rsid w:val="00002272"/>
    <w:rsid w:val="00064002"/>
    <w:rsid w:val="000677B9"/>
    <w:rsid w:val="000831BA"/>
    <w:rsid w:val="000A42CC"/>
    <w:rsid w:val="000E7DD9"/>
    <w:rsid w:val="0010095E"/>
    <w:rsid w:val="00125B37"/>
    <w:rsid w:val="00187494"/>
    <w:rsid w:val="001F32AE"/>
    <w:rsid w:val="002754B1"/>
    <w:rsid w:val="002767FF"/>
    <w:rsid w:val="002B18FE"/>
    <w:rsid w:val="002B5493"/>
    <w:rsid w:val="0030202A"/>
    <w:rsid w:val="00343214"/>
    <w:rsid w:val="00361C00"/>
    <w:rsid w:val="00395FA1"/>
    <w:rsid w:val="003E0D35"/>
    <w:rsid w:val="003E15D4"/>
    <w:rsid w:val="00400537"/>
    <w:rsid w:val="00411CCE"/>
    <w:rsid w:val="0041666E"/>
    <w:rsid w:val="00421060"/>
    <w:rsid w:val="00471C19"/>
    <w:rsid w:val="004867E3"/>
    <w:rsid w:val="00494A28"/>
    <w:rsid w:val="004C0004"/>
    <w:rsid w:val="004C5D52"/>
    <w:rsid w:val="0050519A"/>
    <w:rsid w:val="005072A1"/>
    <w:rsid w:val="0051166A"/>
    <w:rsid w:val="00514517"/>
    <w:rsid w:val="00545827"/>
    <w:rsid w:val="00560270"/>
    <w:rsid w:val="005C2568"/>
    <w:rsid w:val="005F1B17"/>
    <w:rsid w:val="005F42B5"/>
    <w:rsid w:val="006037C0"/>
    <w:rsid w:val="006631B6"/>
    <w:rsid w:val="00680577"/>
    <w:rsid w:val="006B7E19"/>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F0B2A"/>
    <w:rsid w:val="0090457E"/>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31F57"/>
    <w:rsid w:val="00B3311D"/>
    <w:rsid w:val="00B558F0"/>
    <w:rsid w:val="00BD48FE"/>
    <w:rsid w:val="00BD7BD8"/>
    <w:rsid w:val="00BE519A"/>
    <w:rsid w:val="00BE6ADC"/>
    <w:rsid w:val="00C05BFE"/>
    <w:rsid w:val="00C23CD4"/>
    <w:rsid w:val="00C61C0C"/>
    <w:rsid w:val="00C941CB"/>
    <w:rsid w:val="00CC1B2F"/>
    <w:rsid w:val="00CC2357"/>
    <w:rsid w:val="00CE6334"/>
    <w:rsid w:val="00CF071A"/>
    <w:rsid w:val="00D058B8"/>
    <w:rsid w:val="00D56C11"/>
    <w:rsid w:val="00D834A0"/>
    <w:rsid w:val="00D872DF"/>
    <w:rsid w:val="00D91E21"/>
    <w:rsid w:val="00DA7FCD"/>
    <w:rsid w:val="00E365E1"/>
    <w:rsid w:val="00E820A4"/>
    <w:rsid w:val="00EB006A"/>
    <w:rsid w:val="00EB4772"/>
    <w:rsid w:val="00ED169E"/>
    <w:rsid w:val="00ED4235"/>
    <w:rsid w:val="00EF059B"/>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A1EF080"/>
  <w15:chartTrackingRefBased/>
  <w15:docId w15:val="{5620FA69-EECD-42DB-BA50-3DA9646CC1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CC1B2F"/>
    <w:pPr>
      <w:spacing w:after="240"/>
      <w:ind w:left="567" w:hanging="567"/>
    </w:pPr>
  </w:style>
  <w:style w:type="paragraph" w:customStyle="1" w:styleId="EPComma">
    <w:name w:val="EPComma"/>
    <w:basedOn w:val="Normal"/>
    <w:rsid w:val="00CC1B2F"/>
    <w:pPr>
      <w:spacing w:before="480" w:after="240"/>
    </w:pPr>
  </w:style>
  <w:style w:type="character" w:styleId="Hyperlink">
    <w:name w:val="Hyperlink"/>
    <w:basedOn w:val="DefaultParagraphFont"/>
    <w:rsid w:val="00CC1B2F"/>
    <w:rPr>
      <w:color w:val="0563C1" w:themeColor="hyperlink"/>
      <w:u w:val="single"/>
    </w:rPr>
  </w:style>
  <w:style w:type="character" w:customStyle="1" w:styleId="NormalHanging12aChar">
    <w:name w:val="NormalHanging12a Char"/>
    <w:basedOn w:val="DefaultParagraphFont"/>
    <w:link w:val="NormalHanging12a"/>
    <w:rsid w:val="00CC1B2F"/>
    <w:rPr>
      <w:sz w:val="24"/>
      <w:lang w:val="da-DK"/>
    </w:rPr>
  </w:style>
  <w:style w:type="character" w:styleId="CommentReference">
    <w:name w:val="annotation reference"/>
    <w:basedOn w:val="DefaultParagraphFont"/>
    <w:rsid w:val="00400537"/>
    <w:rPr>
      <w:sz w:val="16"/>
      <w:szCs w:val="16"/>
    </w:rPr>
  </w:style>
  <w:style w:type="paragraph" w:styleId="CommentText">
    <w:name w:val="annotation text"/>
    <w:basedOn w:val="Normal"/>
    <w:link w:val="CommentTextChar"/>
    <w:rsid w:val="00400537"/>
    <w:rPr>
      <w:sz w:val="20"/>
    </w:rPr>
  </w:style>
  <w:style w:type="character" w:customStyle="1" w:styleId="CommentTextChar">
    <w:name w:val="Comment Text Char"/>
    <w:basedOn w:val="DefaultParagraphFont"/>
    <w:link w:val="CommentText"/>
    <w:rsid w:val="00400537"/>
    <w:rPr>
      <w:lang w:val="da-DK"/>
    </w:rPr>
  </w:style>
  <w:style w:type="paragraph" w:styleId="CommentSubject">
    <w:name w:val="annotation subject"/>
    <w:basedOn w:val="CommentText"/>
    <w:next w:val="CommentText"/>
    <w:link w:val="CommentSubjectChar"/>
    <w:rsid w:val="00400537"/>
    <w:rPr>
      <w:b/>
      <w:bCs/>
    </w:rPr>
  </w:style>
  <w:style w:type="character" w:customStyle="1" w:styleId="CommentSubjectChar">
    <w:name w:val="Comment Subject Char"/>
    <w:basedOn w:val="CommentTextChar"/>
    <w:link w:val="CommentSubject"/>
    <w:rsid w:val="00400537"/>
    <w:rPr>
      <w:b/>
      <w:bCs/>
      <w:lang w:val="da-DK"/>
    </w:rPr>
  </w:style>
  <w:style w:type="paragraph" w:styleId="BalloonText">
    <w:name w:val="Balloon Text"/>
    <w:basedOn w:val="Normal"/>
    <w:link w:val="BalloonTextChar"/>
    <w:rsid w:val="00400537"/>
    <w:rPr>
      <w:rFonts w:ascii="Segoe UI" w:hAnsi="Segoe UI" w:cs="Segoe UI"/>
      <w:sz w:val="18"/>
      <w:szCs w:val="18"/>
    </w:rPr>
  </w:style>
  <w:style w:type="character" w:customStyle="1" w:styleId="BalloonTextChar">
    <w:name w:val="Balloon Text Char"/>
    <w:basedOn w:val="DefaultParagraphFont"/>
    <w:link w:val="BalloonText"/>
    <w:rsid w:val="00400537"/>
    <w:rPr>
      <w:rFonts w:ascii="Segoe UI" w:hAnsi="Segoe UI" w:cs="Segoe UI"/>
      <w:sz w:val="18"/>
      <w:szCs w:val="18"/>
      <w:lang w:val="da-DK"/>
    </w:rPr>
  </w:style>
  <w:style w:type="character" w:styleId="FollowedHyperlink">
    <w:name w:val="FollowedHyperlink"/>
    <w:basedOn w:val="DefaultParagraphFont"/>
    <w:rsid w:val="0051166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dir/2001/42/oj" TargetMode="External"/><Relationship Id="rId3" Type="http://schemas.openxmlformats.org/officeDocument/2006/relationships/hyperlink" Target="http://data.europa.eu/eli/reg/2024/1449/oj" TargetMode="External"/><Relationship Id="rId7" Type="http://schemas.openxmlformats.org/officeDocument/2006/relationships/hyperlink" Target="http://data.europa.eu/eli/dir/2011/92/oj" TargetMode="External"/><Relationship Id="rId2" Type="http://schemas.openxmlformats.org/officeDocument/2006/relationships/hyperlink" Target="http://data.europa.eu/eli/reg/2021/1529/oj" TargetMode="External"/><Relationship Id="rId1" Type="http://schemas.openxmlformats.org/officeDocument/2006/relationships/hyperlink" Target="http://data.europa.eu/eli/agree_internation/2009/332/oj" TargetMode="External"/><Relationship Id="rId6" Type="http://schemas.openxmlformats.org/officeDocument/2006/relationships/hyperlink" Target="http://data.europa.eu/eli/dir/2014/92/oj" TargetMode="External"/><Relationship Id="rId5" Type="http://schemas.openxmlformats.org/officeDocument/2006/relationships/hyperlink" Target="https://www.state.gov/reports/2023-report-on-international-religious-freedom/albania/" TargetMode="External"/><Relationship Id="rId4" Type="http://schemas.openxmlformats.org/officeDocument/2006/relationships/hyperlink" Target="http://data.europa.eu/eli/reg/2024/1083/oj" TargetMode="External"/><Relationship Id="rId9" Type="http://schemas.openxmlformats.org/officeDocument/2006/relationships/hyperlink" Target="https://politiko.al/english/e-tjera/-mbyll-155-llogari-ruse-ne-internet-per-dezinformimin-ne-tirane-i51702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941759-2F1E-49F3-B860-4DBF9507DF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6448</Words>
  <Characters>42672</Characters>
  <Application>Microsoft Office Word</Application>
  <DocSecurity>0</DocSecurity>
  <Lines>355</Lines>
  <Paragraphs>98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49022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NIELSEN Anja</dc:creator>
  <cp:keywords/>
  <cp:lastModifiedBy>NIELSEN Anja</cp:lastModifiedBy>
  <cp:revision>2</cp:revision>
  <cp:lastPrinted>2004-11-19T15:42:00Z</cp:lastPrinted>
  <dcterms:created xsi:type="dcterms:W3CDTF">2025-07-09T14:28:00Z</dcterms:created>
  <dcterms:modified xsi:type="dcterms:W3CDTF">2025-07-09T14:28:00Z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P10_TA-PROV(2025)0155_A10-0106_2025_</vt:lpwstr>
  </property>
  <property fmtid="{D5CDD505-2E9C-101B-9397-08002B2CF9AE}" pid="4" name="&lt;Type&gt;">
    <vt:lpwstr>RR</vt:lpwstr>
  </property>
</Properties>
</file>