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32A60" w14:paraId="15851B5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24DF66D" w14:textId="77777777" w:rsidR="00751A4A" w:rsidRPr="00432A60" w:rsidRDefault="005616DD" w:rsidP="0010095E">
            <w:pPr>
              <w:pStyle w:val="EPName"/>
            </w:pPr>
            <w:r w:rsidRPr="00432A60">
              <w:t>Európai Parlament</w:t>
            </w:r>
          </w:p>
          <w:p w14:paraId="53F370F7" w14:textId="77777777" w:rsidR="00751A4A" w:rsidRPr="00432A6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32A60">
              <w:t>2024</w:t>
            </w:r>
            <w:r w:rsidR="00817416" w:rsidRPr="00432A60">
              <w:t>-202</w:t>
            </w:r>
            <w:r w:rsidRPr="00432A60">
              <w:t>9</w:t>
            </w:r>
          </w:p>
        </w:tc>
        <w:tc>
          <w:tcPr>
            <w:tcW w:w="2268" w:type="dxa"/>
            <w:shd w:val="clear" w:color="auto" w:fill="auto"/>
          </w:tcPr>
          <w:p w14:paraId="3D418481" w14:textId="77777777" w:rsidR="00751A4A" w:rsidRPr="00432A60" w:rsidRDefault="00187494" w:rsidP="0010095E">
            <w:pPr>
              <w:pStyle w:val="EPLogo"/>
            </w:pPr>
            <w:r w:rsidRPr="00432A60">
              <w:rPr>
                <w:noProof/>
                <w:lang w:val="en-GB"/>
              </w:rPr>
              <w:drawing>
                <wp:inline distT="0" distB="0" distL="0" distR="0" wp14:anchorId="12BB2C26" wp14:editId="31996AC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E7771BD" w14:textId="77777777" w:rsidR="00D058B8" w:rsidRPr="00432A60" w:rsidRDefault="00D058B8" w:rsidP="004C5D52">
      <w:pPr>
        <w:pStyle w:val="LineTop"/>
      </w:pPr>
    </w:p>
    <w:p w14:paraId="375326EB" w14:textId="77777777" w:rsidR="00680577" w:rsidRPr="00432A60" w:rsidRDefault="005616DD" w:rsidP="00680577">
      <w:pPr>
        <w:pStyle w:val="EPBodyTA1"/>
      </w:pPr>
      <w:r w:rsidRPr="00432A60">
        <w:t>ELFOGADOTT SZÖVEGEK</w:t>
      </w:r>
    </w:p>
    <w:p w14:paraId="0C08D540" w14:textId="77777777" w:rsidR="00D058B8" w:rsidRPr="00432A60" w:rsidRDefault="00D058B8" w:rsidP="00D058B8">
      <w:pPr>
        <w:pStyle w:val="LineBottom"/>
      </w:pPr>
    </w:p>
    <w:p w14:paraId="49E99D7D" w14:textId="77777777" w:rsidR="005616DD" w:rsidRPr="00432A60" w:rsidRDefault="005616DD" w:rsidP="005616DD">
      <w:pPr>
        <w:pStyle w:val="ATHeading1"/>
      </w:pPr>
      <w:bookmarkStart w:id="0" w:name="TANumber"/>
      <w:r w:rsidRPr="00432A60">
        <w:t>P10_</w:t>
      </w:r>
      <w:proofErr w:type="gramStart"/>
      <w:r w:rsidRPr="00432A60">
        <w:t>TA(</w:t>
      </w:r>
      <w:proofErr w:type="gramEnd"/>
      <w:r w:rsidRPr="00432A60">
        <w:t>2025)0</w:t>
      </w:r>
      <w:r w:rsidR="00523231">
        <w:t>155</w:t>
      </w:r>
      <w:bookmarkEnd w:id="0"/>
    </w:p>
    <w:p w14:paraId="224BA8D1" w14:textId="77777777" w:rsidR="005616DD" w:rsidRPr="00432A60" w:rsidRDefault="005616DD" w:rsidP="005616DD">
      <w:pPr>
        <w:pStyle w:val="ATHeading2"/>
      </w:pPr>
      <w:bookmarkStart w:id="1" w:name="title"/>
      <w:r w:rsidRPr="00432A60">
        <w:t>A Bizottság Albániáról szóló 2023. és 2024. évi jelentései</w:t>
      </w:r>
      <w:bookmarkEnd w:id="1"/>
    </w:p>
    <w:p w14:paraId="4B981CB0" w14:textId="77777777" w:rsidR="005616DD" w:rsidRPr="00432A60" w:rsidRDefault="005616DD" w:rsidP="005616DD">
      <w:pPr>
        <w:rPr>
          <w:i/>
          <w:vanish/>
        </w:rPr>
      </w:pPr>
      <w:r w:rsidRPr="00432A60">
        <w:rPr>
          <w:i/>
        </w:rPr>
        <w:fldChar w:fldCharType="begin"/>
      </w:r>
      <w:r w:rsidRPr="00432A60">
        <w:rPr>
          <w:i/>
        </w:rPr>
        <w:instrText xml:space="preserve"> TC"(</w:instrText>
      </w:r>
      <w:bookmarkStart w:id="2" w:name="DocNumber"/>
      <w:r w:rsidRPr="00432A60">
        <w:rPr>
          <w:i/>
        </w:rPr>
        <w:instrText>A10-0106/2025</w:instrText>
      </w:r>
      <w:bookmarkEnd w:id="2"/>
      <w:r w:rsidRPr="00432A60">
        <w:rPr>
          <w:i/>
        </w:rPr>
        <w:instrText xml:space="preserve"> - Előadó: Andreas Schieder)"\l3 \n&gt; \* MERGEFORMAT </w:instrText>
      </w:r>
      <w:r w:rsidRPr="00432A60">
        <w:rPr>
          <w:i/>
        </w:rPr>
        <w:fldChar w:fldCharType="end"/>
      </w:r>
    </w:p>
    <w:p w14:paraId="25915FB6" w14:textId="77777777" w:rsidR="005616DD" w:rsidRPr="00432A60" w:rsidRDefault="005616DD" w:rsidP="005616DD">
      <w:pPr>
        <w:rPr>
          <w:vanish/>
        </w:rPr>
      </w:pPr>
      <w:bookmarkStart w:id="3" w:name="Commission"/>
      <w:r w:rsidRPr="00432A60">
        <w:rPr>
          <w:vanish/>
        </w:rPr>
        <w:t>Külügyi Bizottság</w:t>
      </w:r>
      <w:bookmarkEnd w:id="3"/>
    </w:p>
    <w:p w14:paraId="55117F70" w14:textId="77777777" w:rsidR="005616DD" w:rsidRPr="00432A60" w:rsidRDefault="005616DD" w:rsidP="005616DD">
      <w:pPr>
        <w:rPr>
          <w:vanish/>
        </w:rPr>
      </w:pPr>
      <w:bookmarkStart w:id="4" w:name="PE"/>
      <w:r w:rsidRPr="00432A60">
        <w:rPr>
          <w:vanish/>
        </w:rPr>
        <w:t>PE769.914</w:t>
      </w:r>
      <w:bookmarkEnd w:id="4"/>
    </w:p>
    <w:p w14:paraId="1B52DFFB" w14:textId="77777777" w:rsidR="005616DD" w:rsidRPr="00432A60" w:rsidRDefault="005616DD" w:rsidP="005616DD">
      <w:pPr>
        <w:pStyle w:val="ATHeading3"/>
      </w:pPr>
      <w:bookmarkStart w:id="5" w:name="Sujet"/>
      <w:r w:rsidRPr="00432A60">
        <w:t xml:space="preserve">Az Európai Parlament 2025. </w:t>
      </w:r>
      <w:r w:rsidR="002A67A8" w:rsidRPr="00432A60">
        <w:t>július</w:t>
      </w:r>
      <w:r w:rsidRPr="00432A60">
        <w:t xml:space="preserve"> </w:t>
      </w:r>
      <w:r w:rsidR="00756CA0" w:rsidRPr="00432A60">
        <w:t>9-</w:t>
      </w:r>
      <w:r w:rsidRPr="00432A60">
        <w:t>i állásfoglalása a Bizottság Albániáról szóló 2023. és 2024. évi jelentéseiről</w:t>
      </w:r>
      <w:bookmarkEnd w:id="5"/>
      <w:r w:rsidRPr="00432A60">
        <w:t xml:space="preserve"> </w:t>
      </w:r>
      <w:bookmarkStart w:id="6" w:name="References"/>
      <w:r w:rsidRPr="00432A60">
        <w:t>(2025/2017(INI))</w:t>
      </w:r>
      <w:bookmarkEnd w:id="6"/>
    </w:p>
    <w:p w14:paraId="55675010" w14:textId="77777777" w:rsidR="00916DDD" w:rsidRPr="00432A60" w:rsidRDefault="00916DDD" w:rsidP="00916DDD">
      <w:pPr>
        <w:pStyle w:val="EPComma"/>
      </w:pPr>
      <w:r w:rsidRPr="00432A60">
        <w:rPr>
          <w:i/>
        </w:rPr>
        <w:t>Az Európai Parlament,</w:t>
      </w:r>
    </w:p>
    <w:p w14:paraId="77775245" w14:textId="77777777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az egyrészről az Európai Közösségek és tagállamaik, másrészről az Albán Köztársaság közötti stabilizációs és társulási megállapodásra</w:t>
      </w:r>
      <w:r w:rsidRPr="00432A60">
        <w:rPr>
          <w:rStyle w:val="FootnoteReference"/>
          <w:color w:val="000000"/>
        </w:rPr>
        <w:footnoteReference w:id="1"/>
      </w:r>
      <w:r w:rsidRPr="00432A60">
        <w:t>,</w:t>
      </w:r>
    </w:p>
    <w:p w14:paraId="379C26D0" w14:textId="77777777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Albánia európai uniós tagságra irányuló, 2009. április 24-i kérelmére,</w:t>
      </w:r>
    </w:p>
    <w:p w14:paraId="7C89DC3D" w14:textId="77777777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az Előcsatlakozási Támogatási Eszköz (IPA III) létrehozásáról szóló, 2021. szeptember 15-i (EU) 2021/1529 európai parlamenti és tanácsi rendeletre</w:t>
      </w:r>
      <w:r w:rsidRPr="00432A60">
        <w:rPr>
          <w:rStyle w:val="FootnoteReference"/>
          <w:color w:val="000000"/>
        </w:rPr>
        <w:footnoteReference w:id="2"/>
      </w:r>
      <w:r w:rsidRPr="00432A60">
        <w:t>,</w:t>
      </w:r>
    </w:p>
    <w:p w14:paraId="4FD318D4" w14:textId="77777777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a Nyugat-balkáni Reform- és Növekedéstámogató Eszköz létrehozásáról szóló, 2024. május 14-i (EU) 2024/1449 európai parlamenti és tanácsi rendeletre</w:t>
      </w:r>
      <w:r w:rsidRPr="00432A60">
        <w:rPr>
          <w:rStyle w:val="FootnoteReference"/>
          <w:color w:val="000000"/>
        </w:rPr>
        <w:footnoteReference w:id="3"/>
      </w:r>
      <w:r w:rsidRPr="00432A60">
        <w:t>,</w:t>
      </w:r>
    </w:p>
    <w:p w14:paraId="706C62D7" w14:textId="77777777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„A csatlakozási folyamat javítása – hiteles uniós perspektíva a Nyugat-Balkán számára” című, 2020. február 5-i bizottsági közleményre (</w:t>
      </w:r>
      <w:proofErr w:type="gramStart"/>
      <w:r w:rsidRPr="00432A60">
        <w:t>COM(</w:t>
      </w:r>
      <w:proofErr w:type="gramEnd"/>
      <w:r w:rsidRPr="00432A60">
        <w:t>2020)0057),</w:t>
      </w:r>
    </w:p>
    <w:p w14:paraId="0918CC8B" w14:textId="3B16A632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a „2023. évi közlemény az EU bővítési stratégiájáról” című, 2023. november 8-i bizottsági közleményre (</w:t>
      </w:r>
      <w:proofErr w:type="gramStart"/>
      <w:r w:rsidRPr="00432A60">
        <w:t>COM(</w:t>
      </w:r>
      <w:proofErr w:type="gramEnd"/>
      <w:r w:rsidRPr="00432A60">
        <w:t>2023)0690) és az azt kísérő, „2023. évi jelentés Albániáról” című bizottsági szolgálati munkadokumentumra (SWD(20</w:t>
      </w:r>
      <w:r w:rsidR="00825F6D">
        <w:t>23</w:t>
      </w:r>
      <w:r w:rsidRPr="00432A60">
        <w:t>)0690),</w:t>
      </w:r>
    </w:p>
    <w:p w14:paraId="176B9C7B" w14:textId="77777777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„A Nyugat-Balkánra vonatkozó új növekedési terv” című, 2023. november 8-i bizottsági közleményre (</w:t>
      </w:r>
      <w:proofErr w:type="gramStart"/>
      <w:r w:rsidRPr="00432A60">
        <w:t>COM(</w:t>
      </w:r>
      <w:proofErr w:type="gramEnd"/>
      <w:r w:rsidRPr="00432A60">
        <w:t>2023)0691),</w:t>
      </w:r>
    </w:p>
    <w:p w14:paraId="165EE610" w14:textId="77777777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a bővítést megelőző reformokról és szakpolitikai felülvizsgálatokról szóló, 2024. március 20-i bizottsági közleményre (</w:t>
      </w:r>
      <w:proofErr w:type="gramStart"/>
      <w:r w:rsidRPr="00432A60">
        <w:t>COM(</w:t>
      </w:r>
      <w:proofErr w:type="gramEnd"/>
      <w:r w:rsidRPr="00432A60">
        <w:t>2024)0146),</w:t>
      </w:r>
    </w:p>
    <w:p w14:paraId="51ACC350" w14:textId="77777777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a „2024. évi jogállamisági jelentés” című, 2024. július 24-i bizottsági közleményre (</w:t>
      </w:r>
      <w:proofErr w:type="gramStart"/>
      <w:r w:rsidRPr="00432A60">
        <w:t>COM(</w:t>
      </w:r>
      <w:proofErr w:type="gramEnd"/>
      <w:r w:rsidRPr="00432A60">
        <w:t xml:space="preserve">2024)0800), amelyet a „2024. évi jogállamisági jelentés – </w:t>
      </w:r>
      <w:r w:rsidRPr="00432A60">
        <w:lastRenderedPageBreak/>
        <w:t>Országfejezet – A jogállamiság helyzete Albániában” című bizottsági szolgálati munkadokumentum kísér (SWD(2024)0828),</w:t>
      </w:r>
    </w:p>
    <w:p w14:paraId="6BCDA32F" w14:textId="77777777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a „2024. évi közlemény az EU bővítési stratégiájáról” című, 2024. október 30-i bizottsági közleményre (</w:t>
      </w:r>
      <w:proofErr w:type="gramStart"/>
      <w:r w:rsidRPr="00432A60">
        <w:t>COM(</w:t>
      </w:r>
      <w:proofErr w:type="gramEnd"/>
      <w:r w:rsidRPr="00432A60">
        <w:t>2024)0690) és az azt kísérő, „2024. évi jelentés Albániáról” című bizottsági szolgálati munkadokumentumra (SWD(2024)0690),</w:t>
      </w:r>
    </w:p>
    <w:p w14:paraId="4AFA3B15" w14:textId="77777777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Albániának az uniós Reform- és Növekedéstámogató Eszköz keretében benyújtott, a Bizottság által 2024. október 23-án jóváhagyott reformprogramjára,</w:t>
      </w:r>
    </w:p>
    <w:p w14:paraId="7CB97BF4" w14:textId="77777777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az Európai Biztonsági és Együttműködési Szervezet (EBESZ) Demokratikus Intézmények és Emberi Jogok Hivatala (ODIHR) választási megfigyelő missziójának 2023. szeptember 29-i, Albánia 2023. május 14-i helyhatósági választásairól szóló végleges jelentésére,</w:t>
      </w:r>
    </w:p>
    <w:p w14:paraId="72D52BFC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–</w:t>
      </w:r>
      <w:r w:rsidRPr="00432A60">
        <w:tab/>
        <w:t>tekintettel az EBESZ/ODIHR választási megfigyelő missziójának a 2021. április 25-i albán parlamenti választásokról szóló, 2021. július 26-i végleges jelentésére,</w:t>
      </w:r>
    </w:p>
    <w:p w14:paraId="7705558F" w14:textId="77777777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a Velencei Bizottság és az EBESZ/ODIHR 2020. december 11-i közös véleményére az albán alkotmány 2020. július 30-i és az albániai választási törvény 2020. október 5-i módosításáról,</w:t>
      </w:r>
    </w:p>
    <w:p w14:paraId="22B04843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–</w:t>
      </w:r>
      <w:r w:rsidRPr="00432A60">
        <w:tab/>
        <w:t>tekintettel a 2018. május 17-i EU–Nyugat-Balkán- csúcstalálkozón elfogadott szófiai nyilatkozatra, valamint a kiemelt célkitűzések hozzá csatolt szófiai menetrendjére,</w:t>
      </w:r>
    </w:p>
    <w:p w14:paraId="5FD0E8D0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–</w:t>
      </w:r>
      <w:r w:rsidRPr="00432A60">
        <w:tab/>
        <w:t>tekintettel a 2020. május 6-i EU–Nyugat-Balkán csúcstalálkozón elfogadott zágrábi nyilatkozatra,</w:t>
      </w:r>
    </w:p>
    <w:p w14:paraId="6C804F6C" w14:textId="77777777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a 2023. december 13-i és a 2024. december 18-i brüsszeli EU–Nyugat-Balkán csúcstalálkozó nyilatkozataira,</w:t>
      </w:r>
    </w:p>
    <w:p w14:paraId="1173D69A" w14:textId="77777777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a 2014. augusztus 28-án megkezdett berlini folyamatra,</w:t>
      </w:r>
    </w:p>
    <w:p w14:paraId="23FC88DF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–</w:t>
      </w:r>
      <w:r w:rsidRPr="00432A60">
        <w:tab/>
        <w:t>tekintettel a Riporterek Határok Nélkül 2024. évi sajtószabadság-indexére,</w:t>
      </w:r>
    </w:p>
    <w:p w14:paraId="2A1B8BF5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–</w:t>
      </w:r>
      <w:r w:rsidRPr="00432A60">
        <w:tab/>
        <w:t>tekintettel a Transparency International 2024. évi korrupcióérzékelési indexére,</w:t>
      </w:r>
    </w:p>
    <w:p w14:paraId="7DD511A3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–</w:t>
      </w:r>
      <w:r w:rsidRPr="00432A60">
        <w:tab/>
        <w:t>tekintettel a Világgazdasági Fórum nemek közötti szakadékról szóló</w:t>
      </w:r>
      <w:r w:rsidR="00D607BB" w:rsidRPr="00432A60">
        <w:t>,</w:t>
      </w:r>
      <w:r w:rsidRPr="00432A60">
        <w:t xml:space="preserve"> 2024. évi globális jelentésére,</w:t>
      </w:r>
    </w:p>
    <w:p w14:paraId="7212A009" w14:textId="77777777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az Albániáról szóló korábbi állásfoglalásaira,</w:t>
      </w:r>
    </w:p>
    <w:p w14:paraId="4F9262FE" w14:textId="77777777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eljárási szabályzata 55. cikkére,</w:t>
      </w:r>
    </w:p>
    <w:p w14:paraId="3DEC8F81" w14:textId="77777777" w:rsidR="00916DDD" w:rsidRPr="00432A60" w:rsidRDefault="00916DDD" w:rsidP="00851849">
      <w:pPr>
        <w:pStyle w:val="NormalHanging12a"/>
        <w:widowControl/>
      </w:pPr>
      <w:r w:rsidRPr="00432A60">
        <w:t>–</w:t>
      </w:r>
      <w:r w:rsidRPr="00432A60">
        <w:tab/>
        <w:t>tekintettel a Külügyi Bizottság jelentésére (A10-0106/2025),</w:t>
      </w:r>
    </w:p>
    <w:p w14:paraId="374A0A8D" w14:textId="77777777" w:rsidR="00916DDD" w:rsidRPr="00432A60" w:rsidRDefault="00916DDD" w:rsidP="00851849">
      <w:pPr>
        <w:pStyle w:val="NormalHanging12a"/>
        <w:widowControl/>
      </w:pPr>
      <w:r w:rsidRPr="00432A60">
        <w:t>A.</w:t>
      </w:r>
      <w:r w:rsidRPr="00432A60">
        <w:tab/>
        <w:t>mivel a bővítés az EU leghatékonyabb külpolitikai eszköze, ami az egész kontinensre kiterjedő, tartós békét, demokráciát, stabilitást és biztonságot célzó geostratégiai befektetés;</w:t>
      </w:r>
    </w:p>
    <w:p w14:paraId="2E839007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B.</w:t>
      </w:r>
      <w:r w:rsidRPr="00432A60">
        <w:tab/>
        <w:t>mivel az EU továbbra is a nyugat-balkáni országok fő politikai és gazdasági partnere; mivel az EU továbbra is messze Albánia legnagyobb kereskedelmi és beruházási partnere, és a legnagyobb pénzügyi támogatást nyújtja számára;</w:t>
      </w:r>
    </w:p>
    <w:p w14:paraId="083916FE" w14:textId="77777777" w:rsidR="00916DDD" w:rsidRPr="00432A60" w:rsidRDefault="00916DDD" w:rsidP="00851849">
      <w:pPr>
        <w:pStyle w:val="NormalHanging12a"/>
        <w:widowControl/>
      </w:pPr>
      <w:r w:rsidRPr="00432A60">
        <w:lastRenderedPageBreak/>
        <w:t>C.</w:t>
      </w:r>
      <w:r w:rsidRPr="00432A60">
        <w:tab/>
        <w:t>mivel a bővítés a demokrácián, a jogállamiságon és az alapvető jogokon alapuló, érdemeken alapuló folyamat;</w:t>
      </w:r>
      <w:r w:rsidRPr="00432A60">
        <w:rPr>
          <w:b/>
          <w:i/>
        </w:rPr>
        <w:t xml:space="preserve"> </w:t>
      </w:r>
      <w:r w:rsidRPr="00432A60">
        <w:t xml:space="preserve">mivel Albánia EU-hoz történő csatlakozásának az a feltétele, hogy a legfontosabb területeken – kezdve a jogállamisággal és a demokratikus intézmények működésével – tartós, mélyreható és visszafordíthatatlan reformokat hajtson végre; </w:t>
      </w:r>
    </w:p>
    <w:p w14:paraId="1133B577" w14:textId="77777777" w:rsidR="00916DDD" w:rsidRPr="00432A60" w:rsidRDefault="00916DDD" w:rsidP="00851849">
      <w:pPr>
        <w:pStyle w:val="NormalHanging12a"/>
        <w:widowControl/>
      </w:pPr>
      <w:r w:rsidRPr="00432A60">
        <w:t>D.</w:t>
      </w:r>
      <w:r w:rsidRPr="00432A60">
        <w:tab/>
        <w:t>mivel Albánia 2014 óta uniós tagjelölt ország, 2022 júliusában megkezdte a csatlakozási tárgyalásokat, és 2023 novemberében sikeresen lezárta az átvilágítási folyamatot;</w:t>
      </w:r>
    </w:p>
    <w:p w14:paraId="07C549A3" w14:textId="77777777" w:rsidR="00916DDD" w:rsidRPr="00432A60" w:rsidRDefault="00916DDD" w:rsidP="00851849">
      <w:pPr>
        <w:pStyle w:val="NormalHanging12a"/>
        <w:widowControl/>
      </w:pPr>
      <w:r w:rsidRPr="00432A60">
        <w:t>E.</w:t>
      </w:r>
      <w:r w:rsidRPr="00432A60">
        <w:tab/>
        <w:t>mivel Albánia 2024. október 15-én tárgyalásokat kezdett az 1. témakörről („Alapkérdések”) és 2024. december 17-én a 6. témakörről („Külkapcsolatok”</w:t>
      </w:r>
      <w:r w:rsidR="00F13964" w:rsidRPr="00F13964">
        <w:t>), 2025. április 14-én a 2. témakörről („Belső piac”) és 2025. május 22-én a 3. témakörről („Versenyképesség és inkluzív növekedés”</w:t>
      </w:r>
      <w:r w:rsidRPr="00432A60">
        <w:t>);</w:t>
      </w:r>
    </w:p>
    <w:p w14:paraId="36A6968E" w14:textId="77777777" w:rsidR="00916DDD" w:rsidRPr="00432A60" w:rsidRDefault="00916DDD" w:rsidP="00851849">
      <w:pPr>
        <w:pStyle w:val="NormalHanging12a"/>
        <w:widowControl/>
      </w:pPr>
      <w:r w:rsidRPr="00432A60">
        <w:t>F.</w:t>
      </w:r>
      <w:r w:rsidRPr="00432A60">
        <w:tab/>
        <w:t>mivel Albánia megbízható külpolitikai partner, és teljes mértékben igazodik az EU közös kül- és biztonságpolitikájához;</w:t>
      </w:r>
    </w:p>
    <w:p w14:paraId="2FEAA319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G.</w:t>
      </w:r>
      <w:r w:rsidRPr="00432A60">
        <w:tab/>
        <w:t xml:space="preserve">mivel Albánia rosszindulatú külföldi befolyásolási kampányok – amelyre példa az orosz dezinformáció és a választásokba való beavatkozás, valamint a nem uniós szereplők, például Kína megkérdőjelezhető beruházásai – célpontja, amelyek célja, hogy ellentétet szítsanak, feszültséget keltsenek és erőszakot váltsanak ki, ezzel destabilizálva az egész régiót; mivel az Albánia ellen 2022-ben és 2023-ban végrehajtott orosz és iráni kibertámadások kritikus kormányzati funkciókat zavartak meg, ami jól szemlélteti azt a hibrid fenyegetettségi környezetet, amellyel Albánia szembesül az uniós integráció felé vezető úton; </w:t>
      </w:r>
    </w:p>
    <w:p w14:paraId="577FC3EE" w14:textId="77777777" w:rsidR="00916DDD" w:rsidRPr="00432A60" w:rsidRDefault="00916DDD" w:rsidP="00851849">
      <w:pPr>
        <w:pStyle w:val="NormalHanging12a"/>
        <w:widowControl/>
      </w:pPr>
      <w:r w:rsidRPr="00432A60">
        <w:t>H.</w:t>
      </w:r>
      <w:r w:rsidRPr="00432A60">
        <w:tab/>
        <w:t xml:space="preserve">mivel Albánia választási rendszerében továbbra is fennállnak hiányosságok és súlyos sebezhetőségek; mivel az albániai választások lebonyolításának további javítására irányuló EBESZ/ODIHR-ajánlásokat még nem hajtották végre teljes mértékben; </w:t>
      </w:r>
    </w:p>
    <w:p w14:paraId="5B8C7719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I.</w:t>
      </w:r>
      <w:r w:rsidRPr="00432A60">
        <w:tab/>
        <w:t>mivel Albánia részt vesz a közös uniós biztonság- és védelempolitikai missziókban és műveletekben, többek között Bosznia-Hercegovinában az EUFOR Althaia műveletben;</w:t>
      </w:r>
    </w:p>
    <w:p w14:paraId="36C1DAAA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J.</w:t>
      </w:r>
      <w:r w:rsidRPr="00432A60">
        <w:tab/>
        <w:t xml:space="preserve">mivel a nemzeti és etnikai kisebbségek védelme alapvető fontosságú az Unióhoz csatlakozni kívánó államokban; mivel a szabad önmeghatározásról és a kisebbségi nyelvek használatáról szóló végrehajtási jogszabályokat Albánia elfogadta; </w:t>
      </w:r>
    </w:p>
    <w:p w14:paraId="45EE8AC4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K.</w:t>
      </w:r>
      <w:r w:rsidRPr="00432A60">
        <w:tab/>
        <w:t>mivel Oroszország Ukrajna elleni agresszív háborúja rávilágít az EU bővítésének kritikus fontosságára kontinensünk biztonságának és stabilitásának biztosítása szempontjából;</w:t>
      </w:r>
    </w:p>
    <w:p w14:paraId="6B4E6754" w14:textId="77777777" w:rsidR="00916DDD" w:rsidRPr="00432A60" w:rsidRDefault="00916DDD" w:rsidP="00851849">
      <w:pPr>
        <w:pStyle w:val="NormalHanging12a"/>
        <w:widowControl/>
      </w:pPr>
      <w:r w:rsidRPr="00432A60">
        <w:t>1.</w:t>
      </w:r>
      <w:r w:rsidRPr="00432A60">
        <w:tab/>
        <w:t>üdvözli Albániának az uniós integráció iránti szilárd elkötelezettségét, ami tükrözi az összes – kormányon lévő és ellenzéki – politikai párt közötti konszenzust és a polgárok részéről az elsöprő támogatást, és elismerését fejezi ki az EU közös kül- és biztonságpolitikájához való következetes és teljes körű igazodásáért és a szabályokon alapuló nemzetközi rend előmozdításáért, ideértve az Ukrajna elleni orosz agressziós háborúra adott kategorikus válaszát, amely összhangban van az Oroszországgal és Belarusszal szembeni uniós korlátozó intézkedésekkel; elismeri az ország aktív szerepét a régióban és a regionális kezdeményezésekben;</w:t>
      </w:r>
    </w:p>
    <w:p w14:paraId="39DEF176" w14:textId="77777777" w:rsidR="00916DDD" w:rsidRPr="00432A60" w:rsidRDefault="00916DDD" w:rsidP="00851849">
      <w:pPr>
        <w:pStyle w:val="NormalHanging12a"/>
        <w:widowControl/>
      </w:pPr>
      <w:r w:rsidRPr="00432A60">
        <w:t>2.</w:t>
      </w:r>
      <w:r w:rsidRPr="00432A60">
        <w:tab/>
        <w:t xml:space="preserve">üdvözli Albánia azon törekvését, hogy 2027 végéig lezárja a csatlakozási tárgyalásokat, valamint az elmúlt években elért gyors fejlődést is, nevezetesen a tárgyalási fejezetek </w:t>
      </w:r>
      <w:r w:rsidRPr="00432A60">
        <w:lastRenderedPageBreak/>
        <w:t xml:space="preserve">két témakörének 2024-es </w:t>
      </w:r>
      <w:r w:rsidR="00F13964" w:rsidRPr="00F13964">
        <w:t xml:space="preserve">és eddig két további témakörének 2025-ös </w:t>
      </w:r>
      <w:r w:rsidRPr="00432A60">
        <w:t>megnyitását; emlékeztet arra, hogy a tagjelölt országok a tagsági kritériumok teljesítése érdekében a csatlakozási tárgyalások során mélyreható átalakításokon mennek keresztül, amelyek addig tartanak, amíg a szükséges reformokat végre nem hajtják; hangsúlyozza, hogy meg kell erősíteni a csatlakozási folyamat átláthatóságát, elszámoltathatóságát és inkluzivitását, beleértve annak parlamenti dimenzióját is; óva int minden olyan fellépéstől, amely alááshatná a fékek és ellensúlyok rendszerét;</w:t>
      </w:r>
    </w:p>
    <w:p w14:paraId="38E1FDBB" w14:textId="77777777" w:rsidR="00916DDD" w:rsidRPr="00432A60" w:rsidRDefault="00916DDD" w:rsidP="00851849">
      <w:pPr>
        <w:pStyle w:val="NormalHanging12a"/>
        <w:widowControl/>
      </w:pPr>
      <w:r w:rsidRPr="00432A60">
        <w:t>3.</w:t>
      </w:r>
      <w:r w:rsidRPr="00432A60">
        <w:tab/>
        <w:t>megjegyzi, hogy az uniós csatlakozás ütemét a tagjelölt ország által az uniós vívmányokhoz való igazodás terén elért előrehaladás, a végrehajtás terén elért eredményei, valamint az ország valamennyi intézményének megfelelő működése határozza meg, és a jogállamiságon, a jó kormányzáson és az alapvető jogokon alapul; sürgeti Albániát, hogy gyorsítsa fel a jogállamiság és a gazdasági növekedés megerősítésére, a korrupció és a szervezett bűnözés elleni küzdelemre, az emberkereskedelem megelőzésére, valamint az alapvető jogok védelmére irányuló reformokat, és tegyen lépéseket a véleménynyilvánítás szabadsága, az információszabadság, valamint a médiapluralizmus és -függetlenség felé;</w:t>
      </w:r>
    </w:p>
    <w:p w14:paraId="50CFBBCF" w14:textId="77777777" w:rsidR="00916DDD" w:rsidRPr="00432A60" w:rsidRDefault="00916DDD" w:rsidP="00851849">
      <w:pPr>
        <w:pStyle w:val="NormalHanging12a"/>
        <w:widowControl/>
      </w:pPr>
      <w:r w:rsidRPr="00432A60">
        <w:t>4.</w:t>
      </w:r>
      <w:r w:rsidRPr="00432A60">
        <w:tab/>
        <w:t>üdvözli az EU új Nyugat-balkáni Reform- és Növekedéstámogató Eszközét, amely 922 millió EUR vissza nem térítendő támogatást és hitelt nyújt Albániának, amennyiben teljesíti az ambiciózus reformprogramjában meghatározott feltételeket;</w:t>
      </w:r>
    </w:p>
    <w:p w14:paraId="4C64DBF9" w14:textId="77777777" w:rsidR="00916DDD" w:rsidRPr="00432A60" w:rsidRDefault="00916DDD" w:rsidP="00851849">
      <w:pPr>
        <w:pStyle w:val="NormalHanging12a"/>
        <w:widowControl/>
      </w:pPr>
      <w:r w:rsidRPr="00432A60">
        <w:t>5.</w:t>
      </w:r>
      <w:r w:rsidRPr="00432A60">
        <w:tab/>
        <w:t>tudomásul veszi, hogy Albánia elfogadta az európai integrációra vonatkozó 2024–2026-os nemzeti tervet; üdvözli, hogy Albánia létrehozta az integrációs folyamatért felelős szerveket;</w:t>
      </w:r>
      <w:r w:rsidRPr="00432A60">
        <w:rPr>
          <w:b/>
          <w:i/>
        </w:rPr>
        <w:t xml:space="preserve"> </w:t>
      </w:r>
      <w:r w:rsidRPr="00432A60">
        <w:t>nagyobb erőfeszítésekre szólít fel az átláthatóság növelése és az uniós integrációval kapcsolatos nyilvános kommunikációban való részvétel érdekében;</w:t>
      </w:r>
    </w:p>
    <w:p w14:paraId="5457CF40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6.</w:t>
      </w:r>
      <w:r w:rsidRPr="00432A60">
        <w:tab/>
        <w:t xml:space="preserve">üdvözli azt a döntést, hogy Tiranában megnyitják az Európai Parlament Nyugat-Balkánnal foglalkozó képviseleti irodáját; megjegyzi, hogy az iroda kulcsfontosságú kapcsolattartó pontként fog szolgálni az Európai Parlament és a nemzeti parlamentek, a civil társadalom és a nyugat-balkáni régió helyi partnerei között;  </w:t>
      </w:r>
    </w:p>
    <w:p w14:paraId="47B6A463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7.</w:t>
      </w:r>
      <w:r w:rsidRPr="00432A60">
        <w:tab/>
        <w:t>üdvözli a 18 albán résztvevő részvételét az Európai Gazdasági és Szociális Bizottság által létrehozott „bővítési ország tagjelöltje” kezdeményezésben, amelynek célja a tagjelölt országokkal való szorosabb kapcsolatok előmozdítása és az EU-ba való fokozatos integrációjuk megkönnyítése;</w:t>
      </w:r>
    </w:p>
    <w:p w14:paraId="44CD5783" w14:textId="77777777" w:rsidR="00916DDD" w:rsidRPr="00432A60" w:rsidRDefault="00916DDD" w:rsidP="00851849">
      <w:pPr>
        <w:pStyle w:val="NormalHanging12a"/>
        <w:widowControl/>
        <w:rPr>
          <w:b/>
          <w:i/>
        </w:rPr>
      </w:pPr>
      <w:r w:rsidRPr="00432A60">
        <w:rPr>
          <w:b/>
          <w:i/>
        </w:rPr>
        <w:t>Demokratikus intézmények, média és civil társadalom</w:t>
      </w:r>
    </w:p>
    <w:p w14:paraId="14A3057F" w14:textId="77777777" w:rsidR="00916DDD" w:rsidRPr="00432A60" w:rsidRDefault="00916DDD" w:rsidP="00851849">
      <w:pPr>
        <w:pStyle w:val="NormalHanging12a"/>
        <w:widowControl/>
      </w:pPr>
      <w:r w:rsidRPr="00432A60">
        <w:t>8.</w:t>
      </w:r>
      <w:r w:rsidRPr="00432A60">
        <w:tab/>
        <w:t xml:space="preserve">kitart amellett, hogy a demokratikus kormányzás nélkülözhetetlen elemeként fontos a konstruktív politikai vita és a rendezett parlamenti magatartás; megerősíti, hogy Albánia politikai erőinek közös felelőssége a konstruktív és inkluzív politikai párbeszéd megerősítése és az országban zajló jelentős politikai polarizáció leküzdése; sajnálatát fejezi ki az összes párt politikusainak folyamatos konfrontációja és lázító retorikája, valamint a hatalmon lévő többség és az ellenzék közötti összecsapások miatt; hangsúlyozza, hogy elő kell mozdítani a kölcsönös tiszteleten és a demokratikus normák betartásán alapuló politikai kultúrát, amely biztosítja, hogy a politikai verseny ne ássa alá az intézményi stabilitást, valamint hogy a politikai támadások megszüntetése révén teljes mértékben tiszteletben kell tartani a parlamentarizmus szerepét; valódi párbeszédre szólít fel a politikai stabilitás és előrehaladás előmozdítása érdekében, hangsúlyozva, hogy pártközi konszenzusra van szükség az uniós integrációs menetrenddel és a civil társadalom érdemi bevonásával kapcsolatban; hangsúlyozza, </w:t>
      </w:r>
      <w:r w:rsidRPr="00432A60">
        <w:lastRenderedPageBreak/>
        <w:t>hogy hatékonyabb parlamenti felügyeletre és az intézmények jobb működésére van szükség;</w:t>
      </w:r>
    </w:p>
    <w:p w14:paraId="4D16A8DC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9.</w:t>
      </w:r>
      <w:r w:rsidRPr="00432A60">
        <w:tab/>
        <w:t xml:space="preserve">elismeri, hogy Albánia demokratikus intézményeit egyre nagyobb mértékben fenyegeti a külföldi rosszindulatú befolyás és a hibrid beavatkozás veszélye; kiemeli, hogy a Kremlhez igazodó narratívák a demokratikus intézményekbe vetett közbizalom aláásására és a Nyugat-ellenes érzelmek előmozdítására törekednek; felhívja Albániát, hogy fokozza az uniós csatlakozási folyamatra közvetlen hatást gyakorló rejtett politikai finanszírozással, médiamanipulációval és kiberfenyegetésekkel szembeni intézményi rezilienciát; felhívja az uniós intézményeket, hogy szorosan kövessék nyomon Albánia rosszindulatú befolyásnak való kitettségét; </w:t>
      </w:r>
    </w:p>
    <w:p w14:paraId="7958E3F3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10.</w:t>
      </w:r>
      <w:r w:rsidRPr="00432A60">
        <w:tab/>
        <w:t xml:space="preserve">üdvözli, hogy Albánia 155 orosz dezinformációs domént blokkol, de hangsúlyozza, hogy az „EUvsDisinfo” platform mintájára kialakított, összehangolt EU–Albánia dezinformációs reagálási mechanizmusra van szükség a Kreml narratíváinak gyors leleplezése és ellensúlyozása érdekében; támogatja a nyugat-balkáni országok közötti fokozott regionális együttműködést a bevált gyakorlatok megosztása és a dezinformáció és a külföldi beavatkozás elleni küzdelemre vonatkozó közös stratégiák kidolgozása érdekében; figyelmeztet az államilag támogatott kínai média növekvő jelenlétére Albániában; </w:t>
      </w:r>
    </w:p>
    <w:p w14:paraId="622DCDEC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11.</w:t>
      </w:r>
      <w:r w:rsidRPr="00432A60">
        <w:tab/>
        <w:t xml:space="preserve">hangsúlyozza, hogy az albán parlament köteles tiszteletben tartani alkotmánybírósága határozatait és azoknak haladéktalanul érvényt szerezni; hangsúlyozza a parlament alapvető és pótolhatatlan szerepét a fékek és ellensúlyok megőrzésében; felszólítja Albániát, hogy biztosítsa a valódi demokratikus elszámoltathatóságot és az erősebb, átláthatóbb kormányzást; </w:t>
      </w:r>
    </w:p>
    <w:p w14:paraId="1241BF43" w14:textId="77777777" w:rsidR="00916DDD" w:rsidRPr="00432A60" w:rsidRDefault="00916DDD" w:rsidP="00851849">
      <w:pPr>
        <w:pStyle w:val="NormalHanging12a"/>
        <w:widowControl/>
      </w:pPr>
      <w:r w:rsidRPr="00432A60">
        <w:t>12.</w:t>
      </w:r>
      <w:r w:rsidRPr="00432A60">
        <w:tab/>
        <w:t xml:space="preserve">tudomásul veszi az albán választási törvény 2024. júliusi módosításait, amelyek lehetővé teszik, hogy a külföldön élő albán diaszpóra országon kívül szavazhasson, és amelyek részlegesen nyitott jelöltlistákat vezetnek be; tudomásul veszi a 2025. május 11-i parlamenti választásokat, és hangsúlyozza, hogy az EBESZ/ODIHR előzetes következtetései alapján a választások során verseny volt tapasztalható és azok szakszerűen, de rendkívül polarizált környezetben zajlottak, de a jelöltek nem élveztek egyenlő versenyfeltételeket; aggodalmát fejezi ki amiatt, hogy a kormányzó párt hasznot húzott az adminisztratív erőforrások széles körű felhasználásából; </w:t>
      </w:r>
      <w:r w:rsidR="00F13964" w:rsidRPr="00F13964">
        <w:t xml:space="preserve">megjegyzi, hogy az EBESZ/ODIHR végleges jelentésének közzététele, amely tartalmazza a végleges értékelést és a végrehajtandó ajánlásokat, az elkövetkező hónapokban várható; </w:t>
      </w:r>
      <w:r w:rsidRPr="00432A60">
        <w:t>felszólítja az összes felet, hogy tegyenek bizonyosságot politikai akaratról egy átfogó és inkluzív választási reformot illetően az EBESZ/ODIHR és a Velencei Bizottság valamennyi ajánlásának teljes körű és időben történő végrehajtása érdekében, beleértve a választási és pártfinanszírozási keretre vonatkozó ajánlásokat is;</w:t>
      </w:r>
    </w:p>
    <w:p w14:paraId="7F532FB9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13.</w:t>
      </w:r>
      <w:r w:rsidRPr="00432A60">
        <w:tab/>
        <w:t xml:space="preserve">sajnálja, hogy a szabad média és a független újságírók tere az elmúlt években beszűkült; aggodalommal állapítja meg, hogy Albániában a média függetlenségét és sokszínűségét továbbra is érinti a magas piaci koncentráció, az üzleti és politikai érdekek átfedése, a finanszírozás és a tulajdonviszonyok átláthatóságának hiánya, a megfélemlítés és az újságírók bizonytalan munkakörülményei; megjegyzi, hogy a Riporterek Határok Nélkül 2024. évi sajtószabadság-indexe szerint Albánia a 99. helyen áll, ami a média tulajdoni koncentrációjával, a politikai beavatkozással és az újságírók elleni fenyegetésekkel kapcsolatban folyamatosan fennálló problémákat tükrözi; hangsúlyozza, hogy a médiafinanszírozás és a tulajdonosi struktúrák átláthatóságának hiánya növeli a szerkesztői elfogultság és a külföldi propaganda-beszivárgás kockázatát, </w:t>
      </w:r>
      <w:r w:rsidRPr="00432A60">
        <w:lastRenderedPageBreak/>
        <w:t xml:space="preserve">és aláássa a közvélemény újságírásba vetett bizalmát; felhívja az albán hatóságokat, hogy biztosítsák a média tulajdonviszonyainak átláthatóságát, és érvényesítsenek a zéró toleranciát az újságírók megfélemlítésével szemben; felhívja az albán kormányt, hogy támogassa a független tényellenőrző platformokat a pontos információkhoz való nyilvános hozzáférés biztosítása és az információs tér integritásának megőrzése érdekében; </w:t>
      </w:r>
    </w:p>
    <w:p w14:paraId="355AC9DD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14.</w:t>
      </w:r>
      <w:r w:rsidRPr="00432A60">
        <w:tab/>
        <w:t>emlékeztet arra, hogy a médiatörvények felülvizsgálatának összhangban kell állnia a Velencei Bizottság ajánlásaival, és átlátható és inkluzív módon, a médiaszervezetekkel konzultálva kell történnie a médiaszabadság és az önszabályozás javítása céljából; üdvözli az Európa Tanács által az EU-val és a sajtószabadsággal foglalkozó prominens szervezetek hálózatával közösen indított, az újságírás védelmének és az újságírók biztonságának előmozdítását célzó platformot; sajnálja, hogy nem történt előrelépés a jogszabályi keretnek az uniós vívmányokkal és az uniós normákkal, többek között a tömegtájékoztatás szabadságáról szóló európai jogszabállyal</w:t>
      </w:r>
      <w:r w:rsidRPr="00432A60">
        <w:rPr>
          <w:rStyle w:val="FootnoteReference"/>
        </w:rPr>
        <w:footnoteReference w:id="4"/>
      </w:r>
      <w:r w:rsidRPr="00432A60">
        <w:t xml:space="preserve"> való összehangolása terén; emlékeztet arra, hogy erősíteni kell az oknyomozó újságírást, a tények ellenőrzését és a médiaműveltséget, és vissza kell szorítani a gyűlöletbeszédet, a dezinformációt és az álhíreket; aggodalmát fejezi ki a megfélemlítés kultúráját tápláló folytatódó, lázító hatású médiaellenes retorika miatt, többek között magas rangú politikusok, köztisztviselők és más állami szereplők részéről; határozottan elítéli a jogállamiságról és a korrupciós ügyekről tudósító újságírók elleni egyre növekvő szóbeli támadásokat, valamint a női újságírók ellen irányuló nőgyűlölő online zaklatást, a lejárató kampányokat, az erőszakot és a zavargásokat, és felszólít a támadók jogerős elítélésének biztosítására; sajnálatát fejezi ki amiatt, hogy a büntető törvénykönyv nem nyújt védelmet az újságírók számára a fenyegetésekkel és az erőszakkal szemben, és felhívja a hatóságokat, hogy fogadjanak el olyan jogi keretet, amely hatékonyan védi az újságírókat, az emberijog-védőket, a környezetvédelmi aktivistákat és más érdekelt feleket a közéleti részvételt akadályozó, a rágalmazást dekriminalizálni próbáló stratégiai perek (SLAPP-k) növekedésével szemben, tartsák tiszteletben a független újságírásnak a hatalom kulcsfontosságú ellenőreként betöltött szerepét, és a demokratikus elveket tiszteletben tartó módon működjenek együtt a médiával;</w:t>
      </w:r>
    </w:p>
    <w:p w14:paraId="76FEEE49" w14:textId="77777777" w:rsidR="00916DDD" w:rsidRPr="00432A60" w:rsidRDefault="00916DDD" w:rsidP="00851849">
      <w:pPr>
        <w:pStyle w:val="NormalHanging12a"/>
        <w:widowControl/>
      </w:pPr>
      <w:r w:rsidRPr="00432A60">
        <w:t>15.</w:t>
      </w:r>
      <w:r w:rsidRPr="00432A60">
        <w:tab/>
        <w:t>emlékeztet a nemzeti és helyi hatóságok felelősségére az átláthatóság, az elszámoltathatóság és a befogadás javításában az érdekelt felekkel folytatott érdemi és rendszeres nyilvános konzultációk révén; aggodalommal állapítja meg, hogy a nyilvános konzultációk jogi keretének albán parlament általi végrehajtása továbbra is túlnyomórészt formális; hangsúlyozza, hogy nagyobb átláthatóságra van szükség a nyilvános adatok és a kulcsfontosságú jogalkotási projektek tekintetében; ragaszkodik a helyi önkormányzatok pénzügyi forrásainak, igazgatási kapacitásának és költségvetési autonómiájának növeléséhez;</w:t>
      </w:r>
    </w:p>
    <w:p w14:paraId="2D085FE8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16.</w:t>
      </w:r>
      <w:r w:rsidRPr="00432A60">
        <w:tab/>
        <w:t xml:space="preserve">üdvözli Albánia élénk és konstruktív civil társadalmát, amely rendkívül fontos és pozitív szerepet játszik a reformfolyamatban; üdvözli a választások megfigyelésének javulását és a civil társadalom növekvő részvételét a demokratikus folyamat ellenőrzésében; hangsúlyozza, hogy a civil társadalom létfontosságú a demokrácia és a pluralizmus erősítésében, valamint a jó kormányzás és a társadalmi haladás előmozdításában; ösztönzi az albán kormányt, hogy már a korai szakaszban és egy </w:t>
      </w:r>
      <w:r w:rsidRPr="00432A60">
        <w:lastRenderedPageBreak/>
        <w:t>átlátható jogalkotási folyamat részeként erősítse meg a civil társadalom, többek között a nőjogi szervezetek szerepét az uniós csatlakozási folyamatban; sajnálja, hogy Albániában a civil társadalmi szervezetek kihívásokkal terhes körülmények között, korlátozott közfinanszírozással működnek; kitart amellett, hogy a hatékony héamentességi rendszer alapjait az Albánia által az EU–Albánia együttműködési megállapodás és az IPA III keretében tett kötelezettségvállalásokkal összhangban kell meghatározni; sürgeti a hatóságokat, hogy gyorsítsák fel a civil társadalom fejlődését támogató környezet kialakítására irányuló kormányzati politikára vonatkozó 2024–2027-es ütemterv kidolgozását, és szorosan kövessék nyomon ezen ütemterv végrehajtását;</w:t>
      </w:r>
    </w:p>
    <w:p w14:paraId="355404A6" w14:textId="77777777" w:rsidR="00916DDD" w:rsidRPr="00432A60" w:rsidRDefault="00916DDD" w:rsidP="00851849">
      <w:pPr>
        <w:widowControl/>
        <w:spacing w:after="240"/>
        <w:ind w:left="567" w:hanging="567"/>
      </w:pPr>
      <w:r w:rsidRPr="00432A60">
        <w:t>17.</w:t>
      </w:r>
      <w:r w:rsidRPr="00432A60">
        <w:tab/>
        <w:t>üdvözli a közigazgatásért és a korrupció elleni küzdelemért felelős államminiszter tisztségének újonnani létrehozását, és hangsúlyozza a hatékonyságának, valamint a közigazgatási és korrupcióellenes reformok végrehajtásának fontosságát; továbbra is aggodalmának ad hangot azonban amiatt, hogy korlátozott előrelépés történt a közigazgatási reform terén; ragaszkodik ahhoz, hogy az albán hatóságok ténylegesen hajtsák végre az érdemeken alapuló munkaerő-felvételre vonatkozó rendelkezéseket, és vizsgálják felül az új közigazgatási és korrupcióellenes reformok jelenlegi nyomonkövetési struktúráinak hatékonyságát; hangsúlyozza, hogy elő kell mozdítani az elszámoltathatóság, a nyilvános információkhoz való pártatlan hozzáférés és a közintézmények ellenőrzésének kultúráját, többek között a reformprogram végrehajtása tekintetében; megjegyzi, hogy a közintézményeknek javítaniuk kell az átláthatósági követelményeknek való megfelelésüket és az információkérésekre való reagálási képességüket;</w:t>
      </w:r>
    </w:p>
    <w:p w14:paraId="73432513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18.</w:t>
      </w:r>
      <w:r w:rsidRPr="00432A60">
        <w:tab/>
        <w:t xml:space="preserve">sajnálja, hogy korlátozott előrelépés történt a közbeszerzés jogi keretének az uniós vívmányokkal való összehangolása terén; aggodalmának ad hangot a közbeszerzési jogban újonnan bevezetett ideiglenes mentességek miatt; felhívja az albán hatóságokat, hogy az uniós vívmányokkal összhangban javítsanak a versenyalapú közbeszerzési eljárásokon; </w:t>
      </w:r>
    </w:p>
    <w:p w14:paraId="71F242C2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19.</w:t>
      </w:r>
      <w:r w:rsidRPr="00432A60">
        <w:tab/>
        <w:t xml:space="preserve">üdvözli az Albánia által az Eurostat felé történő adattovábbítás javítása terén elért eredményeket; </w:t>
      </w:r>
    </w:p>
    <w:p w14:paraId="75F80C3A" w14:textId="77777777" w:rsidR="00916DDD" w:rsidRPr="00432A60" w:rsidRDefault="00916DDD" w:rsidP="00851849">
      <w:pPr>
        <w:pStyle w:val="NormalHanging12a"/>
        <w:widowControl/>
        <w:rPr>
          <w:b/>
          <w:i/>
        </w:rPr>
      </w:pPr>
      <w:r w:rsidRPr="00432A60">
        <w:rPr>
          <w:b/>
          <w:i/>
        </w:rPr>
        <w:t>Alapjogok</w:t>
      </w:r>
    </w:p>
    <w:p w14:paraId="47FA01BC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20.</w:t>
      </w:r>
      <w:r w:rsidRPr="00432A60">
        <w:tab/>
        <w:t>megjegyzi, hogy Albánia nemi alapú erőszakra vonatkozó jogi kerete még nem igazodik teljes mértékben az isztambuli egyezményhez; komoly aggodalmának ad hangot amiatt, hogy a nők elleni erőszak továbbra is sürgető kérdés, és továbbra is magas a nőgyilkosságok száma; üdvözli, hogy az ombudsman nőgyilkossági figyelőrendszert hozott létre;</w:t>
      </w:r>
      <w:r w:rsidRPr="00432A60">
        <w:rPr>
          <w:b/>
          <w:i/>
        </w:rPr>
        <w:t xml:space="preserve"> </w:t>
      </w:r>
      <w:r w:rsidRPr="00432A60">
        <w:t>sürgeti az áldozatoknak nyújtott támogató szolgáltatások javítását, különösen az egészségügyi ellátást, a menedékhelyek finanszírozását, az ingyenes jogi segítségnyújtást, valamint az áldozatok rehabilitációját és visszailleszkedésének támogatását; hangsúlyozza, hogy az áldozatközpontú megközelítés biztosítása érdekében fokozott pénzügyi és intézményi támogatásra van szükség a megelőzési programok, a figyelemfelkeltő kampányok, valamint a bűnüldöző és igazságügyi hatóságok számára biztosított speciális képzések céljára;</w:t>
      </w:r>
    </w:p>
    <w:p w14:paraId="5D215C17" w14:textId="77777777" w:rsidR="00916DDD" w:rsidRPr="00432A60" w:rsidRDefault="00916DDD" w:rsidP="00851849">
      <w:pPr>
        <w:pStyle w:val="NormalHanging12a"/>
        <w:widowControl/>
        <w:rPr>
          <w:bCs/>
          <w:iCs/>
        </w:rPr>
      </w:pPr>
      <w:r w:rsidRPr="00432A60">
        <w:t>21.</w:t>
      </w:r>
      <w:r w:rsidRPr="00432A60">
        <w:tab/>
        <w:t xml:space="preserve">aggodalmát fejezi ki a fogyatékossággal élő személyek és a nemek közötti egyenlőség tekintetében felmerült tartós hiányosságok, például az uniós vívmányokhoz való igazodás hiánya vagy részleges mivolta miatt; elismeri, hogy Albániának teljes mértékben össze kell hangolnia a nemi alapú erőszakra vonatkozó jogi keretét az </w:t>
      </w:r>
      <w:r w:rsidRPr="00432A60">
        <w:lastRenderedPageBreak/>
        <w:t>isztambuli egyezménnyel; megjegyzi, hogy a Világgazdasági Fórum nemek közötti szakadékról szóló 2024. évi globális jelentése szerint Albánia világviszonylatban hat helyezéssel a 23. helyre esett vissza, ami a nemek közötti szakadék szélesedésére utal; komoly aggodalmának ad hangot amiatt, hogy a nők elleni erőszak továbbra is sürgető kérdés, és továbbra is magas a nőgyilkosságok száma; felszólít a meglévő jogszabályok teljes körű és hatékony végrehajtására, beleértve a védelmi intézkedések szigorúbb végrehajtását és a nemi alapú erőszakkal kapcsolatos ügyekre való fokozott igazságügyi reagálást, amint azt az Európai Bizottság Albániáról szóló 2024. évi jelentése is kiemeli;</w:t>
      </w:r>
    </w:p>
    <w:p w14:paraId="63D6D38B" w14:textId="77777777" w:rsidR="00916DDD" w:rsidRDefault="00916DDD" w:rsidP="00851849">
      <w:pPr>
        <w:pStyle w:val="NormalHanging12a"/>
        <w:widowControl/>
      </w:pPr>
      <w:r w:rsidRPr="00432A60">
        <w:t>22.</w:t>
      </w:r>
      <w:r w:rsidRPr="00432A60">
        <w:tab/>
        <w:t xml:space="preserve">üdvözli az LMBTI+-személyekre vonatkozó új, megerősített költségvetésű nemzeti cselekvési terv elfogadását; sajnálja azonban, hogy nem történt előrelépés az e területen szükséges jogszabályok kezdeményezése terén, és felhívja a hatóságokat, hogy fogadják el a nemi identitás és a nemi jellemzők elismerésére, valamint az azonos neműek házasságára és élettársi kapcsolatára vonatkozó szükséges jogszabályokat; helyteleníti, hogy az LMBTI+-személyek továbbra is fenyegetésekkel és becsmérlő médiakampányokkal szembesülnek, és hogy a közintézmények nem nyújtanak számukra megfelelő védelmet; megjegyzi, hogy a vidéki és távoli területeken élő nők, a roma és egyiptomi nők, valamint az LMBTI-személyek hozzáférése az egészségügyi alapellátáshoz továbbra is korlátozott; sürgeti a közintézményeket, hogy tanúsítsanak határozott elkötelezettséget az LMBTI+ jogok védelme mellett, és határozottan lépjenek fel az LMBTI+ közösséggel szembeni diszkriminatív és gyűlöletkeltő nyelvezet ellen; </w:t>
      </w:r>
    </w:p>
    <w:p w14:paraId="437E58A2" w14:textId="77777777" w:rsidR="00F13964" w:rsidRPr="00432A60" w:rsidRDefault="00C84E95" w:rsidP="00851849">
      <w:pPr>
        <w:pStyle w:val="NormalHanging12a"/>
        <w:widowControl/>
        <w:rPr>
          <w:bCs/>
          <w:iCs/>
        </w:rPr>
      </w:pPr>
      <w:r>
        <w:rPr>
          <w:bCs/>
          <w:iCs/>
        </w:rPr>
        <w:t>23</w:t>
      </w:r>
      <w:r w:rsidR="00F13964" w:rsidRPr="00F13964">
        <w:rPr>
          <w:bCs/>
          <w:iCs/>
        </w:rPr>
        <w:t>.</w:t>
      </w:r>
      <w:r w:rsidR="00F13964" w:rsidRPr="00F13964">
        <w:rPr>
          <w:bCs/>
          <w:iCs/>
        </w:rPr>
        <w:tab/>
        <w:t>felszólítja Albániát, hogy teljes mértékben tartsa tiszteletben az albán Autokefál Ortodox Egyház autonómiáját, és tartózkodjon minden olyan fellépéstől, amely aláássa a vallásgyakorlás szabadságát vagy az egyház tulajdonjogait; felszólít az egyházi kinevezésekbe való beavatkozás megszüntetésére és a vallási hatóságokkal folytatott párbeszédre a vallási pluralizmus megőrzése érdekében;</w:t>
      </w:r>
    </w:p>
    <w:p w14:paraId="611B1039" w14:textId="77777777" w:rsidR="00916DDD" w:rsidRDefault="00C84E95" w:rsidP="00851849">
      <w:pPr>
        <w:pStyle w:val="NormalHanging12a"/>
        <w:widowControl/>
      </w:pPr>
      <w:r>
        <w:t>24</w:t>
      </w:r>
      <w:r w:rsidR="00916DDD" w:rsidRPr="00432A60">
        <w:t>.</w:t>
      </w:r>
      <w:r w:rsidR="00916DDD" w:rsidRPr="00432A60">
        <w:tab/>
        <w:t>üdvözli a kisebbségekhez tartozó személyek jogairól, különösen az önmeghatározásról és a kisebbségi nyelvek használatáról szóló, függőben lévő végrehajtási jogszabályok elfogadását</w:t>
      </w:r>
      <w:r w:rsidR="00F13964">
        <w:t xml:space="preserve"> </w:t>
      </w:r>
      <w:r w:rsidR="00F13964" w:rsidRPr="00F13964">
        <w:t>többek között a helyi önkormányzatok szintjén</w:t>
      </w:r>
      <w:r w:rsidR="00916DDD" w:rsidRPr="00432A60">
        <w:t xml:space="preserve">, és hangsúlyozza, hogy ezeket a szabályokat teljes mértékben és hatékonyan végre kell hajtani annak érdekében, hogy a kisebbségi és oktatási jogokkal a gyakorlatban is élhessenek azok, akiket megilletnek; felhívja a hatóságokat, hogy </w:t>
      </w:r>
      <w:r w:rsidR="00F13964" w:rsidRPr="00F13964">
        <w:t xml:space="preserve">biztosítsák a belső szabályzatok hatékony végrehajtását, különösen azáltal, hogy megfelelő forrásokat különítenek el a központi ügynökségek és a helyi önkormányzatok számára; felhívja a hatóságokat annak biztosítására, hogy a nemzeti kisebbségekkel foglalkozó bizottság tagjainak kiválasztására vonatkozó eljárásokat a Bizottság és a nemzeti kisebbségek védelméről szóló keretegyezmény tanácsadó bizottságának ajánlásaival összhangban vizsgálják felül; felhívja a hatóságokat, hogy </w:t>
      </w:r>
      <w:r w:rsidR="00916DDD" w:rsidRPr="00432A60">
        <w:t>növeljék a nemzeti kisebbségekkel foglalkozó állami bizottság kapacitását</w:t>
      </w:r>
      <w:r w:rsidR="00F13964">
        <w:t xml:space="preserve">, </w:t>
      </w:r>
      <w:r w:rsidR="00F13964" w:rsidRPr="00F13964">
        <w:t>és biztosítsák, hogy az teljes mértékben működőképes legyen és megfelelő erőforrásokkal rendelkezzen</w:t>
      </w:r>
      <w:r w:rsidR="00916DDD" w:rsidRPr="00432A60">
        <w:t xml:space="preserve">; aggodalmát fejezi ki az albániai kisebbségi csoportokat érintő megkülönböztetés és társadalmi kirekesztés tartós problémái miatt; felszólítja az albán kormányt az emberi jogok, köztük a kisebbségi jogok teljes körű tiszteletben tartására és védelmére, valamint annak biztosítására, hogy az emberi jogi visszaélésekkel, többek között a gyűlöletbeszéddel kapcsolatos valamennyi állítást késedelem nélkül és alaposan kivizsgálják; sürgeti az albán hatóságokat, hogy erősítsék meg az intézményi mechanizmusokat a megkülönböztetés megelőzése és valamennyi közösség érdemi politikai részvételének biztosítása érdekében, összhangban a Bizottság Albániáról szóló 2024. évi jelentésében foglalt ajánlásokkal; felhívja Albániát, hogy védje és mozdítsa elő nemzeti kisebbségeinek kulturális örökségét, nyelveit és hagyományait; felszólítja Albániát, hogy </w:t>
      </w:r>
      <w:r w:rsidR="00F13964" w:rsidRPr="00F13964">
        <w:t xml:space="preserve">az országban mindenütt </w:t>
      </w:r>
      <w:r w:rsidR="00916DDD" w:rsidRPr="00432A60">
        <w:t xml:space="preserve">biztosítsa a nemzeti </w:t>
      </w:r>
      <w:r w:rsidR="00916DDD" w:rsidRPr="00432A60">
        <w:lastRenderedPageBreak/>
        <w:t xml:space="preserve">kisebbségek </w:t>
      </w:r>
      <w:r w:rsidR="00F13964" w:rsidRPr="00F13964">
        <w:t>anyanyelvi oktatását, így a hagyományosan görög nemzeti kisebbség által lakott régiókban biztosítsa a megfelelő görög anyanyelvű általános és középiskolai oktatást, és valamennyi polgára számára biztosítsa az állami alap-, közép- és felsőfokú oktatáshoz való korlátlan hozzáférést, ezáltal teljes mértékben végrehajtva a vonatkozó jogszabályokat</w:t>
      </w:r>
      <w:r w:rsidR="00916DDD" w:rsidRPr="00432A60">
        <w:t>;</w:t>
      </w:r>
    </w:p>
    <w:p w14:paraId="664A3E96" w14:textId="77777777" w:rsidR="00F13964" w:rsidRPr="00432A60" w:rsidRDefault="00C84E95" w:rsidP="00851849">
      <w:pPr>
        <w:pStyle w:val="NormalHanging12a"/>
        <w:widowControl/>
        <w:rPr>
          <w:bCs/>
          <w:iCs/>
        </w:rPr>
      </w:pPr>
      <w:r>
        <w:rPr>
          <w:bCs/>
          <w:iCs/>
        </w:rPr>
        <w:t>25</w:t>
      </w:r>
      <w:r w:rsidR="00F13964" w:rsidRPr="00F13964">
        <w:rPr>
          <w:bCs/>
          <w:iCs/>
        </w:rPr>
        <w:t>.</w:t>
      </w:r>
      <w:r w:rsidR="00F13964" w:rsidRPr="00F13964">
        <w:rPr>
          <w:bCs/>
          <w:iCs/>
        </w:rPr>
        <w:tab/>
        <w:t xml:space="preserve">felszólítja Albániát, hogy védje meg és őrizze meg a görög ortodox kisebbség vallási és kulturális örökségét, többek között az egyházak és temetők helyreállítása és jogi elismerése révén; felhívja a hatóságokat, hogy tartózkodjanak a görög kisebbség történelmi vagy kulturális jelentőségű ingatlanjainak </w:t>
      </w:r>
      <w:proofErr w:type="gramStart"/>
      <w:r w:rsidR="00F13964" w:rsidRPr="00F13964">
        <w:rPr>
          <w:bCs/>
          <w:iCs/>
        </w:rPr>
        <w:t>kisajátításától</w:t>
      </w:r>
      <w:proofErr w:type="gramEnd"/>
      <w:r w:rsidR="00F13964" w:rsidRPr="00F13964">
        <w:rPr>
          <w:bCs/>
          <w:iCs/>
        </w:rPr>
        <w:t xml:space="preserve"> vagy lebontásától;</w:t>
      </w:r>
    </w:p>
    <w:p w14:paraId="494FDF34" w14:textId="77777777" w:rsidR="00916DDD" w:rsidRDefault="00C84E95" w:rsidP="00851849">
      <w:pPr>
        <w:widowControl/>
        <w:spacing w:after="240"/>
        <w:ind w:left="567" w:hanging="567"/>
      </w:pPr>
      <w:r>
        <w:t>26</w:t>
      </w:r>
      <w:r w:rsidR="00916DDD" w:rsidRPr="00432A60">
        <w:t>.</w:t>
      </w:r>
      <w:r w:rsidR="00916DDD" w:rsidRPr="00432A60">
        <w:tab/>
        <w:t xml:space="preserve">emlékeztet arra, hogy Albániának védenie kell a tulajdonhoz való jogot, különösen azáltal, hogy határozott előrelépést tesz az első nyilvántartásba vétel és a kompenzáció terén, javítja az állami kataszter átláthatóságát és az ingatlan-nyilvántartási adatok minőségét, valamint biztosítja a tisztességes eljáráshoz és a hatékony jogorvoslathoz való jog tiszteletben tartását az ingatlanok kisajátítása és törlése esetén; </w:t>
      </w:r>
    </w:p>
    <w:p w14:paraId="18329826" w14:textId="77777777" w:rsidR="00F13964" w:rsidRDefault="00C84E95" w:rsidP="00851849">
      <w:pPr>
        <w:widowControl/>
        <w:spacing w:after="240"/>
        <w:ind w:left="567" w:hanging="567"/>
        <w:rPr>
          <w:bCs/>
          <w:iCs/>
        </w:rPr>
      </w:pPr>
      <w:r>
        <w:rPr>
          <w:bCs/>
          <w:iCs/>
        </w:rPr>
        <w:t>27</w:t>
      </w:r>
      <w:r w:rsidR="00F13964" w:rsidRPr="00F13964">
        <w:rPr>
          <w:bCs/>
          <w:iCs/>
        </w:rPr>
        <w:t>.</w:t>
      </w:r>
      <w:r w:rsidR="00F13964" w:rsidRPr="00F13964">
        <w:rPr>
          <w:bCs/>
          <w:iCs/>
        </w:rPr>
        <w:tab/>
        <w:t>ösztönzi Albánia kormányát, hogy orvosolja a kommunista rezsim által a vallási felekezetek tekintetében elkövetett igazságtalanságokat;</w:t>
      </w:r>
    </w:p>
    <w:p w14:paraId="68039D81" w14:textId="77777777" w:rsidR="00F13964" w:rsidRPr="00432A60" w:rsidRDefault="00C84E95" w:rsidP="00851849">
      <w:pPr>
        <w:widowControl/>
        <w:spacing w:after="240"/>
        <w:ind w:left="567" w:hanging="567"/>
        <w:rPr>
          <w:bCs/>
          <w:iCs/>
        </w:rPr>
      </w:pPr>
      <w:r>
        <w:rPr>
          <w:bCs/>
          <w:iCs/>
        </w:rPr>
        <w:t>28</w:t>
      </w:r>
      <w:r w:rsidR="00F13964" w:rsidRPr="00F13964">
        <w:rPr>
          <w:bCs/>
          <w:iCs/>
        </w:rPr>
        <w:t>.</w:t>
      </w:r>
      <w:r w:rsidR="00F13964" w:rsidRPr="00F13964">
        <w:rPr>
          <w:bCs/>
          <w:iCs/>
        </w:rPr>
        <w:tab/>
        <w:t>aggodalmát fejezi ki a kommunisták által elkobzott vallási ingatlanok visszaszolgáltatásának lassúsága miatt; aggodalommal állapítja meg továbbá, hogy a vallási felekezetek számos kérelme ellenére az albán kormány nem juttatta vissza a kommunista rezsim alatt elkobzott valamennyi szent tárgyat, re</w:t>
      </w:r>
      <w:r w:rsidR="00F13964">
        <w:rPr>
          <w:bCs/>
          <w:iCs/>
        </w:rPr>
        <w:t>likviát, ikont és szent iratot</w:t>
      </w:r>
      <w:r w:rsidR="00F13964">
        <w:rPr>
          <w:rStyle w:val="FootnoteReference"/>
          <w:bCs/>
          <w:iCs/>
        </w:rPr>
        <w:footnoteReference w:id="5"/>
      </w:r>
      <w:r w:rsidR="00F13964" w:rsidRPr="00F13964">
        <w:rPr>
          <w:bCs/>
          <w:iCs/>
        </w:rPr>
        <w:t>;</w:t>
      </w:r>
    </w:p>
    <w:p w14:paraId="6DBE4470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29</w:t>
      </w:r>
      <w:r w:rsidR="00916DDD" w:rsidRPr="00432A60">
        <w:t>.</w:t>
      </w:r>
      <w:r w:rsidR="00916DDD" w:rsidRPr="00432A60">
        <w:tab/>
        <w:t xml:space="preserve">felszólít az oktatási rendszer korszerűsítésére irányuló beruházások növelésére annak érdekében, hogy biztosítsák annak magas színvonalát és befogadó jellegét; felszólítja Albániát, hogy hajtson végre intézkedéseket a fogyatékossággal élő személyek foglalkoztatási és oktatási lehetőségeinek előmozdítása érdekében; </w:t>
      </w:r>
    </w:p>
    <w:p w14:paraId="37547014" w14:textId="77777777" w:rsidR="00916DDD" w:rsidRPr="00432A60" w:rsidRDefault="00C84E95" w:rsidP="00851849">
      <w:pPr>
        <w:pStyle w:val="NormalHanging12a"/>
        <w:widowControl/>
      </w:pPr>
      <w:r>
        <w:t>30</w:t>
      </w:r>
      <w:r w:rsidR="00916DDD" w:rsidRPr="00432A60">
        <w:t>.</w:t>
      </w:r>
      <w:r w:rsidR="00916DDD" w:rsidRPr="00432A60">
        <w:tab/>
      </w:r>
      <w:r w:rsidR="00F13964" w:rsidRPr="00F13964">
        <w:t>üdvözli a 2023. évi albániai népszámlálást; felhívja a hatóságokat, hogy a Bizottság Albániáról szóló 2024. évi jelentésében szereplő bizottsági ajánlással összhangban tegyék közzé a részletes adatokat és a tematikus elemzést</w:t>
      </w:r>
      <w:r w:rsidR="00916DDD" w:rsidRPr="00432A60">
        <w:t xml:space="preserve">; </w:t>
      </w:r>
    </w:p>
    <w:p w14:paraId="3D5C7E9D" w14:textId="77777777" w:rsidR="00916DDD" w:rsidRPr="00432A60" w:rsidRDefault="00C84E95" w:rsidP="00851849">
      <w:pPr>
        <w:pStyle w:val="NormalHanging12a"/>
        <w:widowControl/>
      </w:pPr>
      <w:r>
        <w:t>31</w:t>
      </w:r>
      <w:r w:rsidR="00916DDD" w:rsidRPr="00432A60">
        <w:t>.</w:t>
      </w:r>
      <w:r w:rsidR="00916DDD" w:rsidRPr="00432A60">
        <w:tab/>
        <w:t xml:space="preserve">üdvözli a személyes adatok védelméről szóló törvény elfogadását, amelynek célja az uniós vívmányokkal való teljes körű összehangolás; elismerését fejezi ki az albán hatóságoknak az árva művek felhasználására vonatkozó eljárásról és méltányos díjazásról, valamint a szerzői jogi oltalom alatt álló művek adatbázisáról szóló végrehajtási jogszabályok elfogadásáért, de komoly aggodalmának ad hangot a személyes adatok kezelése és az informatikai rendszerek hiányosságai miatt; felhívja az albán hatóságokat, hogy erősítsék meg az adatvédelmi incidensekkel szembeni védelmet, fokozzák a megelőzést és a közvélemény tudatosságát, valamint javítsák az intézményi kapacitást a személyes adatok védelméről szóló új törvény hatékony végrehajtása érdekében; felhívja Albániát, hogy továbbra is működjön együtt az EU Szellemi Tulajdoni Hivatalával; </w:t>
      </w:r>
    </w:p>
    <w:p w14:paraId="20723497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32</w:t>
      </w:r>
      <w:r w:rsidR="00916DDD" w:rsidRPr="00432A60">
        <w:t>.</w:t>
      </w:r>
      <w:r w:rsidR="00916DDD" w:rsidRPr="00432A60">
        <w:tab/>
        <w:t xml:space="preserve">elismeri az Albánia és az EU közötti együttműködés megerősítését a migrációs áramlások kezelése és a határellenőrzés terén, különösen a 2024–2026 közötti időszakra </w:t>
      </w:r>
      <w:r w:rsidR="00916DDD" w:rsidRPr="00432A60">
        <w:lastRenderedPageBreak/>
        <w:t>vonatkozó új nemzeti migrációs stratégia és a Frontexszel való együttműködés révén; tudomásul veszi az Olaszország–Albánia egyetértési megállapodást;</w:t>
      </w:r>
    </w:p>
    <w:p w14:paraId="58583961" w14:textId="77777777" w:rsidR="00916DDD" w:rsidRPr="00432A60" w:rsidRDefault="00916DDD" w:rsidP="00851849">
      <w:pPr>
        <w:pStyle w:val="NormalHanging12a"/>
        <w:widowControl/>
        <w:rPr>
          <w:b/>
          <w:i/>
        </w:rPr>
      </w:pPr>
      <w:r w:rsidRPr="00432A60">
        <w:rPr>
          <w:b/>
          <w:i/>
        </w:rPr>
        <w:t>Jogállamiság</w:t>
      </w:r>
    </w:p>
    <w:p w14:paraId="4B9E24BD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33</w:t>
      </w:r>
      <w:r w:rsidR="00916DDD" w:rsidRPr="00432A60">
        <w:t>.</w:t>
      </w:r>
      <w:r w:rsidR="00916DDD" w:rsidRPr="00432A60">
        <w:tab/>
        <w:t xml:space="preserve">elismerését fejezi ki az Albánia által az igazságszolgáltatás függetlenségének, átláthatóságának és elszámoltathatóságának megerősítését célzó igazságügyi reformok végrehajtása terén elért eredményekért, beleértve az első fokon lezárult átvilágítási folyamatot is; üdvözli az albán parlament által elindított „Jó kormányzás, jogállamiság és korrupció elleni küzdelem Albániában – 2030” elnevezésű új reformfolyamatot; hangsúlyozza, hogy minden olyan kezdeményezésnek, amely a kormányzás, a jogállamiság és a korrupcióellenes erőfeszítések megerősítésére irányul, az inkluzivitásra, az átláthatóságra és az együttműködésre kell épülnie; </w:t>
      </w:r>
    </w:p>
    <w:p w14:paraId="0CF45316" w14:textId="77777777" w:rsidR="00916DDD" w:rsidRPr="00432A60" w:rsidRDefault="00C84E95" w:rsidP="00851849">
      <w:pPr>
        <w:pStyle w:val="NormalHanging12a"/>
        <w:widowControl/>
      </w:pPr>
      <w:r>
        <w:t>34</w:t>
      </w:r>
      <w:r w:rsidR="00916DDD" w:rsidRPr="00432A60">
        <w:t>.</w:t>
      </w:r>
      <w:r w:rsidR="00916DDD" w:rsidRPr="00432A60">
        <w:tab/>
        <w:t xml:space="preserve">aggodalmát fejezi ki az igazságszolgáltatási rendszerre gyakorolt folyamatos politikai beavatkozás és nyomás miatt; aggodalmát fejezi ki a Bírói Főtanács és az Ügyészi Főtanács nem bíró tagjai érdemeken alapuló kinevezésének hiányosságai, valamint e tagok feddhetetlensége kapcsán; </w:t>
      </w:r>
      <w:r w:rsidR="00F13964" w:rsidRPr="00F13964">
        <w:t>sajnálatát fejezi ki az igazságszolgáltatás működésével kapcsolatban a SPAK 2024. évi jelentésében megállapított tartós kihívások miatt;</w:t>
      </w:r>
    </w:p>
    <w:p w14:paraId="1424201A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35</w:t>
      </w:r>
      <w:r w:rsidR="00916DDD" w:rsidRPr="00432A60">
        <w:t>.</w:t>
      </w:r>
      <w:r w:rsidR="00916DDD" w:rsidRPr="00432A60">
        <w:tab/>
        <w:t>sürgős lépésekre szólít fel a bírói függetlenség és az intézményi integritás biztosítása érdekében;</w:t>
      </w:r>
    </w:p>
    <w:p w14:paraId="48F04642" w14:textId="77777777" w:rsidR="00916DDD" w:rsidRPr="00432A60" w:rsidRDefault="00C84E95" w:rsidP="00851849">
      <w:pPr>
        <w:pStyle w:val="NormalHanging12a"/>
        <w:widowControl/>
      </w:pPr>
      <w:r>
        <w:t>36</w:t>
      </w:r>
      <w:r w:rsidR="00916DDD" w:rsidRPr="00432A60">
        <w:t>.</w:t>
      </w:r>
      <w:r w:rsidR="00916DDD" w:rsidRPr="00432A60">
        <w:tab/>
        <w:t>kiemeli, hogy Albánia a Transparency International 2024. évi korrupcióérzékelési indexében a 80. helyen állt, ami jelzi, hogy jelentős előrelépésre van szükség a magas szinten elkövetett korrupció elleni küzdelem és az igazságszolgáltatás függetlenségének biztosítása terén; hangsúlyozza Albánia korrupció és szervezett bűnözés elleni küzdelemre szakosodott struktúrájának (SPAK) kulcsfontosságú munkáját a magas szinten elkövetett korrupcióval, valamint az EU pénzügyi érdekeinek védelmével kapcsolatos ügyek kivizsgálása, büntetőeljárás alá vonása és elítélése terén elért eredmények sorának elérésében; hangsúlyozza a korrupcióellenes intézmények teljes függetlensége biztosításának fontosságát, és ösztönzi operatív és vizsgálati kapacitásuk megerősítését; üdvözli a magas szintű korrupciós vizsgálatokat és eljárásokat; hangsúlyozza, hogy a magas rangú tisztviselők ellen hozott jogerős ítéletek számának növelése továbbra is fontos prioritás; sürget minden szereplőt, hogy hagyjon fel az olyan független intézmények munkájának aláásásával, mint a SPAK, és tartózkodjon az erre irányuló cselekményektől; sajnálatosnak tartja, hogy olyan környezet alakult ki, amelyben megfélemlítik az igazságszolgáltatást, valamint indokolatlan nyomást gyakorolnak az igazságszolgáltatás függetlenségére, súlyosan veszélyeztetve azt; aggodalmát fejezi ki amiatt, hogy a fenyegetésekkel szembesülő bírák intézményi támogatásának hiánya gyengíti a közvélemény bizalmát, és súlyosan veszélyezteti a jogállamiságot és Albánia uniós integrációs folyamatát;</w:t>
      </w:r>
    </w:p>
    <w:p w14:paraId="44C43063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37</w:t>
      </w:r>
      <w:r w:rsidR="00916DDD" w:rsidRPr="00432A60">
        <w:t>.</w:t>
      </w:r>
      <w:r w:rsidR="00916DDD" w:rsidRPr="00432A60">
        <w:tab/>
        <w:t>tudomásul veszi az igazságszolgáltatási rendszer minőségével és hatékonyságával kapcsolatos kihívásokat, beleértve a betöltetlen igazságszolgáltatási álláshelyek magas számát, a bírósági személyzet elégtelenségét, az igazságügyi alap- és továbbképzés minőségét, az ítélkezési gyakorlat következetességét és a modern integrált ügykezelési rendszer hiányát; megjegyzi, hogy a költségvetési előirányzatok nem elégségesek, különösen a bírósági komponens esetében; hangsúlyozza, hogy továbbra is prioritásként kell kezelni az igazságszolgáltatási rendszerben az ügyhátralék csökkentését; üdvözli azonban, hogy Albánia Alkotmánybírósága az ügyhátralék csökkentésével javította hatékonyságát, és továbbra is fenntartja az intézményi fékeket és ellensúlyokat;</w:t>
      </w:r>
    </w:p>
    <w:p w14:paraId="35811AB6" w14:textId="77777777" w:rsidR="00916DDD" w:rsidRPr="00432A60" w:rsidRDefault="00C84E95" w:rsidP="00851849">
      <w:pPr>
        <w:pStyle w:val="NormalHanging12a"/>
        <w:widowControl/>
      </w:pPr>
      <w:r>
        <w:lastRenderedPageBreak/>
        <w:t>38</w:t>
      </w:r>
      <w:r w:rsidR="00916DDD" w:rsidRPr="00432A60">
        <w:t>.</w:t>
      </w:r>
      <w:r w:rsidR="00916DDD" w:rsidRPr="00432A60">
        <w:tab/>
        <w:t>üdvözli a pénzmosás elleni küzdelemre vonatkozó uniós vívmányokkal való összehangolást célzó nemzeti jogszabályok elfogadását; megjegyzi, hogy erős vagyonvisszaszerzési hivatalt kell létrehozni, és javítani kell a magas szinten elkövetett korrupciós ügyek átvilágítását, kivizsgálását, büntetőeljárás alá vonását és elítélését, többek között a bűncselekményből származó vagyon lefoglalása és végleges elkobzása révén;</w:t>
      </w:r>
    </w:p>
    <w:p w14:paraId="34EA7C4E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39</w:t>
      </w:r>
      <w:r w:rsidR="00916DDD" w:rsidRPr="00432A60">
        <w:t>.</w:t>
      </w:r>
      <w:r w:rsidR="00916DDD" w:rsidRPr="00432A60">
        <w:tab/>
        <w:t xml:space="preserve">felhívja Albániát, hogy továbbra is hangolja össze jogi keretét, különösen a büntető törvénykönyvét, a szervezett bűnözés, a kábítószer- és tűzfegyver-kereskedelem, valamint a kiberbűnözés, a szélsőségesség és a terrorfenyegetések elleni küzdelemre vonatkozó uniós vívmányokkal; </w:t>
      </w:r>
      <w:r w:rsidR="00F13964" w:rsidRPr="00F13964">
        <w:t xml:space="preserve">továbbra is aggódik az albán maffiacsoportok jelentette folyamatos fenyegetés és tevékenységeik diverzifikációja miatt Európában; sajnálatát fejezi ki amiatt, hogy a hálózataik felszámolására irányuló – többek között a Sky-ECC titkosított üzenetküldő szolgáltatásából származó adatoknak a nyomozások során történő felhasználása révén megvalósult – erőfeszítések ellenére ezek a bűnözői csoportok számos tagállamban, különösen Hollandiában, Belgiumban, Olaszországban és Franciaországban még mindig jelentős mértékben részt vesznek a kábítószer- és fegyverkereskedelemben, a migránscsempészésben, az emberkereskedelemben és a pénzmosásban; </w:t>
      </w:r>
      <w:r w:rsidR="00916DDD" w:rsidRPr="00432A60">
        <w:t>tudomásul veszi további ügyészek kinevezését a Különleges Ügyészségbe, valamint egy pénzügyi nyomozócsoport létrehozását; elismerését fejezi ki Albánia részvételéért a Bűnügyi Fenyegetettség Elleni Európai Multidiszciplináris Platform (EMPACT) keretében folytatott közös műveletekben és együttműködésben a kábítószer-kereskedelemmel, a pénzmosással és a kiberbűnözéssel szemben folytatott küzdelemben; elismeri továbbá az EUROPOL-lal, az EUROJUST-tal, a FRONTEX-szel, az INTERPOL-lal és a CARIN-hálózattal a szervezett bűnözés elleni küzdelem és a nemzetközi bűnözői hálózatok felszámolása terén folytatott fokozott együttműködést; ösztönzi Albániát, hogy a regionális stabilitás fokozása érdekében erősítse meg a hírszerzési információk uniós ügynökségekkel való megosztására szolgáló mechanizmusait; további folyamatos erőfeszítésekre szólít fel Albánia biztonsági politikáinak az uniós stratégiákkal való összehangolása érdekében, előmozdítva az integráltabb és reziliensebb regionális biztonsági keretet; felhívja Albániát, hogy az uniós tagállamokkal és az uniós ügynökségekkel együttműködve erősítse meg az emberkereskedelem elleni küzdelmet; hangsúlyozza, hogy fel kell lépni a kézi- és könnyűfegyverek tiltott kereskedelme ellen, mivel Albánia továbbra is cél- és tranzitország; üdvözli a bűncselekmények áldozatainak védelmére irányuló új stratégia elfogadását; hangsúlyozza a migráció ellenőrzésével foglalkozó személyzet folyamatos képzésének fontosságát az európai szabályozások hatékony végrehajtásának biztosítása és az emberkereskedő hálózatok tevékenységére való határozottabb reagálás biztosítása érdekében;</w:t>
      </w:r>
    </w:p>
    <w:p w14:paraId="22AF7B0E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40</w:t>
      </w:r>
      <w:r w:rsidR="00916DDD" w:rsidRPr="00432A60">
        <w:t>.</w:t>
      </w:r>
      <w:r w:rsidR="00916DDD" w:rsidRPr="00432A60">
        <w:tab/>
        <w:t>ösztönzi az Európai Külügyi Szolgálatot és a Bizottságot, hogy a kiberbiztonság, az információmanipuláció és a kritikus infrastruktúrák védelme terén továbbra is segítsék Albánia hibrid fenyegetésekkel szembeni ellenálló képességének növelését; felhívja Albániát, hogy értékelje a közvetlen külföldi befektetésekkel kapcsolatos kockázatokat, és vizsgálja meg az ilyen beruházásokat, különösen az olyan stratégiai ágazatokban, mint az energia, a bányászat és a távközlés, a gazdasági függőségek és az adósságcsapdák elkerülése, a nemzeti érdekek védelme, a biztonság fokozása és az uniós normákkal való összhang biztosítása érdekében;</w:t>
      </w:r>
    </w:p>
    <w:p w14:paraId="41107CD6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41</w:t>
      </w:r>
      <w:r w:rsidR="00916DDD" w:rsidRPr="00432A60">
        <w:t>.</w:t>
      </w:r>
      <w:r w:rsidR="00916DDD" w:rsidRPr="00432A60">
        <w:tab/>
        <w:t xml:space="preserve">kéri az Uniót és a nyugat-balkáni országokat, hogy a szoros együttműködés és az uniós forrásokkal való visszaéléssel kapcsolatos büntetőeljárások elősegítése érdekében hozzák létre az Európai Ügyészség (EPPO) és a csatlakozásra váró országok közötti </w:t>
      </w:r>
      <w:r w:rsidR="00916DDD" w:rsidRPr="00432A60">
        <w:lastRenderedPageBreak/>
        <w:t>hatékony együttműködés keretét; üdvözli, hogy Albánia kétoldalú munkamegállapodást kötött az Európai Ügyészséggel;</w:t>
      </w:r>
    </w:p>
    <w:p w14:paraId="3091F2C9" w14:textId="77777777" w:rsidR="00916DDD" w:rsidRPr="00432A60" w:rsidRDefault="00916DDD" w:rsidP="00851849">
      <w:pPr>
        <w:pStyle w:val="NormalHanging12a"/>
        <w:widowControl/>
        <w:rPr>
          <w:b/>
          <w:i/>
        </w:rPr>
      </w:pPr>
      <w:r w:rsidRPr="00432A60">
        <w:rPr>
          <w:b/>
          <w:i/>
        </w:rPr>
        <w:t>Társadalmi-gazdasági reformok</w:t>
      </w:r>
    </w:p>
    <w:p w14:paraId="6A1BE913" w14:textId="77777777" w:rsidR="00916DDD" w:rsidRPr="00432A60" w:rsidRDefault="00C84E95" w:rsidP="00851849">
      <w:pPr>
        <w:pStyle w:val="NormalHanging12a"/>
        <w:widowControl/>
      </w:pPr>
      <w:r>
        <w:t>42</w:t>
      </w:r>
      <w:r w:rsidR="00916DDD" w:rsidRPr="00432A60">
        <w:t>.</w:t>
      </w:r>
      <w:r w:rsidR="00916DDD" w:rsidRPr="00432A60">
        <w:tab/>
        <w:t>üdvözli Albánia elkötelezettségét a Nyugat-Balkánra vonatkozó uniós növekedési terv végrehajtásában, amely terv magában foglalja az uniós egységes piaci integrációt, a regionális gazdasági integrációt, az alapvető reformokat és a fokozott pénzügyi támogatást;</w:t>
      </w:r>
    </w:p>
    <w:p w14:paraId="4BC978DC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43</w:t>
      </w:r>
      <w:r w:rsidR="00916DDD" w:rsidRPr="00432A60">
        <w:t>.</w:t>
      </w:r>
      <w:r w:rsidR="00916DDD" w:rsidRPr="00432A60">
        <w:tab/>
        <w:t>ismét hangsúlyozza, hogy javítani kell a nyugat-balkáni országokkal közös nyilvános infrastruktúrát, és fejleszteni kell a kapcsolódásokat az uniós tagállamokkal; emlékeztet a Nyugat-Balkánra vonatkozó gazdaságélénkítési és beruházási tervben rejlő lehetőségekre a regionális összeköttetések vasúton és autópályán keresztül történő javítása tekintetében; ezzel összefüggésben sürgeti valamennyi ország hatóságait, hogy építsék ki az Albániát, Észak-Macedóniát és Bulgáriát összekötő VIII. folyosót; emlékeztet arra, hogy fejleszteni kell a nyugat-balkáni országokkal és az uniós tagállamokkal való légi összeköttetéseket;</w:t>
      </w:r>
    </w:p>
    <w:p w14:paraId="0B2E6C89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44</w:t>
      </w:r>
      <w:r w:rsidR="00916DDD" w:rsidRPr="00432A60">
        <w:t>.</w:t>
      </w:r>
      <w:r w:rsidR="00916DDD" w:rsidRPr="00432A60">
        <w:tab/>
        <w:t>üdvözli Albánia reformprogramját, amely az üzleti környezettel, a humán tőkével, a digitalizációval, az energetikai és zöld átállással, az alapvető jogokkal és a jogállamisággal foglalkozik; üdvözli továbbá Albánia részvételét az EU Digitális Európa programjában; üdvözli, hogy Albánia az EU és a Gazdasági Együttműködési és Fejlesztési Szervezet által működtetett, a kormányzás és az irányítás javítását támogató program regionális vezetőjévé vált a közigazgatásban és a digitális közbeszerzésben;</w:t>
      </w:r>
    </w:p>
    <w:p w14:paraId="0F068ABB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45</w:t>
      </w:r>
      <w:r w:rsidR="00916DDD" w:rsidRPr="00432A60">
        <w:t>.</w:t>
      </w:r>
      <w:r w:rsidR="00916DDD" w:rsidRPr="00432A60">
        <w:tab/>
        <w:t>ösztönzi az albán hatóságokat, hogy az oktatáshoz,m a lakhatáshoz, a szociális és egészségügyi szolgáltatásokhoz való hozzáférés további javítása révén csökkentsék a szegénység és a társadalmi kirekesztés kockázatát, különösen a hátrányos helyzetű lakosság és kisebbségi csoportok, köztük a romák és az egyiptomiak körében; felszólít Albánia 2024–2030-as időszakra szóló nemzeti szociális védelmi stratégiájának és a 2023–2030-as időszakra szóló nemzeti foglalkoztatási és készségfejlesztési stratégiájának végrehajtására; felszólítja Albániát, hogy fogadjon el további intézkedéseket az ifjúsági munkanélküliség elleni küzdelem érdekében, és felhívja az albán hatóságokat, hogy hatékonyan hajtsák végre a nemzeti gyermekjogi menetrendet azáltal, hogy segítséget nyújtanak a kirekesztéssel és szegénységgel szembesülő gyermekeknek;</w:t>
      </w:r>
    </w:p>
    <w:p w14:paraId="0904DBF0" w14:textId="77777777" w:rsidR="00916DDD" w:rsidRPr="00432A60" w:rsidRDefault="00C84E95" w:rsidP="00851849">
      <w:pPr>
        <w:pStyle w:val="NormalHanging12a"/>
        <w:widowControl/>
        <w:rPr>
          <w:bCs/>
          <w:iCs/>
          <w:szCs w:val="24"/>
        </w:rPr>
      </w:pPr>
      <w:r>
        <w:t>46</w:t>
      </w:r>
      <w:r w:rsidR="00916DDD" w:rsidRPr="00432A60">
        <w:t>.</w:t>
      </w:r>
      <w:r w:rsidR="00916DDD" w:rsidRPr="00432A60">
        <w:tab/>
        <w:t>elismerését fejezi ki az albán hatóságoknak a felsőoktatás reformjára és a 2021–2026 közötti időszakra vonatkozó nemzeti oktatási stratégia végrehajtására irányuló jogalkotási aktusok elfogadásáért; sürgeti Albániát, hogy az iskolai tantervek központi témájaként bővítse a médiaműveltséget, biztosítva ugyanakkor, hogy a tanárok célzott képzésben részesüljenek és modern erőforrásokhoz jussanak a magas színvonalú programok megvalósítása érdekében; ösztönzi az uniós oktatási kezdeményezésekkel és regionális hálózatokkal, például a nyugat-balkáni médiaműveltségi megfigyelőközponttal való együttműködést a kritikus gondolkodás és a digitális jártasság oktatása terén bevált gyakorlatok végrehajtása érdekében;</w:t>
      </w:r>
    </w:p>
    <w:p w14:paraId="1A763BEA" w14:textId="77777777" w:rsidR="00916DDD" w:rsidRPr="00432A60" w:rsidRDefault="00C84E95" w:rsidP="00851849">
      <w:pPr>
        <w:pStyle w:val="NormalHanging12a"/>
        <w:widowControl/>
        <w:rPr>
          <w:bCs/>
          <w:iCs/>
          <w:szCs w:val="24"/>
        </w:rPr>
      </w:pPr>
      <w:r>
        <w:t>47</w:t>
      </w:r>
      <w:r w:rsidR="00916DDD" w:rsidRPr="00432A60">
        <w:t>.</w:t>
      </w:r>
      <w:r w:rsidR="00916DDD" w:rsidRPr="00432A60">
        <w:tab/>
        <w:t>üdvözli az Albánia által az uniós tagállamokkal a szociális biztonságról szóló kétoldalú megállapodások megkötése, valamint annak előkészítése terén elért eredményeket, hogy lehetővé tegye foglalkoztatási szolgáltatási rendszerének az EURES-szel, a foglalkoztatási szolgálatok európai hálózatával való összekapcsolását;</w:t>
      </w:r>
    </w:p>
    <w:p w14:paraId="44E53C8D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lastRenderedPageBreak/>
        <w:t>48</w:t>
      </w:r>
      <w:r w:rsidR="00916DDD" w:rsidRPr="00432A60">
        <w:t>.</w:t>
      </w:r>
      <w:r w:rsidR="00916DDD" w:rsidRPr="00432A60">
        <w:tab/>
        <w:t>üdvözli, hogy Albánia 2024 novemberében csatlakozott az egységes eurófizetési térséghez, ami csökkenti a polgárok és a vállalkozások költségeit, és hozzá fog járulni Albánia egységes piacba való további integrációjához; elismerését fejezi ki az albán hatóságoknak a fizetési műveletekre vonatkozó uniós vívmányokkal (a fizetési számlákról szóló irányelv</w:t>
      </w:r>
      <w:r w:rsidR="00916DDD" w:rsidRPr="00432A60">
        <w:rPr>
          <w:rStyle w:val="FootnoteReference"/>
          <w:bCs/>
          <w:iCs/>
        </w:rPr>
        <w:footnoteReference w:id="6"/>
      </w:r>
      <w:r w:rsidR="00916DDD" w:rsidRPr="00432A60">
        <w:t>) való összehangolásért, valamint azon intézkedésekért, amelyek eredményeként Albánia lekerült a Pénzügyi Akció Munkacsoport „szürkelistájáról”; elismeri Albánia gazdasági versenyképességének javítására irányuló erőfeszítéseit, és felszólítja a kormányt, hogy folytassa a strukturális reformokat a vonzóbb üzleti környezet előmozdítása érdekében, összhangban az uniós normákkal; sajnálja, hogy a közigazgatás hatékonyságának hiánya, a túlzott szabályozási keret, a korrupció és a jelentős informális gazdaság aláássa az üzleti környezetet és gátolja a piaci versenyt;</w:t>
      </w:r>
    </w:p>
    <w:p w14:paraId="2950BE12" w14:textId="77777777" w:rsidR="00916DDD" w:rsidRPr="00432A60" w:rsidRDefault="00C84E95" w:rsidP="00851849">
      <w:pPr>
        <w:pStyle w:val="NormalHanging12a"/>
        <w:widowControl/>
        <w:rPr>
          <w:bCs/>
          <w:iCs/>
          <w:szCs w:val="24"/>
        </w:rPr>
      </w:pPr>
      <w:r>
        <w:t>49</w:t>
      </w:r>
      <w:r w:rsidR="00916DDD" w:rsidRPr="00432A60">
        <w:t>.</w:t>
      </w:r>
      <w:r w:rsidR="00916DDD" w:rsidRPr="00432A60">
        <w:tab/>
        <w:t>elismerését fejezi ki Albánia költségvetési teljesítményének javulásáért; felhívja az albán hatóságokat, hogy a Pénzügyminisztérium illetékes szervezeti egységének megerősítése révén terjesszék ki még nagyobb mértékben a költségvetési kockázatelemzést; felszólít az állami tulajdonú vállalatok nagyobb átláthatóságára és elszámoltathatóságára éves pénzügyi jelentések révén; felhívja Albániát, hogy erősítse meg államháztartási belső kontrollrendszerét, és biztosítsa a legfőbb ellenőrző intézmény (ALSAI) ajánlásainak végrehajtását;</w:t>
      </w:r>
    </w:p>
    <w:p w14:paraId="19989202" w14:textId="77777777" w:rsidR="00916DDD" w:rsidRPr="00432A60" w:rsidRDefault="00C84E95" w:rsidP="00851849">
      <w:pPr>
        <w:pStyle w:val="NormalHanging12a"/>
        <w:widowControl/>
        <w:rPr>
          <w:bCs/>
          <w:iCs/>
          <w:szCs w:val="24"/>
        </w:rPr>
      </w:pPr>
      <w:r>
        <w:t>50</w:t>
      </w:r>
      <w:r w:rsidR="00916DDD" w:rsidRPr="00432A60">
        <w:t>.</w:t>
      </w:r>
      <w:r w:rsidR="00916DDD" w:rsidRPr="00432A60">
        <w:tab/>
        <w:t>üdvözli a magánnyugdíjalapra, a bankok helyreállítására és a szanálási keretre vonatkozó jogszabályok további összehangolását az uniós vívmányokkal; felhívja Albániát, hogy teljesítse ki jogszabályainak összehangolását a biztosításra, a tőkepiacokra, az értékpapírpiacokra, a befektetési alapokra és a pénzügyi piaci infrastruktúrákra vonatkozó uniós vívmányokkal;</w:t>
      </w:r>
    </w:p>
    <w:p w14:paraId="0D26058F" w14:textId="77777777" w:rsidR="00916DDD" w:rsidRPr="00432A60" w:rsidRDefault="00C84E95" w:rsidP="00851849">
      <w:pPr>
        <w:pStyle w:val="NormalHanging12a"/>
        <w:widowControl/>
        <w:rPr>
          <w:bCs/>
          <w:iCs/>
          <w:szCs w:val="24"/>
        </w:rPr>
      </w:pPr>
      <w:r>
        <w:t>51</w:t>
      </w:r>
      <w:r w:rsidR="00916DDD" w:rsidRPr="00432A60">
        <w:t>.</w:t>
      </w:r>
      <w:r w:rsidR="00916DDD" w:rsidRPr="00432A60">
        <w:tab/>
        <w:t>üdvözli a tiranai csúcstalálkozón a barangolási költségek csökkentéséről létrejött megállapodást; e tekintetben felhívja a hatóságokat, a magánszereplőket és valamennyi érdekelt felet, hogy törekedjenek az adatátviteli barangolási díjak jelentős csökkentésére, valamint a Nyugat-Balkán és az EU közötti barangolási díjak 2027-ig a belföldi árakhoz közeli szintre történő további csökkentésére vonatkozóan elfogadott célok elérésére; üdvözli, hogy végrehajtották a Nyugat-Balkán és az EU közötti barangolásra vonatkozó ütemterv első szakaszát;</w:t>
      </w:r>
    </w:p>
    <w:p w14:paraId="06B00696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52</w:t>
      </w:r>
      <w:r w:rsidR="00916DDD" w:rsidRPr="00432A60">
        <w:t>.</w:t>
      </w:r>
      <w:r w:rsidR="00916DDD" w:rsidRPr="00432A60">
        <w:tab/>
        <w:t>aggodalmát fejezi ki amiatt, hogy Albániában nem történt előrelépés a társasági jogi jogszabályok terén; felhívja az albán hatóságokat, hogy teljesítsék ki a társasági jogi jogszabályok uniós vívmányokkal való összehangolását;</w:t>
      </w:r>
    </w:p>
    <w:p w14:paraId="29F94E7C" w14:textId="77777777" w:rsidR="00916DDD" w:rsidRPr="00432A60" w:rsidRDefault="00916DDD" w:rsidP="00851849">
      <w:pPr>
        <w:pStyle w:val="NormalHanging12a"/>
        <w:widowControl/>
        <w:rPr>
          <w:b/>
          <w:i/>
        </w:rPr>
      </w:pPr>
      <w:r w:rsidRPr="00432A60">
        <w:rPr>
          <w:b/>
          <w:i/>
        </w:rPr>
        <w:t>Környezetvédelem, biodiverzitás, energia és közlekedés, fenntartható turizmus</w:t>
      </w:r>
    </w:p>
    <w:p w14:paraId="5C44A20B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53</w:t>
      </w:r>
      <w:r w:rsidR="00916DDD" w:rsidRPr="00432A60">
        <w:t>.</w:t>
      </w:r>
      <w:r w:rsidR="00916DDD" w:rsidRPr="00432A60">
        <w:tab/>
        <w:t xml:space="preserve">hangsúlyozza, hogy Albániának több erőfeszítésre van szüksége ahhoz, hogy igazodjon az uniós környezetvédelmi vívmányokhoz; kéri, hogy az irányelvet hangolják össze az </w:t>
      </w:r>
      <w:r w:rsidR="00916DDD" w:rsidRPr="00432A60">
        <w:lastRenderedPageBreak/>
        <w:t>EU környezeti hatásvizsgálatról</w:t>
      </w:r>
      <w:r w:rsidR="00916DDD" w:rsidRPr="00432A60">
        <w:rPr>
          <w:rStyle w:val="FootnoteReference"/>
        </w:rPr>
        <w:footnoteReference w:id="7"/>
      </w:r>
      <w:r w:rsidR="00916DDD" w:rsidRPr="00432A60">
        <w:t xml:space="preserve"> és stratégiai környezeti vizsgálatról</w:t>
      </w:r>
      <w:r w:rsidR="00916DDD" w:rsidRPr="00432A60">
        <w:rPr>
          <w:rStyle w:val="FootnoteReference"/>
        </w:rPr>
        <w:footnoteReference w:id="8"/>
      </w:r>
      <w:r w:rsidR="00916DDD" w:rsidRPr="00432A60">
        <w:t xml:space="preserve"> szóló irányelveivel; hangsúlyozza, hogy meg kell erősíteni a környezeti bűnözés elleni küzdelmet;</w:t>
      </w:r>
    </w:p>
    <w:p w14:paraId="50096646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54</w:t>
      </w:r>
      <w:r w:rsidR="00916DDD" w:rsidRPr="00432A60">
        <w:t>.</w:t>
      </w:r>
      <w:r w:rsidR="00916DDD" w:rsidRPr="00432A60">
        <w:tab/>
        <w:t>hangsúlyozza, hogy az Aarhusi Egyezménnyel összhangban átlátható és inkluzív nyilvános konzultációkra van szükség, amely biztosítja a helyi közösségek, a nem kormányzati szervezetek és a tudományos intézmények aktív részvételét a környezeti döntéshozatali folyamatokban, különösen a jelentős környezeti és társadalmi-gazdasági következményekkel járó projektek esetében; figyelmeztet arra, hogy az érdekelt felek megfelelő bevonásának hiánya aláássa a kormányzási normákat és Albánia uniós vívmányokkal kapcsolatos kötelezettségeinek való megfelelését; aggodalmát fejezi ki a nem versenyképes, külföldi finanszírozású fejlesztési projektek gazdasági és környezeti hatásai miatt;</w:t>
      </w:r>
    </w:p>
    <w:p w14:paraId="13A562F3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55</w:t>
      </w:r>
      <w:r w:rsidR="00916DDD" w:rsidRPr="00432A60">
        <w:t>.</w:t>
      </w:r>
      <w:r w:rsidR="00916DDD" w:rsidRPr="00432A60">
        <w:tab/>
        <w:t>emlékeztet arra, hogy Albániának jelentős erőfeszítéseket kell tennie az éghajlatvédelemmel, az energiahatékonysággal, az energiaellátás és a közlekedés diverzifikálásával és környezetbarátabbá tételével kapcsolatos célok eléréséhez; megjegyzi, hogy a levegő- és vízminőség, valamint a hulladékgazdálkodás továbbra is különösen nagy kihívást jelent az ország számára; sürgeti a központi kormányzatot és a helyi önkormányzatokat, hogy fokozzák erőfeszítéseiket a levegőminőség javítása és a potenciálisan halálos szennyezés csökkentése érdekében; sürgeti az albán kormányt, hogy kezelje prioritásként az éghajlatváltozáshoz való alkalmazkodást célzó stratégiák végrehajtását, a megújuló energiaforrások fejlesztését és a hulladékgazdálkodási rendszer korszerűsítését az uniós normáknak való megfelelés és a fenntartható gazdasági növekedés támogatása érdekében; ösztönzi az albán hatóságokat, hogy erősítsék meg a tömegközlekedési rendszer és a vasúti rendszer bővítésére irányuló intézkedéseket és beruházásokat;</w:t>
      </w:r>
    </w:p>
    <w:p w14:paraId="4AD1BDBF" w14:textId="77777777" w:rsidR="00916DDD" w:rsidRPr="00432A60" w:rsidRDefault="00C84E95" w:rsidP="00851849">
      <w:pPr>
        <w:pStyle w:val="NormalHanging12a"/>
        <w:widowControl/>
        <w:rPr>
          <w:bCs/>
          <w:iCs/>
          <w:szCs w:val="24"/>
        </w:rPr>
      </w:pPr>
      <w:r>
        <w:t>56</w:t>
      </w:r>
      <w:r w:rsidR="00916DDD" w:rsidRPr="00432A60">
        <w:t>.</w:t>
      </w:r>
      <w:r w:rsidR="00916DDD" w:rsidRPr="00432A60">
        <w:tab/>
        <w:t>szilárd meggyőződése, hogy a környezetvédelemnek és a fenntartható idegenforgalom fejlesztésének együtt kell járnia; üdvözli a a Vjosa Vadvízi Nemzeti Park létrehozását, amely az első vadvízi nemzeti park Európában, és kéri, hogy különítsenek el elegendő forrást annak védelmére; felhívja a hatóságokat, hogy teljes mértékben tartsák tiszteletben a nemzeti park ökológiai integritását, és vizsgálják felül az infrastrukturális projekteket, különösen a Shushica folyóból történő vízkivétel projektjét, összhangban a biológiai sokféleség megőrzésére vonatkozó nemzetközi normákkal és a bevált gyakorlatokkal annak biztosítása érdekében, hogy a park biológiai sokfélesége, élőhelyei és ökológiai funkciói sértetlenek maradjanak; ismételten aggodalmát fejezi ki a vlorai repülőtér Vjosa-Narta védett területen történő megépítése miatt, megsértve ezzel a biológiai sokféleség védelmére vonatkozó nemzeti és nemzetközi normákat, és felhívja a Bizottságot, hogy a csatlakozási tárgyalások 27. fejezetében foglalkozzon ezzel a kérdéssel; felhívja az albán hatóságokat, hogy fogadják el a kulturális örökségről és a múzeumokról szóló törvény végrehajtási jogszabályait;</w:t>
      </w:r>
    </w:p>
    <w:p w14:paraId="6B692E70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57</w:t>
      </w:r>
      <w:r w:rsidR="00916DDD" w:rsidRPr="00432A60">
        <w:t>.</w:t>
      </w:r>
      <w:r w:rsidR="00916DDD" w:rsidRPr="00432A60">
        <w:tab/>
        <w:t xml:space="preserve">komoly aggodalmának ad hangot a védett területekről szóló albán törvény közelmúltbeli módosításai miatt, amelyek nagy infrastrukturális és idegenforgalmi projekteket tesznek </w:t>
      </w:r>
      <w:r w:rsidR="00916DDD" w:rsidRPr="00432A60">
        <w:lastRenderedPageBreak/>
        <w:t>lehetővé az ökológiai szempontból érzékeny övezetekben; felszólít e jogszabály-módosítások visszavonására a nemzeti és nemzetközi jogi kereteknek és természetvédelmi normáknak való teljes körű és szigorú megfelelés biztosítása, valamint a szomszédos országokat érintő tengerihulladék-szennyezés kezelése érdekében;</w:t>
      </w:r>
    </w:p>
    <w:p w14:paraId="3D2767AA" w14:textId="77777777" w:rsidR="00916DDD" w:rsidRPr="00432A60" w:rsidRDefault="00C84E95" w:rsidP="00851849">
      <w:pPr>
        <w:pStyle w:val="NormalHanging12a"/>
        <w:widowControl/>
        <w:rPr>
          <w:bCs/>
          <w:iCs/>
          <w:szCs w:val="24"/>
        </w:rPr>
      </w:pPr>
      <w:r>
        <w:t>58</w:t>
      </w:r>
      <w:r w:rsidR="00916DDD" w:rsidRPr="00432A60">
        <w:t>.</w:t>
      </w:r>
      <w:r w:rsidR="00916DDD" w:rsidRPr="00432A60">
        <w:tab/>
        <w:t>felhívja az albán hatóságokat, hogy jelöljék ki és hatékonyan kezeljék a súlyosan veszélyeztetett fajok – különösen a balkáni hiúz – túlélése szempontjából kulcsfontosságú védett területeket, és ennek körében hajtsanak végre a biológiai sokféleséget nyomon követő átfogó programokat, valamint hajtsák végre és érvényesítsék szigorúan az orvvadászat elleni jogszabályokat; sürgeti Albániát, hogy hagyjon fel a Fekete-Drin folyón található Skavica vízerőműre vonatkozó tervekkel, tekintettel annak súlyos ökológiai, társadalmi és kulturális hatásaira, ideértve a helyi közösségek elvándorlását;</w:t>
      </w:r>
    </w:p>
    <w:p w14:paraId="2BC0AAAB" w14:textId="77777777" w:rsidR="00916DDD" w:rsidRPr="00432A60" w:rsidRDefault="00916DDD" w:rsidP="00851849">
      <w:pPr>
        <w:pStyle w:val="NormalHanging12a"/>
        <w:widowControl/>
        <w:rPr>
          <w:b/>
          <w:i/>
        </w:rPr>
      </w:pPr>
      <w:r w:rsidRPr="00432A60">
        <w:rPr>
          <w:b/>
          <w:i/>
        </w:rPr>
        <w:t>Regionális együttműködés és külpolitika</w:t>
      </w:r>
    </w:p>
    <w:p w14:paraId="196027A8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59</w:t>
      </w:r>
      <w:r w:rsidR="00916DDD" w:rsidRPr="00432A60">
        <w:t>.</w:t>
      </w:r>
      <w:r w:rsidR="00916DDD" w:rsidRPr="00432A60">
        <w:tab/>
        <w:t>üdvözli az EU és Albánia közötti, 2024. november 19-én elfogadott biztonsági és védelmi partnerséget, amely platformot hoz létre a biztonsági és védelmi kérdésekkel kapcsolatos megerősített párbeszéd és együttműködés számára, és jelentős előrelépést jelent; hangsúlyozza annak fontosságát, hogy ez a partnerség konkrét fellépésekben öltsön testet, beleértve a közös képzési kezdeményezéseket, a megosztott hírszerzési képességeket és a regionális és globális biztonsági kihívások kezelését célzó megerősített határbiztonsági intézkedéseket; hangsúlyozza, hogy a Nyugat-Balkánon el kell mélyíteni a biztonsági együttműködést, előmozdítva a regionális partnerek közötti szorosabb koordinációt a szervezett bűnözés, a kiberfenyegetések és a hibrid kihívások elleni küzdelem érdekében; felszólít a Nyugat-Balkánon a stabilitást és a rezilienciát fokozó regionális biztonsági kezdeményezések megerősített uniós támogatására; elismeri, hogy ez a partnerség jelentős előrelépést jelent Albánia számára abban, hogy megerősítse az EU megbízható biztonsági partnereként betöltött szerepét; hangsúlyozza továbbá, hogy a partnerség elő fogja segíteni többek között a közös kezdeményezéseket és a kapacitásépítési erőfeszítéseket, hozzájárulva ezáltal a Nyugat-Balkán biztonsági architektúrájának reziliensebbé és integráltabbá tételéhez;</w:t>
      </w:r>
    </w:p>
    <w:p w14:paraId="18DE2117" w14:textId="77777777" w:rsidR="00916DDD" w:rsidRDefault="00C84E95" w:rsidP="00851849">
      <w:pPr>
        <w:pStyle w:val="NormalHanging12a"/>
        <w:widowControl/>
      </w:pPr>
      <w:r>
        <w:t>60</w:t>
      </w:r>
      <w:r w:rsidR="00916DDD" w:rsidRPr="00432A60">
        <w:t>.</w:t>
      </w:r>
      <w:r w:rsidR="00916DDD" w:rsidRPr="00432A60">
        <w:tab/>
        <w:t>üdvözli a hibrid fenyegetések elleni további küzdelem érdekében 2024-ben elfogadott nemzetbiztonsági stratégiát és az új kiberbiztonsági törvényt; üdvözli az Albánia, Koszovó és Horvátország által aláírt közös nyilatkozatot, amelynek célja az együttműködés javítása és a védelmi potenciál megerősítése, miközben teljes mértékben támogatja az euroatlanti és regionális védelmi integrációt;</w:t>
      </w:r>
    </w:p>
    <w:p w14:paraId="1CA826A8" w14:textId="77777777" w:rsidR="00F13964" w:rsidRPr="00432A60" w:rsidRDefault="00C84E95" w:rsidP="00851849">
      <w:pPr>
        <w:pStyle w:val="NormalHanging12a"/>
        <w:widowControl/>
      </w:pPr>
      <w:r>
        <w:t>61</w:t>
      </w:r>
      <w:r w:rsidR="00F13964" w:rsidRPr="00F13964">
        <w:t>.</w:t>
      </w:r>
      <w:r w:rsidR="00F13964" w:rsidRPr="00F13964">
        <w:tab/>
        <w:t>aggodalmát fejezi ki Oroszország növekvő befolyása miatt az EU szomszédságában; elismerését fejezi ki az Albánia Elektronikus és Postakommunikációs Hatósága (AKEP) által 2024 októberében hozott intézkedésekért, amelyek a dezinformáció terjesztésében részt vevő 155, oroszok által működtetett online fiók, valamint a kiberkémkedési csoportokhoz kapcsolódó nyolc fiók bezárásához vezettek</w:t>
      </w:r>
      <w:r w:rsidR="00F13964">
        <w:rPr>
          <w:rStyle w:val="FootnoteReference"/>
        </w:rPr>
        <w:footnoteReference w:id="9"/>
      </w:r>
      <w:r w:rsidR="00F13964" w:rsidRPr="00F13964">
        <w:t xml:space="preserve">; hangsúlyozza, hogy ezek az intézkedések Albánia kiberfenyegetések csökkentésére irányuló folyamatos erőfeszítéseit tükrözik; sürgeti az EU-t, hogy fokozza az Albániának nyújtott </w:t>
      </w:r>
      <w:r w:rsidR="00F13964" w:rsidRPr="00F13964">
        <w:lastRenderedPageBreak/>
        <w:t>támogatását az Oroszország rosszindulatú befolyása elleni küzdelemben és a regionális stabilitás megőrzésében</w:t>
      </w:r>
      <w:r w:rsidR="00F13964">
        <w:t>;</w:t>
      </w:r>
    </w:p>
    <w:p w14:paraId="79DFB074" w14:textId="77777777" w:rsidR="00916DDD" w:rsidRPr="00432A60" w:rsidRDefault="00C84E95" w:rsidP="00851849">
      <w:pPr>
        <w:pStyle w:val="NormalHanging12a"/>
        <w:widowControl/>
      </w:pPr>
      <w:r>
        <w:t>62</w:t>
      </w:r>
      <w:r w:rsidR="00916DDD" w:rsidRPr="00432A60">
        <w:t>.</w:t>
      </w:r>
      <w:r w:rsidR="00916DDD" w:rsidRPr="00432A60">
        <w:tab/>
        <w:t>üdvözli, hogy Albánia teljes mértékben igazodik az EU közös kül- és biztonságpolitikájához, többek között támogatja a harmadik országokkal szembeni uniós szankciókat, és pozitívan járul hozzá a közös biztonság- és védelempolitikai missziókhoz, különösen az EUFOR Althea misszióhoz, ami hangsúlyozza az ország elkötelezettségét a regionális és nemzetközi biztonsághoz és stabilitáshoz való hozzájárulás iránt, továbbá üdvözli Albánia részvételét az EU és a NATO által vezetett műveletekben, valamint az Europollal és az Interpollal való együttműködését; felszólít az EU által vezetett válságkezelési műveletekben és közös biztonság- és védelempolitikai missziókban, például az EUNAVFOR Aspides tengeri védelmi műveletben való további részvételére; elismeri az adriai- és jón-tengeri régió stratégiai jelentőségét az európai biztonság és gazdasági stabilitás szempontjából; felhívja Albániát, hogy az EU-val és a NATO-val együttműködve erősítse meg tengeri védelmi képességeit;</w:t>
      </w:r>
    </w:p>
    <w:p w14:paraId="15813F8A" w14:textId="77777777" w:rsidR="00916DDD" w:rsidRPr="00432A60" w:rsidRDefault="00C84E95" w:rsidP="00851849">
      <w:pPr>
        <w:pStyle w:val="NormalHanging12a"/>
        <w:widowControl/>
      </w:pPr>
      <w:r>
        <w:t>63</w:t>
      </w:r>
      <w:r w:rsidR="00916DDD" w:rsidRPr="00432A60">
        <w:t>.</w:t>
      </w:r>
      <w:r w:rsidR="00916DDD" w:rsidRPr="00432A60">
        <w:tab/>
        <w:t>üdvözli az albán kormánynak a jószomszédi kapcsolatok előmozdítására irányuló folyamatos erőfeszítéseit; e tekintetben emlékeztet annak fontosságára, hogy Albánia vállalja, hogy a határvitákat a viták békés rendezésének elvével, valamint az ENSZ Alapokmányával és az ENSZ Tengerjogi Egyezményével összhangban rendezi, beleértve szükség esetén a Nemzetközi Bíróság ítéleteinek követését is; üdvözli Albánia aktív hozzájárulását a berlini folyamathoz; továbbra is ösztönzi a regionális együttműködési kezdeményezésekben való tartós és konstruktív szerepvállalást, összhangban az uniós értékekkel és a bővítési célkitűzésekkel, mivel ez hozzájárul a Nyugat-Balkán békéjéhez, biztonságához és stabilitásához; óva int minden olyan fellépéstől – például a „Nyílt Balkán” kezdeményezéstől –, amely alááshatja a közös regionális piacot vagy eltérhet a berlini folyamattól, mivel az ilyen lépések akadályozzák az uniós integrációt és kohéziót, és veszélyeztethetik Albánia mélyebb regionális és európai integráció felé történő előrehaladását;</w:t>
      </w:r>
    </w:p>
    <w:p w14:paraId="1A6F4C1B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64</w:t>
      </w:r>
      <w:r w:rsidR="00916DDD" w:rsidRPr="00432A60">
        <w:t>.</w:t>
      </w:r>
      <w:r w:rsidR="00916DDD" w:rsidRPr="00432A60">
        <w:tab/>
        <w:t>üdvözli, hogy Albánia ratifikálta a szociális biztonsági rendszerek koordinálásáról szóló kétoldalú megállapodásokat Horvátországgal, Montenegróval és Bulgáriával;</w:t>
      </w:r>
    </w:p>
    <w:p w14:paraId="3AC75969" w14:textId="77777777" w:rsidR="00916DDD" w:rsidRPr="00432A60" w:rsidRDefault="00C84E95" w:rsidP="00851849">
      <w:pPr>
        <w:pStyle w:val="NormalHanging12a"/>
        <w:widowControl/>
        <w:rPr>
          <w:bCs/>
          <w:iCs/>
        </w:rPr>
      </w:pPr>
      <w:r>
        <w:t>65</w:t>
      </w:r>
      <w:r w:rsidR="00916DDD" w:rsidRPr="00432A60">
        <w:t>.</w:t>
      </w:r>
      <w:r w:rsidR="00916DDD" w:rsidRPr="00432A60">
        <w:tab/>
        <w:t>hangsúlyozza Albánia konstruktív szerepét a Nyugat-Balkán stabilitásának és együttműködésének előmozdításában, különösen a szomszédos országokkal folytatott kétoldalú párbeszéd és a regionális szervezetekben való szerepvállalása révén.</w:t>
      </w:r>
    </w:p>
    <w:p w14:paraId="0CBDF46E" w14:textId="77777777" w:rsidR="00916DDD" w:rsidRPr="00432A60" w:rsidRDefault="00916DDD" w:rsidP="00851849">
      <w:pPr>
        <w:pStyle w:val="NormalHanging12a"/>
        <w:widowControl/>
        <w:jc w:val="center"/>
      </w:pPr>
      <w:r w:rsidRPr="00432A60">
        <w:t>°</w:t>
      </w:r>
    </w:p>
    <w:p w14:paraId="6E56C6EC" w14:textId="77777777" w:rsidR="00916DDD" w:rsidRPr="00432A60" w:rsidRDefault="00916DDD" w:rsidP="00851849">
      <w:pPr>
        <w:pStyle w:val="NormalHanging12a"/>
        <w:widowControl/>
        <w:jc w:val="center"/>
      </w:pPr>
      <w:r w:rsidRPr="00432A60">
        <w:t>°</w:t>
      </w:r>
      <w:r w:rsidRPr="00432A60">
        <w:tab/>
        <w:t>°</w:t>
      </w:r>
    </w:p>
    <w:p w14:paraId="121A36F6" w14:textId="77777777" w:rsidR="00E365E1" w:rsidRPr="00484539" w:rsidRDefault="00C84E95" w:rsidP="00432A60">
      <w:pPr>
        <w:pStyle w:val="NormalHanging12a"/>
        <w:widowControl/>
      </w:pPr>
      <w:r>
        <w:t>66</w:t>
      </w:r>
      <w:r w:rsidR="00916DDD" w:rsidRPr="00432A60">
        <w:t>.</w:t>
      </w:r>
      <w:r w:rsidR="00916DDD" w:rsidRPr="00432A60">
        <w:tab/>
        <w:t>utasítja elnökét, hogy továbbítsa ezt az állásfoglalást az Európai Tanács elnökének, a Tanácsnak, a Bizottságnak, a Bizottság alelnökének/az Unió külügyi és biztonságpolitikai főképviselőjének, a tagállamok kormányainak és parlamentjeinek, valamint az Albán Köztársaság elnökének, kormányának és parlamentjének.</w:t>
      </w:r>
    </w:p>
    <w:sectPr w:rsidR="00E365E1" w:rsidRPr="00484539" w:rsidSect="00484539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B5BE5" w14:textId="77777777" w:rsidR="005616DD" w:rsidRPr="00484539" w:rsidRDefault="005616DD">
      <w:r w:rsidRPr="00484539">
        <w:separator/>
      </w:r>
    </w:p>
  </w:endnote>
  <w:endnote w:type="continuationSeparator" w:id="0">
    <w:p w14:paraId="29B3B308" w14:textId="77777777" w:rsidR="005616DD" w:rsidRPr="00484539" w:rsidRDefault="005616DD">
      <w:r w:rsidRPr="004845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BA9E85" w14:textId="77777777" w:rsidR="005616DD" w:rsidRPr="00484539" w:rsidRDefault="005616DD">
      <w:r w:rsidRPr="00484539">
        <w:separator/>
      </w:r>
    </w:p>
  </w:footnote>
  <w:footnote w:type="continuationSeparator" w:id="0">
    <w:p w14:paraId="2B7B8A58" w14:textId="77777777" w:rsidR="005616DD" w:rsidRPr="00484539" w:rsidRDefault="005616DD">
      <w:r w:rsidRPr="00484539">
        <w:continuationSeparator/>
      </w:r>
    </w:p>
  </w:footnote>
  <w:footnote w:id="1">
    <w:p w14:paraId="5CC4D20C" w14:textId="77777777" w:rsidR="00916DDD" w:rsidRPr="00F13964" w:rsidRDefault="00916DDD" w:rsidP="00F13964">
      <w:pPr>
        <w:pStyle w:val="FootnoteText"/>
        <w:ind w:left="567" w:hanging="567"/>
        <w:rPr>
          <w:sz w:val="24"/>
          <w:szCs w:val="24"/>
          <w:lang w:val="hu-HU"/>
        </w:rPr>
      </w:pPr>
      <w:r w:rsidRPr="00F13964">
        <w:rPr>
          <w:rStyle w:val="FootnoteReference"/>
          <w:sz w:val="24"/>
          <w:szCs w:val="24"/>
          <w:lang w:val="hu-HU"/>
        </w:rPr>
        <w:footnoteRef/>
      </w:r>
      <w:r w:rsidR="00484539" w:rsidRPr="00F13964">
        <w:rPr>
          <w:sz w:val="24"/>
          <w:szCs w:val="24"/>
          <w:lang w:val="hu-HU"/>
        </w:rPr>
        <w:t xml:space="preserve"> </w:t>
      </w:r>
      <w:r w:rsidR="00484539" w:rsidRPr="00F13964">
        <w:rPr>
          <w:sz w:val="24"/>
          <w:szCs w:val="24"/>
          <w:lang w:val="hu-HU"/>
        </w:rPr>
        <w:tab/>
      </w:r>
      <w:r w:rsidRPr="00F13964">
        <w:rPr>
          <w:sz w:val="24"/>
          <w:szCs w:val="24"/>
          <w:lang w:val="hu-HU"/>
        </w:rPr>
        <w:t xml:space="preserve">HL L 107., 2009.4.28., 166. o., ELI: </w:t>
      </w:r>
      <w:hyperlink r:id="rId1" w:tooltip="ELI URI link megadása." w:history="1">
        <w:r w:rsidRPr="00D85F3E">
          <w:rPr>
            <w:rStyle w:val="Hyperlink"/>
            <w:sz w:val="24"/>
            <w:szCs w:val="24"/>
            <w:lang w:val="hu-HU"/>
          </w:rPr>
          <w:t>http://data.europa.eu/eli/agree_internation/2009/332/oj</w:t>
        </w:r>
      </w:hyperlink>
      <w:r w:rsidRPr="00F13964">
        <w:rPr>
          <w:sz w:val="24"/>
          <w:szCs w:val="24"/>
          <w:lang w:val="hu-HU"/>
        </w:rPr>
        <w:t>.</w:t>
      </w:r>
    </w:p>
  </w:footnote>
  <w:footnote w:id="2">
    <w:p w14:paraId="05BB0F13" w14:textId="77777777" w:rsidR="00916DDD" w:rsidRPr="00F13964" w:rsidRDefault="00916DDD" w:rsidP="00F13964">
      <w:pPr>
        <w:pStyle w:val="FootnoteText"/>
        <w:ind w:left="567" w:hanging="567"/>
        <w:rPr>
          <w:sz w:val="24"/>
          <w:szCs w:val="24"/>
          <w:lang w:val="hu-HU"/>
        </w:rPr>
      </w:pPr>
      <w:r w:rsidRPr="00F13964">
        <w:rPr>
          <w:rStyle w:val="FootnoteReference"/>
          <w:sz w:val="24"/>
          <w:szCs w:val="24"/>
          <w:lang w:val="hu-HU"/>
        </w:rPr>
        <w:footnoteRef/>
      </w:r>
      <w:r w:rsidR="00484539" w:rsidRPr="00F13964">
        <w:rPr>
          <w:sz w:val="24"/>
          <w:szCs w:val="24"/>
          <w:lang w:val="hu-HU"/>
        </w:rPr>
        <w:t xml:space="preserve"> </w:t>
      </w:r>
      <w:r w:rsidR="00484539" w:rsidRPr="00F13964">
        <w:rPr>
          <w:sz w:val="24"/>
          <w:szCs w:val="24"/>
          <w:lang w:val="hu-HU"/>
        </w:rPr>
        <w:tab/>
      </w:r>
      <w:r w:rsidRPr="00F13964">
        <w:rPr>
          <w:sz w:val="24"/>
          <w:szCs w:val="24"/>
          <w:lang w:val="hu-HU"/>
        </w:rPr>
        <w:t xml:space="preserve">HL L 330., 2021.9.20., 1. o., ELI: </w:t>
      </w:r>
      <w:hyperlink r:id="rId2" w:tooltip="ELI URI link megadása." w:history="1">
        <w:r w:rsidRPr="00D85F3E">
          <w:rPr>
            <w:rStyle w:val="Hyperlink"/>
            <w:sz w:val="24"/>
            <w:szCs w:val="24"/>
            <w:lang w:val="hu-HU"/>
          </w:rPr>
          <w:t>http://data.europa.eu/eli/reg/2021/1529/oj</w:t>
        </w:r>
      </w:hyperlink>
      <w:r w:rsidRPr="00F13964">
        <w:rPr>
          <w:sz w:val="24"/>
          <w:szCs w:val="24"/>
          <w:lang w:val="hu-HU"/>
        </w:rPr>
        <w:t>.</w:t>
      </w:r>
    </w:p>
  </w:footnote>
  <w:footnote w:id="3">
    <w:p w14:paraId="743DF0EA" w14:textId="77777777" w:rsidR="00916DDD" w:rsidRPr="00F13964" w:rsidRDefault="00916DDD" w:rsidP="00F13964">
      <w:pPr>
        <w:pStyle w:val="FootnoteText"/>
        <w:ind w:left="567" w:hanging="567"/>
        <w:rPr>
          <w:sz w:val="24"/>
          <w:szCs w:val="24"/>
          <w:lang w:val="hu-HU"/>
        </w:rPr>
      </w:pPr>
      <w:r w:rsidRPr="00F13964">
        <w:rPr>
          <w:rStyle w:val="FootnoteReference"/>
          <w:sz w:val="24"/>
          <w:szCs w:val="24"/>
          <w:lang w:val="hu-HU"/>
        </w:rPr>
        <w:footnoteRef/>
      </w:r>
      <w:r w:rsidR="00484539" w:rsidRPr="00F13964">
        <w:rPr>
          <w:sz w:val="24"/>
          <w:szCs w:val="24"/>
          <w:lang w:val="hu-HU"/>
        </w:rPr>
        <w:t xml:space="preserve"> </w:t>
      </w:r>
      <w:r w:rsidR="00484539" w:rsidRPr="00F13964">
        <w:rPr>
          <w:sz w:val="24"/>
          <w:szCs w:val="24"/>
          <w:lang w:val="hu-HU"/>
        </w:rPr>
        <w:tab/>
      </w:r>
      <w:r w:rsidRPr="00F13964">
        <w:rPr>
          <w:sz w:val="24"/>
          <w:szCs w:val="24"/>
          <w:lang w:val="hu-HU"/>
        </w:rPr>
        <w:t xml:space="preserve">HL L, 2024/1449, 2024.5.24., ELI: </w:t>
      </w:r>
      <w:hyperlink r:id="rId3" w:tgtFrame="_blank" w:tooltip="ELI URI link megadása." w:history="1">
        <w:r w:rsidRPr="00D85F3E">
          <w:rPr>
            <w:rStyle w:val="Hyperlink"/>
            <w:sz w:val="24"/>
            <w:szCs w:val="24"/>
            <w:lang w:val="hu-HU"/>
          </w:rPr>
          <w:t>http://data.europa.eu/eli/reg/2024/1449/oj</w:t>
        </w:r>
      </w:hyperlink>
      <w:r w:rsidRPr="00F13964">
        <w:rPr>
          <w:sz w:val="24"/>
          <w:szCs w:val="24"/>
          <w:lang w:val="hu-HU"/>
        </w:rPr>
        <w:t>.</w:t>
      </w:r>
    </w:p>
  </w:footnote>
  <w:footnote w:id="4">
    <w:p w14:paraId="075036E0" w14:textId="77777777" w:rsidR="00916DDD" w:rsidRPr="00F13964" w:rsidRDefault="00916DDD" w:rsidP="00F13964">
      <w:pPr>
        <w:pStyle w:val="FootnoteText"/>
        <w:ind w:left="567" w:hanging="567"/>
        <w:rPr>
          <w:sz w:val="24"/>
          <w:szCs w:val="24"/>
          <w:lang w:val="hu-HU"/>
        </w:rPr>
      </w:pPr>
      <w:r w:rsidRPr="00F13964">
        <w:rPr>
          <w:rStyle w:val="FootnoteReference"/>
          <w:sz w:val="24"/>
          <w:szCs w:val="24"/>
          <w:lang w:val="hu-HU"/>
        </w:rPr>
        <w:footnoteRef/>
      </w:r>
      <w:r w:rsidR="00484539" w:rsidRPr="00F13964">
        <w:rPr>
          <w:sz w:val="24"/>
          <w:szCs w:val="24"/>
          <w:lang w:val="hu-HU"/>
        </w:rPr>
        <w:t xml:space="preserve"> </w:t>
      </w:r>
      <w:r w:rsidR="00484539" w:rsidRPr="00F13964">
        <w:rPr>
          <w:sz w:val="24"/>
          <w:szCs w:val="24"/>
          <w:lang w:val="hu-HU"/>
        </w:rPr>
        <w:tab/>
      </w:r>
      <w:r w:rsidRPr="00F13964">
        <w:rPr>
          <w:sz w:val="24"/>
          <w:szCs w:val="24"/>
          <w:lang w:val="hu-HU"/>
        </w:rPr>
        <w:t xml:space="preserve">Az Európai Parlament és a Tanács (EU) 2024/1083 rendelete (2024. április 11.) a belső piaci médiaszolgáltatások közös keretének létrehozásáról és a 2010/13/EU irányelv módosításáról (a tömegtájékoztatás szabadságáról szóló európai rendelet) (HL L, 2024/1083, 2024.4.17., ELI: </w:t>
      </w:r>
      <w:hyperlink r:id="rId4" w:history="1">
        <w:r w:rsidRPr="00D85F3E">
          <w:rPr>
            <w:rStyle w:val="Hyperlink"/>
            <w:sz w:val="24"/>
            <w:szCs w:val="24"/>
            <w:lang w:val="hu-HU"/>
          </w:rPr>
          <w:t>http://data.europa.eu/eli/reg/2024/1083/oj</w:t>
        </w:r>
      </w:hyperlink>
      <w:r w:rsidRPr="00F13964">
        <w:rPr>
          <w:sz w:val="24"/>
          <w:szCs w:val="24"/>
          <w:lang w:val="hu-HU"/>
        </w:rPr>
        <w:t>).</w:t>
      </w:r>
    </w:p>
  </w:footnote>
  <w:footnote w:id="5">
    <w:p w14:paraId="2B55D836" w14:textId="77777777" w:rsidR="00F13964" w:rsidRPr="00D85F3E" w:rsidRDefault="00F13964" w:rsidP="00D85F3E">
      <w:pPr>
        <w:pStyle w:val="FootnoteText"/>
        <w:ind w:left="567" w:hanging="567"/>
        <w:rPr>
          <w:sz w:val="24"/>
          <w:szCs w:val="24"/>
          <w:lang w:val="hu-HU"/>
        </w:rPr>
      </w:pPr>
      <w:r w:rsidRPr="00D85F3E">
        <w:rPr>
          <w:rStyle w:val="FootnoteReference"/>
          <w:sz w:val="24"/>
          <w:szCs w:val="24"/>
        </w:rPr>
        <w:footnoteRef/>
      </w:r>
      <w:r w:rsidRPr="00D85F3E">
        <w:rPr>
          <w:sz w:val="24"/>
          <w:szCs w:val="24"/>
          <w:lang w:val="hu-HU"/>
        </w:rPr>
        <w:t xml:space="preserve"> </w:t>
      </w:r>
      <w:r w:rsidRPr="00D85F3E">
        <w:rPr>
          <w:sz w:val="24"/>
          <w:szCs w:val="24"/>
          <w:lang w:val="hu-HU"/>
        </w:rPr>
        <w:tab/>
      </w:r>
      <w:r w:rsidR="00825F6D">
        <w:fldChar w:fldCharType="begin"/>
      </w:r>
      <w:r w:rsidR="00825F6D" w:rsidRPr="00825F6D">
        <w:rPr>
          <w:lang w:val="hu-HU"/>
        </w:rPr>
        <w:instrText>HYPERLINK "https://www.state.gov/reports/2023-report-on-international-religious-freedom/albania/"</w:instrText>
      </w:r>
      <w:r w:rsidR="00825F6D">
        <w:fldChar w:fldCharType="separate"/>
      </w:r>
      <w:r w:rsidRPr="00D85F3E">
        <w:rPr>
          <w:rStyle w:val="Hyperlink"/>
          <w:sz w:val="24"/>
          <w:szCs w:val="24"/>
          <w:lang w:val="hu-HU"/>
        </w:rPr>
        <w:t>https://www.state.gov/reports/2023-report-on-international-religious-freedom/albania/</w:t>
      </w:r>
      <w:r w:rsidR="00825F6D">
        <w:rPr>
          <w:rStyle w:val="Hyperlink"/>
          <w:sz w:val="24"/>
          <w:szCs w:val="24"/>
          <w:lang w:val="hu-HU"/>
        </w:rPr>
        <w:fldChar w:fldCharType="end"/>
      </w:r>
      <w:r w:rsidRPr="00D85F3E">
        <w:rPr>
          <w:sz w:val="24"/>
          <w:szCs w:val="24"/>
          <w:lang w:val="hu-HU"/>
        </w:rPr>
        <w:t>.</w:t>
      </w:r>
    </w:p>
  </w:footnote>
  <w:footnote w:id="6">
    <w:p w14:paraId="1754693C" w14:textId="77777777" w:rsidR="00916DDD" w:rsidRPr="00F13964" w:rsidRDefault="00916DDD" w:rsidP="00F13964">
      <w:pPr>
        <w:pStyle w:val="FootnoteText"/>
        <w:ind w:left="567" w:hanging="567"/>
        <w:rPr>
          <w:sz w:val="24"/>
          <w:szCs w:val="24"/>
          <w:lang w:val="hu-HU"/>
        </w:rPr>
      </w:pPr>
      <w:r w:rsidRPr="00F13964">
        <w:rPr>
          <w:rStyle w:val="FootnoteReference"/>
          <w:sz w:val="24"/>
          <w:szCs w:val="24"/>
          <w:lang w:val="hu-HU"/>
        </w:rPr>
        <w:footnoteRef/>
      </w:r>
      <w:r w:rsidR="00484539" w:rsidRPr="00F13964">
        <w:rPr>
          <w:sz w:val="24"/>
          <w:szCs w:val="24"/>
          <w:lang w:val="hu-HU"/>
        </w:rPr>
        <w:t xml:space="preserve"> </w:t>
      </w:r>
      <w:r w:rsidR="00484539" w:rsidRPr="00F13964">
        <w:rPr>
          <w:sz w:val="24"/>
          <w:szCs w:val="24"/>
          <w:lang w:val="hu-HU"/>
        </w:rPr>
        <w:tab/>
      </w:r>
      <w:r w:rsidRPr="00F13964">
        <w:rPr>
          <w:sz w:val="24"/>
          <w:szCs w:val="24"/>
          <w:lang w:val="hu-HU"/>
        </w:rPr>
        <w:t xml:space="preserve">Az Európai Parlament és a Tanács 2014/92/EU irányelve (2014. július 23.) a fizetési számlákhoz kapcsolódó díjak összehasonlíthatóságáról, a fizetésiszámla-váltásról és az alapszintű fizetési számla nyitásáról, illetve használatáról (HL L 257., 2014.8.28., 214. o., ELI: </w:t>
      </w:r>
      <w:hyperlink r:id="rId5" w:history="1">
        <w:r w:rsidRPr="00D85F3E">
          <w:rPr>
            <w:rStyle w:val="Hyperlink"/>
            <w:sz w:val="24"/>
            <w:szCs w:val="24"/>
            <w:lang w:val="hu-HU"/>
          </w:rPr>
          <w:t>http://data.europa.eu/eli/dir/2014/92/oj</w:t>
        </w:r>
      </w:hyperlink>
      <w:r w:rsidRPr="00F13964">
        <w:rPr>
          <w:sz w:val="24"/>
          <w:szCs w:val="24"/>
          <w:lang w:val="hu-HU"/>
        </w:rPr>
        <w:t>).</w:t>
      </w:r>
    </w:p>
  </w:footnote>
  <w:footnote w:id="7">
    <w:p w14:paraId="1C55DF91" w14:textId="77777777" w:rsidR="00916DDD" w:rsidRPr="00F13964" w:rsidRDefault="00916DDD" w:rsidP="00F13964">
      <w:pPr>
        <w:pStyle w:val="FootnoteText"/>
        <w:ind w:left="567" w:hanging="567"/>
        <w:rPr>
          <w:sz w:val="24"/>
          <w:szCs w:val="24"/>
          <w:lang w:val="hu-HU"/>
        </w:rPr>
      </w:pPr>
      <w:r w:rsidRPr="00F13964">
        <w:rPr>
          <w:rStyle w:val="FootnoteReference"/>
          <w:sz w:val="24"/>
          <w:szCs w:val="24"/>
          <w:lang w:val="hu-HU"/>
        </w:rPr>
        <w:footnoteRef/>
      </w:r>
      <w:r w:rsidR="00484539" w:rsidRPr="00F13964">
        <w:rPr>
          <w:sz w:val="24"/>
          <w:szCs w:val="24"/>
          <w:lang w:val="hu-HU"/>
        </w:rPr>
        <w:t xml:space="preserve"> </w:t>
      </w:r>
      <w:r w:rsidR="00484539" w:rsidRPr="00F13964">
        <w:rPr>
          <w:sz w:val="24"/>
          <w:szCs w:val="24"/>
          <w:lang w:val="hu-HU"/>
        </w:rPr>
        <w:tab/>
      </w:r>
      <w:r w:rsidRPr="00F13964">
        <w:rPr>
          <w:sz w:val="24"/>
          <w:szCs w:val="24"/>
          <w:lang w:val="hu-HU"/>
        </w:rPr>
        <w:t xml:space="preserve">Az Európai Parlament és a Tanács 2011/92/EU irányelve (2011. december 13.) az egyes köz- és magánprojektek környezetre gyakorolt hatásainak vizsgálatáról (HL L 26., 2012.1.28., 1. o., ELI: </w:t>
      </w:r>
      <w:hyperlink r:id="rId6" w:history="1">
        <w:r w:rsidRPr="00D85F3E">
          <w:rPr>
            <w:rStyle w:val="Hyperlink"/>
            <w:sz w:val="24"/>
            <w:szCs w:val="24"/>
            <w:lang w:val="hu-HU"/>
          </w:rPr>
          <w:t>http://data.europa.eu/eli/dir/2011/92/oj</w:t>
        </w:r>
      </w:hyperlink>
      <w:r w:rsidRPr="00F13964">
        <w:rPr>
          <w:sz w:val="24"/>
          <w:szCs w:val="24"/>
          <w:lang w:val="hu-HU"/>
        </w:rPr>
        <w:t>).</w:t>
      </w:r>
    </w:p>
  </w:footnote>
  <w:footnote w:id="8">
    <w:p w14:paraId="256E7D11" w14:textId="77777777" w:rsidR="00916DDD" w:rsidRPr="00F13964" w:rsidRDefault="00916DDD" w:rsidP="00F13964">
      <w:pPr>
        <w:pStyle w:val="FootnoteText"/>
        <w:ind w:left="567" w:hanging="567"/>
        <w:rPr>
          <w:sz w:val="24"/>
          <w:szCs w:val="24"/>
          <w:lang w:val="hu-HU"/>
        </w:rPr>
      </w:pPr>
      <w:r w:rsidRPr="00F13964">
        <w:rPr>
          <w:rStyle w:val="FootnoteReference"/>
          <w:sz w:val="24"/>
          <w:szCs w:val="24"/>
          <w:lang w:val="hu-HU"/>
        </w:rPr>
        <w:footnoteRef/>
      </w:r>
      <w:r w:rsidR="00484539" w:rsidRPr="00F13964">
        <w:rPr>
          <w:sz w:val="24"/>
          <w:szCs w:val="24"/>
          <w:lang w:val="hu-HU"/>
        </w:rPr>
        <w:t xml:space="preserve"> </w:t>
      </w:r>
      <w:r w:rsidR="00484539" w:rsidRPr="00F13964">
        <w:rPr>
          <w:sz w:val="24"/>
          <w:szCs w:val="24"/>
          <w:lang w:val="hu-HU"/>
        </w:rPr>
        <w:tab/>
      </w:r>
      <w:r w:rsidRPr="00F13964">
        <w:rPr>
          <w:sz w:val="24"/>
          <w:szCs w:val="24"/>
          <w:lang w:val="hu-HU"/>
        </w:rPr>
        <w:t>Az Európai Parlament és a Tanács 2001/42/EK irányelve (2001. június 27.) bizonyos tervek és programok környezetre gyakorolt hatásainak vizsgálatáról</w:t>
      </w:r>
      <w:r w:rsidR="002A67A8" w:rsidRPr="00F13964">
        <w:rPr>
          <w:sz w:val="24"/>
          <w:szCs w:val="24"/>
          <w:lang w:val="hu-HU"/>
        </w:rPr>
        <w:t xml:space="preserve"> (</w:t>
      </w:r>
      <w:r w:rsidRPr="00F13964">
        <w:rPr>
          <w:sz w:val="24"/>
          <w:szCs w:val="24"/>
          <w:lang w:val="hu-HU"/>
        </w:rPr>
        <w:t xml:space="preserve">HL L 197., 2001.7.21., 30. o., ELI: </w:t>
      </w:r>
      <w:hyperlink r:id="rId7" w:history="1">
        <w:r w:rsidRPr="00D85F3E">
          <w:rPr>
            <w:rStyle w:val="Hyperlink"/>
            <w:sz w:val="24"/>
            <w:szCs w:val="24"/>
            <w:lang w:val="hu-HU"/>
          </w:rPr>
          <w:t>http://data.europa.eu/eli/dir/2001/42/oj</w:t>
        </w:r>
      </w:hyperlink>
      <w:r w:rsidRPr="00F13964">
        <w:rPr>
          <w:sz w:val="24"/>
          <w:szCs w:val="24"/>
          <w:lang w:val="hu-HU"/>
        </w:rPr>
        <w:t>).</w:t>
      </w:r>
    </w:p>
  </w:footnote>
  <w:footnote w:id="9">
    <w:p w14:paraId="1AC0C248" w14:textId="77777777" w:rsidR="00F13964" w:rsidRPr="00D85F3E" w:rsidRDefault="00F13964" w:rsidP="00D85F3E">
      <w:pPr>
        <w:pStyle w:val="FootnoteText"/>
        <w:ind w:left="567" w:hanging="567"/>
        <w:rPr>
          <w:sz w:val="24"/>
          <w:szCs w:val="24"/>
          <w:lang w:val="hu-HU"/>
        </w:rPr>
      </w:pPr>
      <w:r w:rsidRPr="00D85F3E">
        <w:rPr>
          <w:rStyle w:val="FootnoteReference"/>
          <w:sz w:val="24"/>
          <w:szCs w:val="24"/>
        </w:rPr>
        <w:footnoteRef/>
      </w:r>
      <w:r w:rsidRPr="00D85F3E">
        <w:rPr>
          <w:sz w:val="24"/>
          <w:szCs w:val="24"/>
          <w:lang w:val="hu-HU"/>
        </w:rPr>
        <w:t xml:space="preserve"> </w:t>
      </w:r>
      <w:r w:rsidRPr="00D85F3E">
        <w:rPr>
          <w:sz w:val="24"/>
          <w:szCs w:val="24"/>
          <w:lang w:val="hu-HU"/>
        </w:rPr>
        <w:tab/>
      </w:r>
      <w:r w:rsidR="00825F6D">
        <w:fldChar w:fldCharType="begin"/>
      </w:r>
      <w:r w:rsidR="00825F6D" w:rsidRPr="00825F6D">
        <w:rPr>
          <w:lang w:val="hu-HU"/>
        </w:rPr>
        <w:instrText>HYPERLINK "https://politiko.al/english/e-tjera/-mbyll-155-llogari-ruse-ne-internet-per-dezinformimin-ne-tirane-i517028?"</w:instrText>
      </w:r>
      <w:r w:rsidR="00825F6D">
        <w:fldChar w:fldCharType="separate"/>
      </w:r>
      <w:r w:rsidRPr="00D85F3E">
        <w:rPr>
          <w:rStyle w:val="Hyperlink"/>
          <w:sz w:val="24"/>
          <w:szCs w:val="24"/>
          <w:lang w:val="hu-HU"/>
        </w:rPr>
        <w:t>https://politiko.al/english/e-tjera/-mbyll-155-llogari-ruse-ne-internet-per-dezinformimin-ne-tirane-i517028?</w:t>
      </w:r>
      <w:r w:rsidR="00825F6D">
        <w:rPr>
          <w:rStyle w:val="Hyperlink"/>
          <w:sz w:val="24"/>
          <w:szCs w:val="24"/>
          <w:lang w:val="hu-HU"/>
        </w:rPr>
        <w:fldChar w:fldCharType="end"/>
      </w:r>
      <w:r w:rsidRPr="00D85F3E">
        <w:rPr>
          <w:sz w:val="24"/>
          <w:szCs w:val="24"/>
          <w:lang w:val="hu-HU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539786830">
    <w:abstractNumId w:val="9"/>
  </w:num>
  <w:num w:numId="2" w16cid:durableId="64956287">
    <w:abstractNumId w:val="9"/>
  </w:num>
  <w:num w:numId="3" w16cid:durableId="1810976179">
    <w:abstractNumId w:val="7"/>
  </w:num>
  <w:num w:numId="4" w16cid:durableId="1035083003">
    <w:abstractNumId w:val="7"/>
  </w:num>
  <w:num w:numId="5" w16cid:durableId="914239909">
    <w:abstractNumId w:val="6"/>
  </w:num>
  <w:num w:numId="6" w16cid:durableId="2014262378">
    <w:abstractNumId w:val="6"/>
  </w:num>
  <w:num w:numId="7" w16cid:durableId="941761291">
    <w:abstractNumId w:val="5"/>
  </w:num>
  <w:num w:numId="8" w16cid:durableId="2044404215">
    <w:abstractNumId w:val="5"/>
  </w:num>
  <w:num w:numId="9" w16cid:durableId="1087652229">
    <w:abstractNumId w:val="4"/>
  </w:num>
  <w:num w:numId="10" w16cid:durableId="341132970">
    <w:abstractNumId w:val="4"/>
  </w:num>
  <w:num w:numId="11" w16cid:durableId="634793275">
    <w:abstractNumId w:val="8"/>
  </w:num>
  <w:num w:numId="12" w16cid:durableId="212547939">
    <w:abstractNumId w:val="8"/>
  </w:num>
  <w:num w:numId="13" w16cid:durableId="259264767">
    <w:abstractNumId w:val="3"/>
  </w:num>
  <w:num w:numId="14" w16cid:durableId="680543979">
    <w:abstractNumId w:val="3"/>
  </w:num>
  <w:num w:numId="15" w16cid:durableId="1603687115">
    <w:abstractNumId w:val="2"/>
  </w:num>
  <w:num w:numId="16" w16cid:durableId="874806683">
    <w:abstractNumId w:val="2"/>
  </w:num>
  <w:num w:numId="17" w16cid:durableId="1671440925">
    <w:abstractNumId w:val="1"/>
  </w:num>
  <w:num w:numId="18" w16cid:durableId="431049860">
    <w:abstractNumId w:val="1"/>
  </w:num>
  <w:num w:numId="19" w16cid:durableId="76906461">
    <w:abstractNumId w:val="0"/>
  </w:num>
  <w:num w:numId="20" w16cid:durableId="589389915">
    <w:abstractNumId w:val="0"/>
  </w:num>
  <w:num w:numId="21" w16cid:durableId="1192918364">
    <w:abstractNumId w:val="9"/>
  </w:num>
  <w:num w:numId="22" w16cid:durableId="1327132641">
    <w:abstractNumId w:val="7"/>
  </w:num>
  <w:num w:numId="23" w16cid:durableId="1604730636">
    <w:abstractNumId w:val="6"/>
  </w:num>
  <w:num w:numId="24" w16cid:durableId="397897042">
    <w:abstractNumId w:val="5"/>
  </w:num>
  <w:num w:numId="25" w16cid:durableId="1817454845">
    <w:abstractNumId w:val="4"/>
  </w:num>
  <w:num w:numId="26" w16cid:durableId="306934149">
    <w:abstractNumId w:val="8"/>
  </w:num>
  <w:num w:numId="27" w16cid:durableId="342901484">
    <w:abstractNumId w:val="3"/>
  </w:num>
  <w:num w:numId="28" w16cid:durableId="852382999">
    <w:abstractNumId w:val="2"/>
  </w:num>
  <w:num w:numId="29" w16cid:durableId="903873879">
    <w:abstractNumId w:val="1"/>
  </w:num>
  <w:num w:numId="30" w16cid:durableId="621422501">
    <w:abstractNumId w:val="0"/>
  </w:num>
  <w:num w:numId="31" w16cid:durableId="1366717617">
    <w:abstractNumId w:val="9"/>
  </w:num>
  <w:num w:numId="32" w16cid:durableId="1490748348">
    <w:abstractNumId w:val="7"/>
  </w:num>
  <w:num w:numId="33" w16cid:durableId="658848221">
    <w:abstractNumId w:val="6"/>
  </w:num>
  <w:num w:numId="34" w16cid:durableId="663778292">
    <w:abstractNumId w:val="5"/>
  </w:num>
  <w:num w:numId="35" w16cid:durableId="1724213576">
    <w:abstractNumId w:val="4"/>
  </w:num>
  <w:num w:numId="36" w16cid:durableId="177888334">
    <w:abstractNumId w:val="8"/>
  </w:num>
  <w:num w:numId="37" w16cid:durableId="951745433">
    <w:abstractNumId w:val="3"/>
  </w:num>
  <w:num w:numId="38" w16cid:durableId="831144067">
    <w:abstractNumId w:val="2"/>
  </w:num>
  <w:num w:numId="39" w16cid:durableId="1036002205">
    <w:abstractNumId w:val="1"/>
  </w:num>
  <w:num w:numId="40" w16cid:durableId="610673554">
    <w:abstractNumId w:val="0"/>
  </w:num>
  <w:num w:numId="41" w16cid:durableId="1760637948">
    <w:abstractNumId w:val="10"/>
  </w:num>
  <w:num w:numId="42" w16cid:durableId="2079402845">
    <w:abstractNumId w:val="10"/>
  </w:num>
  <w:num w:numId="43" w16cid:durableId="1750999403">
    <w:abstractNumId w:val="10"/>
  </w:num>
  <w:num w:numId="44" w16cid:durableId="58395350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106/2025"/>
    <w:docVar w:name="dvlangue" w:val="HU"/>
    <w:docVar w:name="dvnumam" w:val="0"/>
    <w:docVar w:name="dvpe" w:val="769.914"/>
    <w:docVar w:name="dvrapporteur" w:val="Előadó: "/>
    <w:docVar w:name="dvtitre" w:val="Az Európai Parlament 2025.  ...-i állásfoglalása a Bizottság Albániáról szóló 2023. és 2024. évi jelentéseiről(2025/2017(INI))"/>
  </w:docVars>
  <w:rsids>
    <w:rsidRoot w:val="005616DD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2118A"/>
    <w:rsid w:val="002767FF"/>
    <w:rsid w:val="002948DF"/>
    <w:rsid w:val="002A67A8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2A60"/>
    <w:rsid w:val="00471C19"/>
    <w:rsid w:val="00484539"/>
    <w:rsid w:val="004867E3"/>
    <w:rsid w:val="00494A28"/>
    <w:rsid w:val="004C0004"/>
    <w:rsid w:val="004C5D52"/>
    <w:rsid w:val="0050519A"/>
    <w:rsid w:val="005072A1"/>
    <w:rsid w:val="00514517"/>
    <w:rsid w:val="00523231"/>
    <w:rsid w:val="00545827"/>
    <w:rsid w:val="00560270"/>
    <w:rsid w:val="005616DD"/>
    <w:rsid w:val="005C2568"/>
    <w:rsid w:val="005F1B17"/>
    <w:rsid w:val="006037C0"/>
    <w:rsid w:val="006631B6"/>
    <w:rsid w:val="00680577"/>
    <w:rsid w:val="006C71EB"/>
    <w:rsid w:val="006F74FA"/>
    <w:rsid w:val="00731ADD"/>
    <w:rsid w:val="00734777"/>
    <w:rsid w:val="00747932"/>
    <w:rsid w:val="00751A4A"/>
    <w:rsid w:val="00756632"/>
    <w:rsid w:val="00756CA0"/>
    <w:rsid w:val="00762C74"/>
    <w:rsid w:val="00786EC0"/>
    <w:rsid w:val="007D1690"/>
    <w:rsid w:val="007E22AD"/>
    <w:rsid w:val="00817416"/>
    <w:rsid w:val="00825F6D"/>
    <w:rsid w:val="00842779"/>
    <w:rsid w:val="00851849"/>
    <w:rsid w:val="00865F67"/>
    <w:rsid w:val="00881A7B"/>
    <w:rsid w:val="008840E5"/>
    <w:rsid w:val="00887B3E"/>
    <w:rsid w:val="008C2AC6"/>
    <w:rsid w:val="00916DDD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84E95"/>
    <w:rsid w:val="00C941CB"/>
    <w:rsid w:val="00CC2357"/>
    <w:rsid w:val="00CF071A"/>
    <w:rsid w:val="00D058B8"/>
    <w:rsid w:val="00D56C11"/>
    <w:rsid w:val="00D607BB"/>
    <w:rsid w:val="00D834A0"/>
    <w:rsid w:val="00D85F3E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3964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4B2449"/>
  <w15:chartTrackingRefBased/>
  <w15:docId w15:val="{C4395A21-79A8-4971-89DB-805A87F60E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16DDD"/>
    <w:pPr>
      <w:spacing w:after="240"/>
      <w:ind w:left="567" w:hanging="567"/>
    </w:pPr>
  </w:style>
  <w:style w:type="paragraph" w:customStyle="1" w:styleId="EPComma">
    <w:name w:val="EPComma"/>
    <w:basedOn w:val="Normal"/>
    <w:rsid w:val="00916DDD"/>
    <w:pPr>
      <w:spacing w:before="480" w:after="240"/>
    </w:pPr>
  </w:style>
  <w:style w:type="character" w:styleId="Hyperlink">
    <w:name w:val="Hyperlink"/>
    <w:basedOn w:val="DefaultParagraphFont"/>
    <w:rsid w:val="00916DDD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rsid w:val="00916DDD"/>
    <w:rPr>
      <w:sz w:val="24"/>
      <w:lang w:val="hu-HU"/>
    </w:rPr>
  </w:style>
  <w:style w:type="paragraph" w:styleId="BalloonText">
    <w:name w:val="Balloon Text"/>
    <w:basedOn w:val="Normal"/>
    <w:link w:val="BalloonTextChar"/>
    <w:rsid w:val="002A67A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2A67A8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://data.europa.eu/eli/reg/2024/1449/oj" TargetMode="External"/><Relationship Id="rId7" Type="http://schemas.openxmlformats.org/officeDocument/2006/relationships/hyperlink" Target="http://data.europa.eu/eli/dir/2001/42/oj" TargetMode="External"/><Relationship Id="rId2" Type="http://schemas.openxmlformats.org/officeDocument/2006/relationships/hyperlink" Target="http://data.europa.eu/eli/reg/2021/1529/oj" TargetMode="External"/><Relationship Id="rId1" Type="http://schemas.openxmlformats.org/officeDocument/2006/relationships/hyperlink" Target="http://data.europa.eu/eli/agree_internation/2009/332/oj" TargetMode="External"/><Relationship Id="rId6" Type="http://schemas.openxmlformats.org/officeDocument/2006/relationships/hyperlink" Target="http://data.europa.eu/eli/dir/2011/92/oj" TargetMode="External"/><Relationship Id="rId5" Type="http://schemas.openxmlformats.org/officeDocument/2006/relationships/hyperlink" Target="http://data.europa.eu/eli/dir/2014/92/oj" TargetMode="External"/><Relationship Id="rId4" Type="http://schemas.openxmlformats.org/officeDocument/2006/relationships/hyperlink" Target="http://data.europa.eu/eli/reg/2024/108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809F56-92D3-4ABF-9189-A4E8B71D9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16</Pages>
  <Words>6212</Words>
  <Characters>45730</Characters>
  <Application>Microsoft Office Word</Application>
  <DocSecurity>0</DocSecurity>
  <Lines>1475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SALAT Adriana</dc:creator>
  <cp:keywords/>
  <cp:lastModifiedBy>KOVACS-BOKOR Karoly</cp:lastModifiedBy>
  <cp:revision>2</cp:revision>
  <cp:lastPrinted>2004-11-19T15:42:00Z</cp:lastPrinted>
  <dcterms:created xsi:type="dcterms:W3CDTF">2025-08-18T08:14:00Z</dcterms:created>
  <dcterms:modified xsi:type="dcterms:W3CDTF">2025-08-18T08:14:00Z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A10-0106/2025</vt:lpwstr>
  </property>
  <property fmtid="{D5CDD505-2E9C-101B-9397-08002B2CF9AE}" pid="4" name="&lt;Type&gt;">
    <vt:lpwstr>RR</vt:lpwstr>
  </property>
</Properties>
</file>